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版本号：240715001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中心线路租用服务</w:t>
      </w:r>
    </w:p>
    <w:p>
      <w:pPr>
        <w:pStyle w:val="null3"/>
        <w:jc w:val="center"/>
        <w:outlineLvl w:val="2"/>
      </w:pPr>
      <w:r>
        <w:rPr>
          <w:sz w:val="28"/>
          <w:b/>
        </w:rPr>
        <w:t>采购项目编号：</w:t>
      </w:r>
      <w:r>
        <w:rPr>
          <w:sz w:val="28"/>
          <w:b/>
        </w:rPr>
        <w:t>中赞招字（2024）第23号</w:t>
      </w:r>
      <w:r>
        <w:br/>
      </w:r>
      <w:r>
        <w:br/>
      </w:r>
      <w:r>
        <w:br/>
      </w:r>
    </w:p>
    <w:p>
      <w:pPr>
        <w:pStyle w:val="null3"/>
        <w:jc w:val="center"/>
        <w:outlineLvl w:val="2"/>
      </w:pPr>
      <w:r>
        <w:rPr>
          <w:sz w:val="28"/>
          <w:b/>
        </w:rPr>
        <w:t>陕西省高速公路收费中心</w:t>
      </w:r>
    </w:p>
    <w:p>
      <w:pPr>
        <w:pStyle w:val="null3"/>
        <w:jc w:val="center"/>
        <w:outlineLvl w:val="2"/>
      </w:pPr>
      <w:r>
        <w:rPr>
          <w:sz w:val="28"/>
          <w:b/>
        </w:rPr>
        <w:t>中赞国际项目管理有限公司</w:t>
      </w:r>
      <w:r>
        <w:rPr>
          <w:sz w:val="28"/>
          <w:b/>
        </w:rPr>
        <w:t>共同编制</w:t>
      </w:r>
    </w:p>
    <w:p>
      <w:pPr>
        <w:pStyle w:val="null3"/>
        <w:jc w:val="center"/>
        <w:outlineLvl w:val="2"/>
      </w:pPr>
      <w:r>
        <w:rPr>
          <w:sz w:val="28"/>
          <w:b/>
        </w:rPr>
        <w:t>2024年07月15日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中赞国际项目管理有限公司</w:t>
      </w:r>
      <w:r>
        <w:rPr/>
        <w:t>（以下简称“代理机构”）受</w:t>
      </w:r>
      <w:r>
        <w:rPr/>
        <w:t>陕西省高速公路收费中心</w:t>
      </w:r>
      <w:r>
        <w:rPr/>
        <w:t>委托，拟对</w:t>
      </w:r>
      <w:r>
        <w:rPr/>
        <w:t>中心线路租用服务</w:t>
      </w:r>
      <w:r>
        <w:rPr/>
        <w:t>采用竞争性磋商采购方式进行采购，兹邀请供应商参加本项目的竞争性磋商。</w:t>
      </w:r>
    </w:p>
    <w:p>
      <w:pPr>
        <w:pStyle w:val="null3"/>
        <w:outlineLvl w:val="2"/>
      </w:pPr>
      <w:r>
        <w:rPr>
          <w:sz w:val="28"/>
          <w:b/>
        </w:rPr>
        <w:t>一、项目编号：</w:t>
      </w:r>
      <w:r>
        <w:rPr>
          <w:sz w:val="28"/>
          <w:b/>
        </w:rPr>
        <w:t>中赞招字（2024）第23号</w:t>
      </w:r>
    </w:p>
    <w:p>
      <w:pPr>
        <w:pStyle w:val="null3"/>
        <w:outlineLvl w:val="2"/>
      </w:pPr>
      <w:r>
        <w:rPr>
          <w:sz w:val="28"/>
          <w:b/>
        </w:rPr>
        <w:t>二、项目名称：</w:t>
      </w:r>
      <w:r>
        <w:rPr>
          <w:sz w:val="28"/>
          <w:b/>
        </w:rPr>
        <w:t>中心线路租用服务</w:t>
      </w:r>
    </w:p>
    <w:p>
      <w:pPr>
        <w:pStyle w:val="null3"/>
        <w:outlineLvl w:val="2"/>
      </w:pPr>
      <w:r>
        <w:rPr>
          <w:sz w:val="28"/>
          <w:b/>
        </w:rPr>
        <w:t>三、磋商项目简介</w:t>
      </w:r>
    </w:p>
    <w:p>
      <w:pPr>
        <w:pStyle w:val="null3"/>
        <w:ind w:firstLine="480"/>
      </w:pPr>
      <w:r>
        <w:rPr/>
        <w:t>中心线路租用服务项目预算为130.00万元。为确保中心办公及业务工作的正常开展，按照部省有关规定，结合单位工作实际，通过租用线路及设备来保障中心办公及业务网络基础。本项目由十四部分内容组成，分别为中心办公1条：中心互联网宽带；数据传输类4条：高速公路部站专线链路、联网收费数据备用传输、一二级路收费数据传输线路、中心至建行通行费划拨传输线路；ETC业务线路2条：互联网专线线路、数字电路租用；监控呼叫线路类7条：12122系统互联网专线&amp;12122系统互联网专线（备用）、12122热线SIP线路、12122呼叫线路、12122呼叫备用线路、12328呼叫线路租用、12328数据专线、12328备用数据专线。</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采购包1（中心线路租用服务）：属于专门面向中小企业采购。</w:t>
      </w:r>
    </w:p>
    <w:p>
      <w:pPr>
        <w:pStyle w:val="null3"/>
        <w:ind w:firstLine="480"/>
      </w:pPr>
      <w:r>
        <w:rPr/>
        <w:t>（三）本项目的特定资格要求：</w:t>
      </w:r>
    </w:p>
    <w:p>
      <w:pPr>
        <w:pStyle w:val="null3"/>
      </w:pPr>
      <w:r>
        <w:rPr/>
        <w:t>采购包1：</w:t>
      </w:r>
    </w:p>
    <w:p>
      <w:pPr>
        <w:pStyle w:val="null3"/>
      </w:pPr>
      <w:r>
        <w:rPr/>
        <w:t>1、信用记录：供应商不得在“信用中国” 网站被列入失信被执行人名单、重大税收违法案件当事人名单和不得在“中国政府采购网”被列入政府采购严重违法失信行为记录名单。</w:t>
      </w:r>
    </w:p>
    <w:p>
      <w:pPr>
        <w:pStyle w:val="null3"/>
      </w:pPr>
      <w:r>
        <w:rPr/>
        <w:t>2、法定代表人委托授权书\身份证明：供应商应授权合法的人员参加磋商全过程，其中法定代表人直接参加磋商的，须出具法定代表人身份证明，并与营业执照上信息一致。法定代表人授权代表参加磋商的，须出具法定代表人授权委托书。（其他组织或自然人参照执行）</w:t>
      </w:r>
    </w:p>
    <w:p>
      <w:pPr>
        <w:pStyle w:val="null3"/>
      </w:pPr>
      <w:r>
        <w:rPr/>
        <w:t>3、有效的主体资格证明：提供合格有效的法人或者其他组织的营业执照等证明文件或自然人的身份证明。</w:t>
      </w:r>
    </w:p>
    <w:p>
      <w:pPr>
        <w:pStyle w:val="null3"/>
      </w:pPr>
      <w:r>
        <w:rPr/>
        <w:t>4、财务状况报告：（1）提供2022年度或2023年度的财务审计报告（至少包含“四表一注”，即资产负债表、利润表、现金流量表、所有者权益变动表及附注）；（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种形式的证明资料提供任何一种即可。（事业法人仅提供部门决算报告即可）</w:t>
      </w:r>
    </w:p>
    <w:p>
      <w:pPr>
        <w:pStyle w:val="null3"/>
      </w:pPr>
      <w:r>
        <w:rPr/>
        <w:t>5、税收缴纳证明：提供递交响应文件截止日期前十二个月（递交响应文件截止时间当月不计入）内已缴存的至少一个月的纳税证明或完税证明，依法免税的单位应提供相关证明材料。</w:t>
      </w:r>
    </w:p>
    <w:p>
      <w:pPr>
        <w:pStyle w:val="null3"/>
      </w:pPr>
      <w:r>
        <w:rPr/>
        <w:t>6、社会保障资金缴纳证明：提供递交响应文件截止日期前十二个月内（递交响应文件截止时间当月不计入）已缴存的至少一个月的社会保障资金缴存单据或社保机构开具的社会保险参保缴费情况证明，依法不需要缴纳社会保障资金的单位应提供相关证明材料。</w:t>
      </w:r>
    </w:p>
    <w:p>
      <w:pPr>
        <w:pStyle w:val="null3"/>
      </w:pPr>
      <w:r>
        <w:rPr/>
        <w:t>7、无重大违法记录声明：近3年内在经营活动中没有重大违法记录的书面声明。</w:t>
      </w:r>
    </w:p>
    <w:p>
      <w:pPr>
        <w:pStyle w:val="null3"/>
      </w:pPr>
      <w:r>
        <w:rPr/>
        <w:t>8、具有履行合同所必需的设备和专业技术能力：提交履行合同所必需的设备和专业技术能力的书面声明。</w:t>
      </w:r>
    </w:p>
    <w:p>
      <w:pPr>
        <w:pStyle w:val="null3"/>
      </w:pPr>
      <w:r>
        <w:rPr/>
        <w:t>9、本项目不接受联合体响应：非联合体投标承诺书</w:t>
      </w:r>
    </w:p>
    <w:p>
      <w:pPr>
        <w:pStyle w:val="null3"/>
      </w:pPr>
      <w:r>
        <w:rPr/>
        <w:t>10、《中华人民共和国增值电信业务经营许可证》：供应商需提供合法有效的《中华人民共和国增值电信业务经营许可证》</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陕西省高速公路收费中心</w:t>
      </w:r>
    </w:p>
    <w:p>
      <w:pPr>
        <w:pStyle w:val="null3"/>
      </w:pPr>
      <w:r>
        <w:rPr/>
        <w:t xml:space="preserve"> 地址： </w:t>
      </w:r>
      <w:r>
        <w:rPr/>
        <w:t xml:space="preserve"> 西安市未央区未央路208号</w:t>
      </w:r>
    </w:p>
    <w:p>
      <w:pPr>
        <w:pStyle w:val="null3"/>
      </w:pPr>
      <w:r>
        <w:rPr/>
        <w:t xml:space="preserve"> 邮编： </w:t>
      </w:r>
      <w:r>
        <w:rPr/>
        <w:t>710000</w:t>
      </w:r>
    </w:p>
    <w:p>
      <w:pPr>
        <w:pStyle w:val="null3"/>
      </w:pPr>
      <w:r>
        <w:rPr/>
        <w:t xml:space="preserve"> 联系人： </w:t>
      </w:r>
      <w:r>
        <w:rPr/>
        <w:t>陕西省高速公路收费中心办公室</w:t>
      </w:r>
    </w:p>
    <w:p>
      <w:pPr>
        <w:pStyle w:val="null3"/>
      </w:pPr>
      <w:r>
        <w:rPr/>
        <w:t xml:space="preserve"> 联系电话： </w:t>
      </w:r>
      <w:r>
        <w:rPr/>
        <w:t>029-86531101</w:t>
      </w:r>
    </w:p>
    <w:p>
      <w:pPr>
        <w:pStyle w:val="null3"/>
        <w:outlineLvl w:val="3"/>
      </w:pPr>
      <w:r>
        <w:rPr>
          <w:sz w:val="24"/>
          <w:b/>
        </w:rPr>
        <w:t>代理机构：</w:t>
      </w:r>
      <w:r>
        <w:rPr>
          <w:sz w:val="24"/>
          <w:b/>
        </w:rPr>
        <w:t>中赞国际项目管理有限公司</w:t>
      </w:r>
    </w:p>
    <w:p>
      <w:pPr>
        <w:pStyle w:val="null3"/>
      </w:pPr>
      <w:r>
        <w:rPr/>
        <w:t xml:space="preserve"> 地址： </w:t>
      </w:r>
      <w:r>
        <w:rPr/>
        <w:t>陕西省西安市未央区未央路老三届首座大厦2号1幢2220室</w:t>
      </w:r>
    </w:p>
    <w:p>
      <w:pPr>
        <w:pStyle w:val="null3"/>
      </w:pPr>
      <w:r>
        <w:rPr/>
        <w:t xml:space="preserve"> 邮编： </w:t>
      </w:r>
      <w:r>
        <w:rPr/>
        <w:t>710000</w:t>
      </w:r>
    </w:p>
    <w:p>
      <w:pPr>
        <w:pStyle w:val="null3"/>
      </w:pPr>
      <w:r>
        <w:rPr/>
        <w:t xml:space="preserve"> 联系人： </w:t>
      </w:r>
      <w:r>
        <w:rPr/>
        <w:t>张琪</w:t>
      </w:r>
    </w:p>
    <w:p>
      <w:pPr>
        <w:pStyle w:val="null3"/>
      </w:pPr>
      <w:r>
        <w:rPr/>
        <w:t xml:space="preserve"> 联系电话： </w:t>
      </w:r>
      <w:r>
        <w:rPr/>
        <w:t>029-81629798</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采购包1：1,300,000.00元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采购包1保证金金额：20,000.00元</w:t>
            </w:r>
          </w:p>
          <w:p>
            <w:pPr>
              <w:pStyle w:val="null3"/>
            </w:pPr>
            <w:r>
              <w:rPr/>
              <w:t>缴交渠道：转账、支票、汇票等（需通过实体账户、户名及开户行信息）</w:t>
            </w:r>
          </w:p>
          <w:p>
            <w:pPr>
              <w:pStyle w:val="null3"/>
            </w:pPr>
            <w:r>
              <w:rPr/>
              <w:t>开户名称：中赞国际项目管理有限公司</w:t>
            </w:r>
          </w:p>
          <w:p>
            <w:pPr>
              <w:pStyle w:val="null3"/>
            </w:pPr>
            <w:r>
              <w:rPr/>
              <w:t>开户银行：招商银行股份有限公司西安未央路支行</w:t>
            </w:r>
          </w:p>
          <w:p>
            <w:pPr>
              <w:pStyle w:val="null3"/>
            </w:pPr>
            <w:r>
              <w:rPr/>
              <w:t>银行账号：129912141810202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供应商按照国家计委关于印发《招标代理服务收费管理暂行办法》的通知（计价格〔2002〕1980号）、《国家发展和改革委员会办公厅关于招标代理服务收费有关问题的通知》（发改办价格〔2003〕857号）文件取费标准优惠5%向招标代理机构一次性支付招标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陕西省高速公路收费中心</w:t>
      </w:r>
      <w:r>
        <w:rPr/>
        <w:t>和</w:t>
      </w:r>
      <w:r>
        <w:rPr/>
        <w:t>中赞国际项目管理有限公司</w:t>
      </w:r>
      <w:r>
        <w:rPr/>
        <w:t>享有。对磋商文件中供应商参加本次政府采购活动应当具备的条件，磋商项目技术、服务、商务及其他要求，评审细则及标准由</w:t>
      </w:r>
      <w:r>
        <w:rPr/>
        <w:t>陕西省高速公路收费中心</w:t>
      </w:r>
      <w:r>
        <w:rPr/>
        <w:t>负责解释。除上述磋商文件内容，其他内容由</w:t>
      </w:r>
      <w:r>
        <w:rPr/>
        <w:t>中赞国际项目管理有限公司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陕西省高速公路收费中心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中赞国际项目管理有限公司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采购人按照政府采购合同规定的技术、服务、安全标准组织对供应商履约情况进行验收,并出具验收书。</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中赞国际项目管理有限公司</w:t>
      </w:r>
      <w:r>
        <w:rPr/>
        <w:t xml:space="preserve"> 负责答复；供应商对除采购需求外的采购文件的询问、质疑由</w:t>
      </w:r>
      <w:r>
        <w:rPr/>
        <w:t>中赞国际项目管理有限公司</w:t>
      </w:r>
      <w:r>
        <w:rPr/>
        <w:t xml:space="preserve"> 负责答复；供应商对采购过程、采购结果的询问、质疑由 </w:t>
      </w:r>
      <w:r>
        <w:rPr/>
        <w:t>中赞国际项目管理有限公司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联系人：张琪</w:t>
      </w:r>
    </w:p>
    <w:p>
      <w:pPr>
        <w:pStyle w:val="null3"/>
      </w:pPr>
      <w:r>
        <w:rPr/>
        <w:t>联系电话： 029-81629798</w:t>
      </w:r>
    </w:p>
    <w:p>
      <w:pPr>
        <w:pStyle w:val="null3"/>
      </w:pPr>
      <w:r>
        <w:rPr/>
        <w:t>地址：陕西省西安市未央区未央路老三届首座大厦2号1幢2220室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确保中心办公及业务工作的正常开展，按照部省有关规定，结合单位工作实际，通过租用线路及设备来保障中心办公及业务网络基础。本项目由十四部分内容组成，分别为中心办公1条：中心互联网宽带；数据传输类4条：高速公路部站专线链路、联网收费数据备用传输、一二级路收费数据传输线路、中心至建行通行费划拨传输线路；ETC业务线路2条：互联网专线线路、数字电路租用；监控呼叫线路类7条：12122系统互联网专线&amp;12122系统互联网专线（备用）、12122热线SIP线路、12122呼叫线路、12122呼叫备用线路、12328呼叫线路租用、12328数据专线、12328备用数据专线。</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1,300,000.00</w:t>
      </w:r>
    </w:p>
    <w:p>
      <w:pPr>
        <w:pStyle w:val="null3"/>
      </w:pPr>
      <w:r>
        <w:rPr/>
        <w:t>采购包最高限价（元）: 1,300,000.00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中心线路租用服务</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pPr>
            <w:r>
              <w:rPr/>
              <w:t>项</w:t>
            </w:r>
          </w:p>
        </w:tc>
        <w:tc>
          <w:tcPr>
            <w:tcW w:type="dxa" w:w="831"/>
          </w:tcPr>
          <w:p>
            <w:pPr>
              <w:pStyle w:val="null3"/>
            </w:pPr>
            <w:r>
              <w:rPr/>
              <w:t>信息传输业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标的名称：中心线路租用服务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0"/>
                <w:b/>
              </w:rPr>
              <w:t>1</w:t>
            </w:r>
            <w:r>
              <w:rPr>
                <w:rFonts w:ascii="宋体" w:hAnsi="宋体" w:cs="宋体" w:eastAsia="宋体"/>
                <w:sz w:val="20"/>
                <w:b/>
              </w:rPr>
              <w:t>.服务</w:t>
            </w:r>
            <w:r>
              <w:rPr>
                <w:rFonts w:ascii="宋体" w:hAnsi="宋体" w:cs="宋体" w:eastAsia="宋体"/>
                <w:sz w:val="20"/>
                <w:b/>
              </w:rPr>
              <w:t>要求</w:t>
            </w:r>
          </w:p>
          <w:p>
            <w:pPr>
              <w:pStyle w:val="null3"/>
              <w:jc w:val="both"/>
            </w:pPr>
            <w:r>
              <w:rPr>
                <w:rFonts w:ascii="宋体" w:hAnsi="宋体" w:cs="宋体" w:eastAsia="宋体"/>
                <w:sz w:val="20"/>
              </w:rPr>
              <w:t>（</w:t>
            </w:r>
            <w:r>
              <w:rPr>
                <w:rFonts w:ascii="宋体" w:hAnsi="宋体" w:cs="宋体" w:eastAsia="宋体"/>
                <w:sz w:val="20"/>
              </w:rPr>
              <w:t>1）供应商在合同签订后</w:t>
            </w:r>
            <w:r>
              <w:rPr>
                <w:rFonts w:ascii="宋体" w:hAnsi="宋体" w:cs="宋体" w:eastAsia="宋体"/>
                <w:sz w:val="20"/>
              </w:rPr>
              <w:t>5</w:t>
            </w:r>
            <w:r>
              <w:rPr>
                <w:rFonts w:ascii="宋体" w:hAnsi="宋体" w:cs="宋体" w:eastAsia="宋体"/>
                <w:sz w:val="20"/>
              </w:rPr>
              <w:t>个工作日内，完成线路分配、配置以及网络专线的开通调试工作。</w:t>
            </w:r>
          </w:p>
          <w:p>
            <w:pPr>
              <w:pStyle w:val="null3"/>
              <w:jc w:val="both"/>
            </w:pPr>
            <w:r>
              <w:rPr>
                <w:rFonts w:ascii="宋体" w:hAnsi="宋体" w:cs="宋体" w:eastAsia="宋体"/>
                <w:sz w:val="20"/>
              </w:rPr>
              <w:t>（</w:t>
            </w:r>
            <w:r>
              <w:rPr>
                <w:rFonts w:ascii="宋体" w:hAnsi="宋体" w:cs="宋体" w:eastAsia="宋体"/>
                <w:sz w:val="20"/>
              </w:rPr>
              <w:t>2）服务供应商在服务期内，提供7×24小时电话服务及免费上门服务。服务期内服务供应商承担服务、维护、维修所发生的一切费用。</w:t>
            </w:r>
          </w:p>
          <w:p>
            <w:pPr>
              <w:pStyle w:val="null3"/>
              <w:jc w:val="both"/>
            </w:pPr>
            <w:r>
              <w:rPr>
                <w:rFonts w:ascii="宋体" w:hAnsi="宋体" w:cs="宋体" w:eastAsia="宋体"/>
                <w:sz w:val="20"/>
              </w:rPr>
              <w:t>（</w:t>
            </w:r>
            <w:r>
              <w:rPr>
                <w:rFonts w:ascii="宋体" w:hAnsi="宋体" w:cs="宋体" w:eastAsia="宋体"/>
                <w:sz w:val="20"/>
              </w:rPr>
              <w:t>3）供应商提供的线路若租用第三方的，须提供相关服务商或运营商的项目授权书及售后服务承诺</w:t>
            </w:r>
            <w:r>
              <w:rPr>
                <w:rFonts w:ascii="宋体" w:hAnsi="宋体" w:cs="宋体" w:eastAsia="宋体"/>
                <w:sz w:val="20"/>
              </w:rPr>
              <w:t>。</w:t>
            </w:r>
          </w:p>
          <w:p>
            <w:pPr>
              <w:pStyle w:val="null3"/>
              <w:jc w:val="both"/>
            </w:pPr>
            <w:r>
              <w:rPr>
                <w:rFonts w:ascii="宋体" w:hAnsi="宋体" w:cs="宋体" w:eastAsia="宋体"/>
                <w:sz w:val="20"/>
                <w:b/>
              </w:rPr>
              <w:t>2</w:t>
            </w:r>
            <w:r>
              <w:rPr>
                <w:rFonts w:ascii="宋体" w:hAnsi="宋体" w:cs="宋体" w:eastAsia="宋体"/>
                <w:sz w:val="20"/>
                <w:b/>
              </w:rPr>
              <w:t>.售后技术支持服务</w:t>
            </w:r>
          </w:p>
          <w:p>
            <w:pPr>
              <w:pStyle w:val="null3"/>
              <w:jc w:val="both"/>
            </w:pPr>
            <w:r>
              <w:rPr>
                <w:rFonts w:ascii="宋体" w:hAnsi="宋体" w:cs="宋体" w:eastAsia="宋体"/>
                <w:sz w:val="20"/>
              </w:rPr>
              <w:t>（</w:t>
            </w:r>
            <w:r>
              <w:rPr>
                <w:rFonts w:ascii="宋体" w:hAnsi="宋体" w:cs="宋体" w:eastAsia="宋体"/>
                <w:sz w:val="20"/>
              </w:rPr>
              <w:t>1）供应商应具备完善的技术支持和售后服务体系，并承诺提供7*24小时的电话支持服务、故障处理服务等。</w:t>
            </w:r>
          </w:p>
          <w:p>
            <w:pPr>
              <w:pStyle w:val="null3"/>
              <w:jc w:val="both"/>
            </w:pPr>
            <w:r>
              <w:rPr>
                <w:rFonts w:ascii="宋体" w:hAnsi="宋体" w:cs="宋体" w:eastAsia="宋体"/>
                <w:sz w:val="20"/>
              </w:rPr>
              <w:t>（</w:t>
            </w:r>
            <w:r>
              <w:rPr>
                <w:rFonts w:ascii="宋体" w:hAnsi="宋体" w:cs="宋体" w:eastAsia="宋体"/>
                <w:sz w:val="20"/>
              </w:rPr>
              <w:t>2）</w:t>
            </w:r>
            <w:r>
              <w:rPr>
                <w:rFonts w:ascii="宋体" w:hAnsi="宋体" w:cs="宋体" w:eastAsia="宋体"/>
                <w:sz w:val="20"/>
              </w:rPr>
              <w:t>网络故障承诺</w:t>
            </w:r>
            <w:r>
              <w:rPr>
                <w:rFonts w:ascii="宋体" w:hAnsi="宋体" w:cs="宋体" w:eastAsia="宋体"/>
                <w:sz w:val="20"/>
              </w:rPr>
              <w:t>2小时到现场进行处理</w:t>
            </w:r>
            <w:r>
              <w:rPr>
                <w:rFonts w:ascii="宋体" w:hAnsi="宋体" w:cs="宋体" w:eastAsia="宋体"/>
                <w:sz w:val="20"/>
              </w:rPr>
              <w:t>。</w:t>
            </w:r>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20"/>
                <w:b/>
              </w:rPr>
              <w:t>服务依据</w:t>
            </w:r>
          </w:p>
          <w:p>
            <w:pPr>
              <w:pStyle w:val="null3"/>
              <w:jc w:val="both"/>
            </w:pPr>
            <w:r>
              <w:rPr>
                <w:rFonts w:ascii="宋体" w:hAnsi="宋体" w:cs="宋体" w:eastAsia="宋体"/>
                <w:sz w:val="20"/>
              </w:rPr>
              <w:t>(1)GB/T51398-2019《光传送网(OTN)工程技术标准》</w:t>
            </w:r>
            <w:r>
              <w:rPr>
                <w:rFonts w:ascii="宋体" w:hAnsi="宋体" w:cs="宋体" w:eastAsia="宋体"/>
                <w:sz w:val="20"/>
              </w:rPr>
              <w:t>；</w:t>
            </w:r>
          </w:p>
          <w:p>
            <w:pPr>
              <w:pStyle w:val="null3"/>
              <w:jc w:val="both"/>
            </w:pPr>
            <w:r>
              <w:rPr>
                <w:rFonts w:ascii="宋体" w:hAnsi="宋体" w:cs="宋体" w:eastAsia="宋体"/>
                <w:sz w:val="20"/>
              </w:rPr>
              <w:t>(2)GB/T51398-2019光传送网(OTN)工程技术国家标准。</w:t>
            </w:r>
          </w:p>
        </w:tc>
      </w:tr>
      <w:tr>
        <w:tc>
          <w:tcPr>
            <w:tcW w:type="dxa" w:w="2769"/>
          </w:tcPr>
          <w:p/>
        </w:tc>
        <w:tc>
          <w:tcPr>
            <w:tcW w:type="dxa" w:w="2769"/>
          </w:tcPr>
          <w:p>
            <w:pPr>
              <w:pStyle w:val="null3"/>
            </w:pPr>
            <w:r>
              <w:rPr/>
              <w:t>3</w:t>
            </w:r>
          </w:p>
        </w:tc>
        <w:tc>
          <w:tcPr>
            <w:tcW w:type="dxa" w:w="2769"/>
          </w:tcPr>
          <w:p>
            <w:pPr>
              <w:pStyle w:val="null3"/>
              <w:jc w:val="both"/>
            </w:pPr>
            <w:r>
              <w:rPr>
                <w:rFonts w:ascii="宋体" w:hAnsi="宋体" w:cs="宋体" w:eastAsia="宋体"/>
                <w:sz w:val="20"/>
                <w:b/>
              </w:rPr>
              <w:t>服务内容</w:t>
            </w:r>
          </w:p>
          <w:p>
            <w:pPr>
              <w:pStyle w:val="null3"/>
              <w:ind w:firstLine="400"/>
              <w:jc w:val="both"/>
            </w:pPr>
            <w:r>
              <w:rPr>
                <w:rFonts w:ascii="宋体" w:hAnsi="宋体" w:cs="宋体" w:eastAsia="宋体"/>
                <w:sz w:val="20"/>
              </w:rPr>
              <w:t>（一）</w:t>
            </w:r>
            <w:r>
              <w:rPr>
                <w:rFonts w:ascii="宋体" w:hAnsi="宋体" w:cs="宋体" w:eastAsia="宋体"/>
                <w:sz w:val="20"/>
              </w:rPr>
              <w:t>省</w:t>
            </w:r>
            <w:r>
              <w:rPr>
                <w:rFonts w:ascii="宋体" w:hAnsi="宋体" w:cs="宋体" w:eastAsia="宋体"/>
                <w:sz w:val="20"/>
              </w:rPr>
              <w:t>收费</w:t>
            </w:r>
            <w:r>
              <w:rPr>
                <w:rFonts w:ascii="宋体" w:hAnsi="宋体" w:cs="宋体" w:eastAsia="宋体"/>
                <w:sz w:val="20"/>
              </w:rPr>
              <w:t>中心至交通运输部路网监测与应急处置中心</w:t>
            </w:r>
            <w:r>
              <w:rPr>
                <w:rFonts w:ascii="宋体" w:hAnsi="宋体" w:cs="宋体" w:eastAsia="宋体"/>
                <w:sz w:val="20"/>
              </w:rPr>
              <w:t>1Gbps专线通道</w:t>
            </w:r>
          </w:p>
          <w:p>
            <w:pPr>
              <w:pStyle w:val="null3"/>
              <w:ind w:firstLine="400"/>
              <w:jc w:val="both"/>
            </w:pPr>
            <w:r>
              <w:rPr>
                <w:rFonts w:ascii="宋体" w:hAnsi="宋体" w:cs="宋体" w:eastAsia="宋体"/>
                <w:sz w:val="20"/>
              </w:rPr>
              <w:t>根据交通运输部路网监测与应急处置中心《关于加快推进取消高速公路省界收费站部站传输工作的函》（交路网函〔</w:t>
            </w:r>
            <w:r>
              <w:rPr>
                <w:rFonts w:ascii="宋体" w:hAnsi="宋体" w:cs="宋体" w:eastAsia="宋体"/>
                <w:sz w:val="20"/>
              </w:rPr>
              <w:t>2019〕223号）、《陕西省关于加快取消省界收费站站部（省）传输线路建设的函》（陕高收函〔2019〕318号）等文件要求，收费数据传输至部路网中心应建立安全、稳定、可靠的部站直传通信链路，部站通信链路用于确保车道及门架数据实时上传。</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1.一条带宽不小于1000M专线；</w:t>
            </w:r>
          </w:p>
          <w:p>
            <w:pPr>
              <w:pStyle w:val="null3"/>
              <w:ind w:firstLine="400"/>
              <w:jc w:val="both"/>
            </w:pPr>
            <w:r>
              <w:rPr>
                <w:rFonts w:ascii="宋体" w:hAnsi="宋体" w:cs="宋体" w:eastAsia="宋体"/>
                <w:sz w:val="20"/>
              </w:rPr>
              <w:t>2.</w:t>
            </w:r>
            <w:r>
              <w:rPr>
                <w:rFonts w:ascii="宋体" w:hAnsi="宋体" w:cs="宋体" w:eastAsia="宋体"/>
                <w:sz w:val="20"/>
              </w:rPr>
              <w:t>省收费中心</w:t>
            </w:r>
            <w:r>
              <w:rPr>
                <w:rFonts w:ascii="宋体" w:hAnsi="宋体" w:cs="宋体" w:eastAsia="宋体"/>
                <w:sz w:val="20"/>
              </w:rPr>
              <w:t>至部路网中心链路需有环网保护；</w:t>
            </w:r>
          </w:p>
          <w:p>
            <w:pPr>
              <w:pStyle w:val="null3"/>
              <w:ind w:firstLine="400"/>
              <w:jc w:val="both"/>
            </w:pPr>
            <w:r>
              <w:rPr>
                <w:rFonts w:ascii="宋体" w:hAnsi="宋体" w:cs="宋体" w:eastAsia="宋体"/>
                <w:sz w:val="20"/>
              </w:rPr>
              <w:t>3.</w:t>
            </w:r>
            <w:r>
              <w:rPr>
                <w:rFonts w:ascii="宋体" w:hAnsi="宋体" w:cs="宋体" w:eastAsia="宋体"/>
                <w:sz w:val="20"/>
              </w:rPr>
              <w:t>省收费中心</w:t>
            </w:r>
            <w:r>
              <w:rPr>
                <w:rFonts w:ascii="宋体" w:hAnsi="宋体" w:cs="宋体" w:eastAsia="宋体"/>
                <w:sz w:val="20"/>
              </w:rPr>
              <w:t>到部路网中心上行</w:t>
            </w:r>
            <w:r>
              <w:rPr>
                <w:rFonts w:ascii="宋体" w:hAnsi="宋体" w:cs="宋体" w:eastAsia="宋体"/>
                <w:sz w:val="20"/>
              </w:rPr>
              <w:t>TCP/IP 报文时延≤60ms；</w:t>
            </w:r>
          </w:p>
          <w:p>
            <w:pPr>
              <w:pStyle w:val="null3"/>
              <w:ind w:firstLine="400"/>
              <w:jc w:val="both"/>
            </w:pPr>
            <w:r>
              <w:rPr>
                <w:rFonts w:ascii="宋体" w:hAnsi="宋体" w:cs="宋体" w:eastAsia="宋体"/>
                <w:sz w:val="20"/>
              </w:rPr>
              <w:t>4.</w:t>
            </w:r>
            <w:r>
              <w:rPr>
                <w:rFonts w:ascii="宋体" w:hAnsi="宋体" w:cs="宋体" w:eastAsia="宋体"/>
                <w:sz w:val="20"/>
              </w:rPr>
              <w:t>省收费中心</w:t>
            </w:r>
            <w:r>
              <w:rPr>
                <w:rFonts w:ascii="宋体" w:hAnsi="宋体" w:cs="宋体" w:eastAsia="宋体"/>
                <w:sz w:val="20"/>
              </w:rPr>
              <w:t>到部路网中心下行</w:t>
            </w:r>
            <w:r>
              <w:rPr>
                <w:rFonts w:ascii="宋体" w:hAnsi="宋体" w:cs="宋体" w:eastAsia="宋体"/>
                <w:sz w:val="20"/>
              </w:rPr>
              <w:t>TCP/IP 报文时延≤60ms；</w:t>
            </w:r>
          </w:p>
          <w:p>
            <w:pPr>
              <w:pStyle w:val="null3"/>
              <w:ind w:firstLine="400"/>
              <w:jc w:val="both"/>
            </w:pPr>
            <w:r>
              <w:rPr>
                <w:rFonts w:ascii="宋体" w:hAnsi="宋体" w:cs="宋体" w:eastAsia="宋体"/>
                <w:sz w:val="20"/>
              </w:rPr>
              <w:t>5.误块率（BLER）≤1%；</w:t>
            </w:r>
          </w:p>
          <w:p>
            <w:pPr>
              <w:pStyle w:val="null3"/>
              <w:ind w:firstLine="400"/>
              <w:jc w:val="both"/>
            </w:pPr>
            <w:r>
              <w:rPr>
                <w:rFonts w:ascii="宋体" w:hAnsi="宋体" w:cs="宋体" w:eastAsia="宋体"/>
                <w:sz w:val="20"/>
              </w:rPr>
              <w:t>6.</w:t>
            </w:r>
            <w:r>
              <w:rPr>
                <w:rFonts w:ascii="宋体" w:hAnsi="宋体" w:cs="宋体" w:eastAsia="宋体"/>
                <w:sz w:val="20"/>
              </w:rPr>
              <w:t>省收费中心</w:t>
            </w:r>
            <w:r>
              <w:rPr>
                <w:rFonts w:ascii="宋体" w:hAnsi="宋体" w:cs="宋体" w:eastAsia="宋体"/>
                <w:sz w:val="20"/>
              </w:rPr>
              <w:t>到部路网中心</w:t>
            </w:r>
            <w:r>
              <w:rPr>
                <w:rFonts w:ascii="宋体" w:hAnsi="宋体" w:cs="宋体" w:eastAsia="宋体"/>
                <w:sz w:val="20"/>
              </w:rPr>
              <w:t>ping丢包率≤1%；</w:t>
            </w:r>
          </w:p>
          <w:p>
            <w:pPr>
              <w:pStyle w:val="null3"/>
              <w:ind w:firstLine="400"/>
              <w:jc w:val="both"/>
            </w:pPr>
            <w:r>
              <w:rPr>
                <w:rFonts w:ascii="宋体" w:hAnsi="宋体" w:cs="宋体" w:eastAsia="宋体"/>
                <w:sz w:val="20"/>
              </w:rPr>
              <w:t>7.</w:t>
            </w:r>
            <w:r>
              <w:rPr>
                <w:rFonts w:ascii="宋体" w:hAnsi="宋体" w:cs="宋体" w:eastAsia="宋体"/>
                <w:sz w:val="20"/>
              </w:rPr>
              <w:t>省收费中心</w:t>
            </w:r>
            <w:r>
              <w:rPr>
                <w:rFonts w:ascii="宋体" w:hAnsi="宋体" w:cs="宋体" w:eastAsia="宋体"/>
                <w:sz w:val="20"/>
              </w:rPr>
              <w:t>到部路网中心</w:t>
            </w:r>
            <w:r>
              <w:rPr>
                <w:rFonts w:ascii="宋体" w:hAnsi="宋体" w:cs="宋体" w:eastAsia="宋体"/>
                <w:sz w:val="20"/>
              </w:rPr>
              <w:t>ping时延≤30ms；</w:t>
            </w:r>
          </w:p>
          <w:p>
            <w:pPr>
              <w:pStyle w:val="null3"/>
              <w:ind w:firstLine="400"/>
              <w:jc w:val="both"/>
            </w:pPr>
            <w:r>
              <w:rPr>
                <w:rFonts w:ascii="宋体" w:hAnsi="宋体" w:cs="宋体" w:eastAsia="宋体"/>
                <w:sz w:val="20"/>
              </w:rPr>
              <w:t>8.服务人员数量及组成：</w:t>
            </w:r>
            <w:r>
              <w:rPr>
                <w:rFonts w:ascii="宋体" w:hAnsi="宋体" w:cs="宋体" w:eastAsia="宋体"/>
                <w:sz w:val="20"/>
              </w:rPr>
              <w:t>省收费中心</w:t>
            </w:r>
            <w:r>
              <w:rPr>
                <w:rFonts w:ascii="宋体" w:hAnsi="宋体" w:cs="宋体" w:eastAsia="宋体"/>
                <w:sz w:val="20"/>
              </w:rPr>
              <w:t>驻场人员</w:t>
            </w:r>
            <w:r>
              <w:rPr>
                <w:rFonts w:ascii="宋体" w:hAnsi="宋体" w:cs="宋体" w:eastAsia="宋体"/>
                <w:sz w:val="20"/>
              </w:rPr>
              <w:t>1人，提供7×24小时不间断的维护技术支持、故障受理及处理；</w:t>
            </w:r>
          </w:p>
          <w:p>
            <w:pPr>
              <w:pStyle w:val="null3"/>
              <w:ind w:firstLine="400"/>
              <w:jc w:val="both"/>
            </w:pPr>
            <w:r>
              <w:rPr>
                <w:rFonts w:ascii="宋体" w:hAnsi="宋体" w:cs="宋体" w:eastAsia="宋体"/>
                <w:sz w:val="20"/>
              </w:rPr>
              <w:t>9.供应商需承诺：合同签订后1个日历日内完成链路开通，并确保满足传输要求；</w:t>
            </w:r>
          </w:p>
          <w:p>
            <w:pPr>
              <w:pStyle w:val="null3"/>
              <w:ind w:firstLine="400"/>
              <w:jc w:val="both"/>
            </w:pPr>
            <w:r>
              <w:rPr>
                <w:rFonts w:ascii="宋体" w:hAnsi="宋体" w:cs="宋体" w:eastAsia="宋体"/>
                <w:sz w:val="20"/>
              </w:rPr>
              <w:t>10.服务人员需同时进驻交通运输部路网中心及陕西省高速公路收费中心开展链路联调；</w:t>
            </w:r>
          </w:p>
          <w:p>
            <w:pPr>
              <w:pStyle w:val="null3"/>
              <w:ind w:firstLine="400"/>
              <w:jc w:val="both"/>
            </w:pPr>
            <w:r>
              <w:rPr>
                <w:rFonts w:ascii="宋体" w:hAnsi="宋体" w:cs="宋体" w:eastAsia="宋体"/>
                <w:sz w:val="20"/>
              </w:rPr>
              <w:t>11.提供技术支持人员现场服务，日常故障要求在4小时内予以排除。</w:t>
            </w:r>
          </w:p>
          <w:p>
            <w:pPr>
              <w:pStyle w:val="null3"/>
              <w:ind w:firstLine="400"/>
              <w:jc w:val="both"/>
            </w:pPr>
            <w:r>
              <w:rPr>
                <w:rFonts w:ascii="宋体" w:hAnsi="宋体" w:cs="宋体" w:eastAsia="宋体"/>
                <w:sz w:val="20"/>
              </w:rPr>
              <w:t>（二）安全办公网络宽带（</w:t>
            </w:r>
            <w:r>
              <w:rPr>
                <w:rFonts w:ascii="宋体" w:hAnsi="宋体" w:cs="宋体" w:eastAsia="宋体"/>
                <w:sz w:val="20"/>
              </w:rPr>
              <w:t>100M线路）</w:t>
            </w:r>
          </w:p>
          <w:p>
            <w:pPr>
              <w:pStyle w:val="null3"/>
              <w:ind w:firstLine="400"/>
              <w:jc w:val="both"/>
            </w:pPr>
            <w:r>
              <w:rPr>
                <w:rFonts w:ascii="宋体" w:hAnsi="宋体" w:cs="宋体" w:eastAsia="宋体"/>
                <w:sz w:val="20"/>
              </w:rPr>
              <w:t>该线路为中心人员办公及</w:t>
            </w:r>
            <w:r>
              <w:rPr>
                <w:rFonts w:ascii="宋体" w:hAnsi="宋体" w:cs="宋体" w:eastAsia="宋体"/>
                <w:sz w:val="20"/>
              </w:rPr>
              <w:t>OA外网（备用）、稽查数据报送平台、中心网站等相关业务链接互联网专用线路。</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1.一条带宽不小于100M互联网专线；</w:t>
            </w:r>
          </w:p>
          <w:p>
            <w:pPr>
              <w:pStyle w:val="null3"/>
              <w:ind w:firstLine="400"/>
              <w:jc w:val="both"/>
            </w:pPr>
            <w:r>
              <w:rPr>
                <w:rFonts w:ascii="宋体" w:hAnsi="宋体" w:cs="宋体" w:eastAsia="宋体"/>
                <w:sz w:val="20"/>
              </w:rPr>
              <w:t>2.提供两组8个IP；</w:t>
            </w:r>
          </w:p>
          <w:p>
            <w:pPr>
              <w:pStyle w:val="null3"/>
              <w:ind w:firstLine="400"/>
              <w:jc w:val="both"/>
            </w:pPr>
            <w:r>
              <w:rPr>
                <w:rFonts w:ascii="宋体" w:hAnsi="宋体" w:cs="宋体" w:eastAsia="宋体"/>
                <w:sz w:val="20"/>
              </w:rPr>
              <w:t>3.上行带宽不小于80Mbps，下行带宽不小于90Mbps；</w:t>
            </w:r>
          </w:p>
          <w:p>
            <w:pPr>
              <w:pStyle w:val="null3"/>
              <w:ind w:firstLine="400"/>
              <w:jc w:val="both"/>
            </w:pPr>
            <w:r>
              <w:rPr>
                <w:rFonts w:ascii="宋体" w:hAnsi="宋体" w:cs="宋体" w:eastAsia="宋体"/>
                <w:sz w:val="20"/>
              </w:rPr>
              <w:t>4.提供光网络单元及网关设备；</w:t>
            </w:r>
          </w:p>
          <w:p>
            <w:pPr>
              <w:pStyle w:val="null3"/>
              <w:ind w:firstLine="400"/>
              <w:jc w:val="both"/>
            </w:pPr>
            <w:r>
              <w:rPr>
                <w:rFonts w:ascii="宋体" w:hAnsi="宋体" w:cs="宋体" w:eastAsia="宋体"/>
                <w:sz w:val="20"/>
              </w:rPr>
              <w:t>5.确保现有IP继续保持，如需更换IP，需保证现有业务正常运行无缝衔接。</w:t>
            </w:r>
          </w:p>
          <w:p>
            <w:pPr>
              <w:pStyle w:val="null3"/>
              <w:ind w:firstLine="400"/>
              <w:jc w:val="both"/>
            </w:pPr>
            <w:r>
              <w:rPr>
                <w:rFonts w:ascii="宋体" w:hAnsi="宋体" w:cs="宋体" w:eastAsia="宋体"/>
                <w:sz w:val="20"/>
              </w:rPr>
              <w:t>（三）一二级路收费数据传输线路</w:t>
            </w:r>
          </w:p>
          <w:p>
            <w:pPr>
              <w:pStyle w:val="null3"/>
              <w:ind w:firstLine="400"/>
              <w:jc w:val="both"/>
            </w:pPr>
            <w:r>
              <w:rPr>
                <w:rFonts w:ascii="宋体" w:hAnsi="宋体" w:cs="宋体" w:eastAsia="宋体"/>
                <w:sz w:val="20"/>
              </w:rPr>
              <w:t>为保障一二级收费公路数据的正常传输，收费资金的日常结算，向运营商租用</w:t>
            </w:r>
            <w:r>
              <w:rPr>
                <w:rFonts w:ascii="宋体" w:hAnsi="宋体" w:cs="宋体" w:eastAsia="宋体"/>
                <w:sz w:val="20"/>
              </w:rPr>
              <w:t>50M数据传输专线。</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1.一条带宽不小于50M互联网专线；</w:t>
            </w:r>
          </w:p>
          <w:p>
            <w:pPr>
              <w:pStyle w:val="null3"/>
              <w:ind w:firstLine="400"/>
              <w:jc w:val="both"/>
            </w:pPr>
            <w:r>
              <w:rPr>
                <w:rFonts w:ascii="宋体" w:hAnsi="宋体" w:cs="宋体" w:eastAsia="宋体"/>
                <w:sz w:val="20"/>
              </w:rPr>
              <w:t>2.提供两组8个IP；</w:t>
            </w:r>
          </w:p>
          <w:p>
            <w:pPr>
              <w:pStyle w:val="null3"/>
              <w:ind w:firstLine="400"/>
              <w:jc w:val="both"/>
            </w:pPr>
            <w:r>
              <w:rPr>
                <w:rFonts w:ascii="宋体" w:hAnsi="宋体" w:cs="宋体" w:eastAsia="宋体"/>
                <w:sz w:val="20"/>
              </w:rPr>
              <w:t>3.上行带宽不小于30Mbps，下行带宽不小于40Mbps；</w:t>
            </w:r>
          </w:p>
          <w:p>
            <w:pPr>
              <w:pStyle w:val="null3"/>
              <w:ind w:firstLine="400"/>
              <w:jc w:val="both"/>
            </w:pPr>
            <w:r>
              <w:rPr>
                <w:rFonts w:ascii="宋体" w:hAnsi="宋体" w:cs="宋体" w:eastAsia="宋体"/>
                <w:sz w:val="20"/>
              </w:rPr>
              <w:t>4.提供光网络单元及网关设备，并能够实现VPDN服务；</w:t>
            </w:r>
          </w:p>
          <w:p>
            <w:pPr>
              <w:pStyle w:val="null3"/>
              <w:ind w:firstLine="400"/>
              <w:jc w:val="both"/>
            </w:pPr>
            <w:r>
              <w:rPr>
                <w:rFonts w:ascii="宋体" w:hAnsi="宋体" w:cs="宋体" w:eastAsia="宋体"/>
                <w:sz w:val="20"/>
              </w:rPr>
              <w:t>5.确保现有IP继续保持，如需更换IP，需保证现有业务正常运行无缝衔接。</w:t>
            </w:r>
          </w:p>
          <w:p>
            <w:pPr>
              <w:pStyle w:val="null3"/>
              <w:ind w:firstLine="400"/>
              <w:jc w:val="both"/>
            </w:pPr>
            <w:r>
              <w:rPr>
                <w:rFonts w:ascii="宋体" w:hAnsi="宋体" w:cs="宋体" w:eastAsia="宋体"/>
                <w:sz w:val="20"/>
              </w:rPr>
              <w:t>（</w:t>
            </w:r>
            <w:r>
              <w:rPr>
                <w:rFonts w:ascii="宋体" w:hAnsi="宋体" w:cs="宋体" w:eastAsia="宋体"/>
                <w:sz w:val="20"/>
              </w:rPr>
              <w:t>四</w:t>
            </w:r>
            <w:r>
              <w:rPr>
                <w:rFonts w:ascii="宋体" w:hAnsi="宋体" w:cs="宋体" w:eastAsia="宋体"/>
                <w:sz w:val="20"/>
              </w:rPr>
              <w:t>）</w:t>
            </w:r>
            <w:r>
              <w:rPr>
                <w:rFonts w:ascii="宋体" w:hAnsi="宋体" w:cs="宋体" w:eastAsia="宋体"/>
                <w:sz w:val="20"/>
              </w:rPr>
              <w:t>省收费中心</w:t>
            </w:r>
            <w:r>
              <w:rPr>
                <w:rFonts w:ascii="宋体" w:hAnsi="宋体" w:cs="宋体" w:eastAsia="宋体"/>
                <w:sz w:val="20"/>
              </w:rPr>
              <w:t>至建行</w:t>
            </w:r>
            <w:r>
              <w:rPr>
                <w:rFonts w:ascii="宋体" w:hAnsi="宋体" w:cs="宋体" w:eastAsia="宋体"/>
                <w:sz w:val="20"/>
              </w:rPr>
              <w:t>2M数字链路</w:t>
            </w:r>
          </w:p>
          <w:p>
            <w:pPr>
              <w:pStyle w:val="null3"/>
              <w:ind w:firstLine="400"/>
              <w:jc w:val="both"/>
            </w:pPr>
            <w:r>
              <w:rPr>
                <w:rFonts w:ascii="宋体" w:hAnsi="宋体" w:cs="宋体" w:eastAsia="宋体"/>
                <w:sz w:val="20"/>
              </w:rPr>
              <w:t>该线路主要用途为链接至银行清算系统，承担联网收费数据传输工作，用于联网通行费资金额归集和清分，承担通行费资金的录入与划拨工作。</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省收费中心</w:t>
            </w:r>
            <w:r>
              <w:rPr>
                <w:rFonts w:ascii="宋体" w:hAnsi="宋体" w:cs="宋体" w:eastAsia="宋体"/>
                <w:sz w:val="20"/>
              </w:rPr>
              <w:t>至建行一条不小于</w:t>
            </w:r>
            <w:r>
              <w:rPr>
                <w:rFonts w:ascii="宋体" w:hAnsi="宋体" w:cs="宋体" w:eastAsia="宋体"/>
                <w:sz w:val="20"/>
              </w:rPr>
              <w:t>2M数字链路，并能够实现VPDN服务。</w:t>
            </w:r>
          </w:p>
          <w:p>
            <w:pPr>
              <w:pStyle w:val="null3"/>
              <w:ind w:firstLine="400"/>
              <w:jc w:val="both"/>
            </w:pPr>
            <w:r>
              <w:rPr>
                <w:rFonts w:ascii="宋体" w:hAnsi="宋体" w:cs="宋体" w:eastAsia="宋体"/>
                <w:sz w:val="20"/>
              </w:rPr>
              <w:t>（</w:t>
            </w:r>
            <w:r>
              <w:rPr>
                <w:rFonts w:ascii="宋体" w:hAnsi="宋体" w:cs="宋体" w:eastAsia="宋体"/>
                <w:sz w:val="20"/>
              </w:rPr>
              <w:t>五</w:t>
            </w:r>
            <w:r>
              <w:rPr>
                <w:rFonts w:ascii="宋体" w:hAnsi="宋体" w:cs="宋体" w:eastAsia="宋体"/>
                <w:sz w:val="20"/>
              </w:rPr>
              <w:t>）</w:t>
            </w:r>
            <w:r>
              <w:rPr>
                <w:rFonts w:ascii="宋体" w:hAnsi="宋体" w:cs="宋体" w:eastAsia="宋体"/>
                <w:sz w:val="20"/>
              </w:rPr>
              <w:t>省收费中心</w:t>
            </w:r>
            <w:r>
              <w:rPr>
                <w:rFonts w:ascii="宋体" w:hAnsi="宋体" w:cs="宋体" w:eastAsia="宋体"/>
                <w:sz w:val="20"/>
              </w:rPr>
              <w:t>联网收费数据备用传输线路</w:t>
            </w:r>
          </w:p>
          <w:p>
            <w:pPr>
              <w:pStyle w:val="null3"/>
              <w:ind w:firstLine="400"/>
              <w:jc w:val="both"/>
            </w:pPr>
            <w:r>
              <w:rPr>
                <w:rFonts w:ascii="宋体" w:hAnsi="宋体" w:cs="宋体" w:eastAsia="宋体"/>
                <w:sz w:val="20"/>
              </w:rPr>
              <w:t>为提高高速公路联网收费数据传输可靠性，保证用户状态名单和车道收费数据及时传输，该线路为无线传输链路，当高速公路通信系统中断后，无线路由器将自动切换到备用传输网络；当高速公路通信系统故障排除后，无线路由器自动切换回高速公路通信系统。</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1.</w:t>
            </w:r>
            <w:r>
              <w:rPr>
                <w:rFonts w:ascii="宋体" w:hAnsi="宋体" w:cs="宋体" w:eastAsia="宋体"/>
                <w:sz w:val="20"/>
              </w:rPr>
              <w:t>省收费中心</w:t>
            </w:r>
            <w:r>
              <w:rPr>
                <w:rFonts w:ascii="宋体" w:hAnsi="宋体" w:cs="宋体" w:eastAsia="宋体"/>
                <w:sz w:val="20"/>
              </w:rPr>
              <w:t>至运营商</w:t>
            </w:r>
            <w:r>
              <w:rPr>
                <w:rFonts w:ascii="宋体" w:hAnsi="宋体" w:cs="宋体" w:eastAsia="宋体"/>
                <w:sz w:val="20"/>
              </w:rPr>
              <w:t>一条带宽不小于</w:t>
            </w:r>
            <w:r>
              <w:rPr>
                <w:rFonts w:ascii="宋体" w:hAnsi="宋体" w:cs="宋体" w:eastAsia="宋体"/>
                <w:sz w:val="20"/>
              </w:rPr>
              <w:t>100M专线</w:t>
            </w:r>
            <w:r>
              <w:rPr>
                <w:rFonts w:ascii="宋体" w:hAnsi="宋体" w:cs="宋体" w:eastAsia="宋体"/>
                <w:sz w:val="20"/>
              </w:rPr>
              <w:t>；</w:t>
            </w:r>
          </w:p>
          <w:p>
            <w:pPr>
              <w:pStyle w:val="null3"/>
              <w:ind w:firstLine="400"/>
              <w:jc w:val="both"/>
            </w:pPr>
            <w:r>
              <w:rPr>
                <w:rFonts w:ascii="宋体" w:hAnsi="宋体" w:cs="宋体" w:eastAsia="宋体"/>
                <w:sz w:val="20"/>
              </w:rPr>
              <w:t>2.支持4G信号的统计和报表，能够按照自定义时间方式输出报告；</w:t>
            </w:r>
          </w:p>
          <w:p>
            <w:pPr>
              <w:pStyle w:val="null3"/>
              <w:ind w:firstLine="400"/>
              <w:jc w:val="both"/>
            </w:pPr>
            <w:r>
              <w:rPr>
                <w:rFonts w:ascii="宋体" w:hAnsi="宋体" w:cs="宋体" w:eastAsia="宋体"/>
                <w:sz w:val="20"/>
              </w:rPr>
              <w:t>3.支持流量校准功能，可精确获取到SIM卡在运营商处使用的真实流量；</w:t>
            </w:r>
          </w:p>
          <w:p>
            <w:pPr>
              <w:pStyle w:val="null3"/>
              <w:ind w:firstLine="400"/>
              <w:jc w:val="both"/>
            </w:pPr>
            <w:r>
              <w:rPr>
                <w:rFonts w:ascii="宋体" w:hAnsi="宋体" w:cs="宋体" w:eastAsia="宋体"/>
                <w:sz w:val="20"/>
              </w:rPr>
              <w:t>4.支持国密算法，支持后台主备线路自动切换；</w:t>
            </w:r>
          </w:p>
          <w:p>
            <w:pPr>
              <w:pStyle w:val="null3"/>
              <w:ind w:firstLine="400"/>
              <w:jc w:val="both"/>
            </w:pPr>
            <w:r>
              <w:rPr>
                <w:rFonts w:ascii="宋体" w:hAnsi="宋体" w:cs="宋体" w:eastAsia="宋体"/>
                <w:sz w:val="20"/>
              </w:rPr>
              <w:t>5.收费站与上级收费系统的链路带宽不小于4Mbps(不含视频）,备份链路带宽不小于2Mbps；</w:t>
            </w:r>
          </w:p>
          <w:p>
            <w:pPr>
              <w:pStyle w:val="null3"/>
              <w:ind w:firstLine="400"/>
              <w:jc w:val="both"/>
            </w:pPr>
            <w:r>
              <w:rPr>
                <w:rFonts w:ascii="宋体" w:hAnsi="宋体" w:cs="宋体" w:eastAsia="宋体"/>
                <w:sz w:val="20"/>
              </w:rPr>
              <w:t>6.MTBF:&gt;10000小时；</w:t>
            </w:r>
          </w:p>
          <w:p>
            <w:pPr>
              <w:pStyle w:val="null3"/>
              <w:ind w:firstLine="400"/>
              <w:jc w:val="both"/>
            </w:pPr>
            <w:r>
              <w:rPr>
                <w:rFonts w:ascii="宋体" w:hAnsi="宋体" w:cs="宋体" w:eastAsia="宋体"/>
                <w:sz w:val="20"/>
              </w:rPr>
              <w:t>7.站级通信设备到</w:t>
            </w:r>
            <w:r>
              <w:rPr>
                <w:rFonts w:ascii="宋体" w:hAnsi="宋体" w:cs="宋体" w:eastAsia="宋体"/>
                <w:sz w:val="20"/>
              </w:rPr>
              <w:t>省收费中心</w:t>
            </w:r>
            <w:r>
              <w:rPr>
                <w:rFonts w:ascii="宋体" w:hAnsi="宋体" w:cs="宋体" w:eastAsia="宋体"/>
                <w:sz w:val="20"/>
              </w:rPr>
              <w:t>上、下行</w:t>
            </w:r>
            <w:r>
              <w:rPr>
                <w:rFonts w:ascii="宋体" w:hAnsi="宋体" w:cs="宋体" w:eastAsia="宋体"/>
                <w:sz w:val="20"/>
              </w:rPr>
              <w:t>TCP/IP报文时延≤100ms(无线方式≤200ms)；</w:t>
            </w:r>
          </w:p>
          <w:p>
            <w:pPr>
              <w:pStyle w:val="null3"/>
              <w:ind w:firstLine="400"/>
              <w:jc w:val="both"/>
            </w:pPr>
            <w:r>
              <w:rPr>
                <w:rFonts w:ascii="宋体" w:hAnsi="宋体" w:cs="宋体" w:eastAsia="宋体"/>
                <w:sz w:val="20"/>
              </w:rPr>
              <w:t>8.误块率（BLER)≤1%；</w:t>
            </w:r>
          </w:p>
          <w:p>
            <w:pPr>
              <w:pStyle w:val="null3"/>
              <w:ind w:firstLine="400"/>
              <w:jc w:val="both"/>
            </w:pPr>
            <w:r>
              <w:rPr>
                <w:rFonts w:ascii="宋体" w:hAnsi="宋体" w:cs="宋体" w:eastAsia="宋体"/>
                <w:sz w:val="20"/>
              </w:rPr>
              <w:t>9.收费站到</w:t>
            </w:r>
            <w:r>
              <w:rPr>
                <w:rFonts w:ascii="宋体" w:hAnsi="宋体" w:cs="宋体" w:eastAsia="宋体"/>
                <w:sz w:val="20"/>
              </w:rPr>
              <w:t>省收费中心</w:t>
            </w:r>
            <w:r>
              <w:rPr>
                <w:rFonts w:ascii="宋体" w:hAnsi="宋体" w:cs="宋体" w:eastAsia="宋体"/>
                <w:sz w:val="20"/>
              </w:rPr>
              <w:t>机房</w:t>
            </w:r>
            <w:r>
              <w:rPr>
                <w:rFonts w:ascii="宋体" w:hAnsi="宋体" w:cs="宋体" w:eastAsia="宋体"/>
                <w:sz w:val="20"/>
              </w:rPr>
              <w:t>ping丢包率≤1%；</w:t>
            </w:r>
          </w:p>
          <w:p>
            <w:pPr>
              <w:pStyle w:val="null3"/>
              <w:ind w:firstLine="400"/>
              <w:jc w:val="both"/>
            </w:pPr>
            <w:r>
              <w:rPr>
                <w:rFonts w:ascii="宋体" w:hAnsi="宋体" w:cs="宋体" w:eastAsia="宋体"/>
                <w:sz w:val="20"/>
              </w:rPr>
              <w:t>10.收费站到省联网中心机房ping时延≤100ms(无线方式≤200ms)。</w:t>
            </w:r>
          </w:p>
          <w:p>
            <w:pPr>
              <w:pStyle w:val="null3"/>
              <w:ind w:firstLine="400"/>
              <w:jc w:val="both"/>
            </w:pPr>
            <w:r>
              <w:rPr>
                <w:rFonts w:ascii="宋体" w:hAnsi="宋体" w:cs="宋体" w:eastAsia="宋体"/>
                <w:sz w:val="20"/>
              </w:rPr>
              <w:t>（</w:t>
            </w:r>
            <w:r>
              <w:rPr>
                <w:rFonts w:ascii="宋体" w:hAnsi="宋体" w:cs="宋体" w:eastAsia="宋体"/>
                <w:sz w:val="20"/>
              </w:rPr>
              <w:t>六</w:t>
            </w:r>
            <w:r>
              <w:rPr>
                <w:rFonts w:ascii="宋体" w:hAnsi="宋体" w:cs="宋体" w:eastAsia="宋体"/>
                <w:sz w:val="20"/>
              </w:rPr>
              <w:t>）</w:t>
            </w:r>
            <w:r>
              <w:rPr>
                <w:rFonts w:ascii="宋体" w:hAnsi="宋体" w:cs="宋体" w:eastAsia="宋体"/>
                <w:sz w:val="20"/>
              </w:rPr>
              <w:t>12122呼叫线路</w:t>
            </w:r>
          </w:p>
          <w:p>
            <w:pPr>
              <w:pStyle w:val="null3"/>
              <w:ind w:firstLine="400"/>
              <w:jc w:val="both"/>
            </w:pPr>
            <w:r>
              <w:rPr>
                <w:rFonts w:ascii="宋体" w:hAnsi="宋体" w:cs="宋体" w:eastAsia="宋体"/>
                <w:sz w:val="20"/>
              </w:rPr>
              <w:t>通过租用运营商电话线路，为</w:t>
            </w:r>
            <w:r>
              <w:rPr>
                <w:rFonts w:ascii="宋体" w:hAnsi="宋体" w:cs="宋体" w:eastAsia="宋体"/>
                <w:sz w:val="20"/>
              </w:rPr>
              <w:t>12122全省交通服务热线能够正常接听社会来电提供基础支撑。保障12122全省交通服务热线能够正常接听社会来电，为社会提供政策咨询、路况信息、投诉转达、收费查询、救援信息、出行路线、非现金收费咨询等全面、及时、准确的高速公路信息，服务公众出行。</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1.一条2M数字中继电路，使用语音专线，多运营商接入；</w:t>
            </w:r>
          </w:p>
          <w:p>
            <w:pPr>
              <w:pStyle w:val="null3"/>
              <w:ind w:firstLine="400"/>
              <w:jc w:val="both"/>
            </w:pPr>
            <w:r>
              <w:rPr>
                <w:rFonts w:ascii="宋体" w:hAnsi="宋体" w:cs="宋体" w:eastAsia="宋体"/>
                <w:sz w:val="20"/>
              </w:rPr>
              <w:t>2.租用的“12122”语音中继线路，从</w:t>
            </w:r>
            <w:r>
              <w:rPr>
                <w:rFonts w:ascii="宋体" w:hAnsi="宋体" w:cs="宋体" w:eastAsia="宋体"/>
                <w:sz w:val="20"/>
              </w:rPr>
              <w:t>省收费中心</w:t>
            </w:r>
            <w:r>
              <w:rPr>
                <w:rFonts w:ascii="宋体" w:hAnsi="宋体" w:cs="宋体" w:eastAsia="宋体"/>
                <w:sz w:val="20"/>
              </w:rPr>
              <w:t>机房至运营商机房；</w:t>
            </w:r>
          </w:p>
          <w:p>
            <w:pPr>
              <w:pStyle w:val="null3"/>
              <w:ind w:firstLine="400"/>
              <w:jc w:val="both"/>
            </w:pPr>
            <w:r>
              <w:rPr>
                <w:rFonts w:ascii="宋体" w:hAnsi="宋体" w:cs="宋体" w:eastAsia="宋体"/>
                <w:sz w:val="20"/>
              </w:rPr>
              <w:t>3.该线路应至少确保用户可正常呼入呼出；</w:t>
            </w:r>
          </w:p>
          <w:p>
            <w:pPr>
              <w:pStyle w:val="null3"/>
              <w:ind w:firstLine="400"/>
              <w:jc w:val="both"/>
            </w:pPr>
            <w:r>
              <w:rPr>
                <w:rFonts w:ascii="宋体" w:hAnsi="宋体" w:cs="宋体" w:eastAsia="宋体"/>
                <w:sz w:val="20"/>
              </w:rPr>
              <w:t>4.该线路应确保移动、联通、电信等运营商号码的呼入呼出；</w:t>
            </w:r>
          </w:p>
          <w:p>
            <w:pPr>
              <w:pStyle w:val="null3"/>
              <w:ind w:firstLine="400"/>
              <w:jc w:val="both"/>
            </w:pPr>
            <w:r>
              <w:rPr>
                <w:rFonts w:ascii="宋体" w:hAnsi="宋体" w:cs="宋体" w:eastAsia="宋体"/>
                <w:sz w:val="20"/>
              </w:rPr>
              <w:t>5.该线路应具备备用路由或备用措施，确保除不可抗力外无中断情况。</w:t>
            </w:r>
          </w:p>
          <w:p>
            <w:pPr>
              <w:pStyle w:val="null3"/>
              <w:ind w:firstLine="400"/>
              <w:jc w:val="both"/>
            </w:pPr>
            <w:r>
              <w:rPr>
                <w:rFonts w:ascii="宋体" w:hAnsi="宋体" w:cs="宋体" w:eastAsia="宋体"/>
                <w:sz w:val="20"/>
              </w:rPr>
              <w:t>（</w:t>
            </w:r>
            <w:r>
              <w:rPr>
                <w:rFonts w:ascii="宋体" w:hAnsi="宋体" w:cs="宋体" w:eastAsia="宋体"/>
                <w:sz w:val="20"/>
              </w:rPr>
              <w:t>七</w:t>
            </w:r>
            <w:r>
              <w:rPr>
                <w:rFonts w:ascii="宋体" w:hAnsi="宋体" w:cs="宋体" w:eastAsia="宋体"/>
                <w:sz w:val="20"/>
              </w:rPr>
              <w:t>）</w:t>
            </w:r>
            <w:r>
              <w:rPr>
                <w:rFonts w:ascii="宋体" w:hAnsi="宋体" w:cs="宋体" w:eastAsia="宋体"/>
                <w:sz w:val="20"/>
              </w:rPr>
              <w:t>12122备用线路</w:t>
            </w:r>
          </w:p>
          <w:p>
            <w:pPr>
              <w:pStyle w:val="null3"/>
              <w:ind w:firstLine="400"/>
              <w:jc w:val="both"/>
            </w:pPr>
            <w:r>
              <w:rPr>
                <w:rFonts w:ascii="宋体" w:hAnsi="宋体" w:cs="宋体" w:eastAsia="宋体"/>
                <w:sz w:val="20"/>
              </w:rPr>
              <w:t>该项目为</w:t>
            </w:r>
            <w:r>
              <w:rPr>
                <w:rFonts w:ascii="宋体" w:hAnsi="宋体" w:cs="宋体" w:eastAsia="宋体"/>
                <w:sz w:val="20"/>
              </w:rPr>
              <w:t>12122主用线路补充，保障在主用线路故障时，12122全省交通服务热线能够正常接听社会来电，需与主用线路为不同运营商。</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1.一条2M数字中继电路，使用语音专线，多运营商接入；</w:t>
            </w:r>
          </w:p>
          <w:p>
            <w:pPr>
              <w:pStyle w:val="null3"/>
              <w:ind w:firstLine="400"/>
              <w:jc w:val="both"/>
            </w:pPr>
            <w:r>
              <w:rPr>
                <w:rFonts w:ascii="宋体" w:hAnsi="宋体" w:cs="宋体" w:eastAsia="宋体"/>
                <w:sz w:val="20"/>
              </w:rPr>
              <w:t>2.租用的“12122”语音中继线路，从</w:t>
            </w:r>
            <w:r>
              <w:rPr>
                <w:rFonts w:ascii="宋体" w:hAnsi="宋体" w:cs="宋体" w:eastAsia="宋体"/>
                <w:sz w:val="20"/>
              </w:rPr>
              <w:t>省收费中心</w:t>
            </w:r>
            <w:r>
              <w:rPr>
                <w:rFonts w:ascii="宋体" w:hAnsi="宋体" w:cs="宋体" w:eastAsia="宋体"/>
                <w:sz w:val="20"/>
              </w:rPr>
              <w:t>机房至运营商机房；</w:t>
            </w:r>
          </w:p>
          <w:p>
            <w:pPr>
              <w:pStyle w:val="null3"/>
              <w:ind w:firstLine="400"/>
              <w:jc w:val="both"/>
            </w:pPr>
            <w:r>
              <w:rPr>
                <w:rFonts w:ascii="宋体" w:hAnsi="宋体" w:cs="宋体" w:eastAsia="宋体"/>
                <w:sz w:val="20"/>
              </w:rPr>
              <w:t>3.该线路应至少确保用户可正常呼入呼出；</w:t>
            </w:r>
          </w:p>
          <w:p>
            <w:pPr>
              <w:pStyle w:val="null3"/>
              <w:ind w:firstLine="400"/>
              <w:jc w:val="both"/>
            </w:pPr>
            <w:r>
              <w:rPr>
                <w:rFonts w:ascii="宋体" w:hAnsi="宋体" w:cs="宋体" w:eastAsia="宋体"/>
                <w:sz w:val="20"/>
              </w:rPr>
              <w:t>4.该线路应确保移动、联通、电信等运营商号码的呼入呼出；</w:t>
            </w:r>
          </w:p>
          <w:p>
            <w:pPr>
              <w:pStyle w:val="null3"/>
              <w:ind w:firstLine="400"/>
              <w:jc w:val="both"/>
            </w:pPr>
            <w:r>
              <w:rPr>
                <w:rFonts w:ascii="宋体" w:hAnsi="宋体" w:cs="宋体" w:eastAsia="宋体"/>
                <w:sz w:val="20"/>
              </w:rPr>
              <w:t>5.该线路应具备备用路由或备用措施，确保除不可抗力外无中断情况；</w:t>
            </w:r>
          </w:p>
          <w:p>
            <w:pPr>
              <w:pStyle w:val="null3"/>
              <w:ind w:firstLine="400"/>
              <w:jc w:val="both"/>
            </w:pPr>
            <w:r>
              <w:rPr>
                <w:rFonts w:ascii="宋体" w:hAnsi="宋体" w:cs="宋体" w:eastAsia="宋体"/>
                <w:sz w:val="20"/>
              </w:rPr>
              <w:t>6.该线路应与主线路为不同运营商。</w:t>
            </w:r>
          </w:p>
          <w:p>
            <w:pPr>
              <w:pStyle w:val="null3"/>
              <w:ind w:firstLine="400"/>
              <w:jc w:val="both"/>
            </w:pPr>
            <w:r>
              <w:rPr>
                <w:rFonts w:ascii="宋体" w:hAnsi="宋体" w:cs="宋体" w:eastAsia="宋体"/>
                <w:sz w:val="20"/>
              </w:rPr>
              <w:t>（</w:t>
            </w:r>
            <w:r>
              <w:rPr>
                <w:rFonts w:ascii="宋体" w:hAnsi="宋体" w:cs="宋体" w:eastAsia="宋体"/>
                <w:sz w:val="20"/>
              </w:rPr>
              <w:t>八</w:t>
            </w:r>
            <w:r>
              <w:rPr>
                <w:rFonts w:ascii="宋体" w:hAnsi="宋体" w:cs="宋体" w:eastAsia="宋体"/>
                <w:sz w:val="20"/>
              </w:rPr>
              <w:t>）</w:t>
            </w:r>
            <w:r>
              <w:rPr>
                <w:rFonts w:ascii="宋体" w:hAnsi="宋体" w:cs="宋体" w:eastAsia="宋体"/>
                <w:sz w:val="20"/>
              </w:rPr>
              <w:t>12328呼叫线路</w:t>
            </w:r>
          </w:p>
          <w:p>
            <w:pPr>
              <w:pStyle w:val="null3"/>
              <w:ind w:firstLine="400"/>
              <w:jc w:val="both"/>
            </w:pPr>
            <w:r>
              <w:rPr>
                <w:rFonts w:ascii="宋体" w:hAnsi="宋体" w:cs="宋体" w:eastAsia="宋体"/>
                <w:sz w:val="20"/>
              </w:rPr>
              <w:t>陕西省</w:t>
            </w:r>
            <w:r>
              <w:rPr>
                <w:rFonts w:ascii="宋体" w:hAnsi="宋体" w:cs="宋体" w:eastAsia="宋体"/>
                <w:sz w:val="20"/>
              </w:rPr>
              <w:t>12328交通运输服务监督电话系统于2017年9月建成并上线运行。根据前期项目规划和实际使用要求，目前，陕西省12328交通运输服务监督电话系统在用5条PRI电路（30B+D）作为呼叫线路，用于支撑全省12328热线的呼入和呼出业务。2018年8月底按照《陕西省交通运输监测中心关于陕西省12328交通运输服务监督电话系统后期运行维护事项的说明》（陕交监测函〔2018〕20号）要求，系统后期运行管理工作移交省收费中心。</w:t>
            </w:r>
          </w:p>
          <w:p>
            <w:pPr>
              <w:pStyle w:val="null3"/>
              <w:ind w:firstLine="400"/>
              <w:jc w:val="both"/>
            </w:pPr>
            <w:r>
              <w:rPr>
                <w:rFonts w:ascii="宋体" w:hAnsi="宋体" w:cs="宋体" w:eastAsia="宋体"/>
                <w:sz w:val="20"/>
              </w:rPr>
              <w:t>12328呼叫线路主要用于</w:t>
            </w:r>
            <w:r>
              <w:rPr>
                <w:rFonts w:ascii="宋体" w:hAnsi="宋体" w:cs="宋体" w:eastAsia="宋体"/>
                <w:sz w:val="20"/>
              </w:rPr>
              <w:t>全省</w:t>
            </w:r>
            <w:r>
              <w:rPr>
                <w:rFonts w:ascii="宋体" w:hAnsi="宋体" w:cs="宋体" w:eastAsia="宋体"/>
                <w:sz w:val="20"/>
              </w:rPr>
              <w:t>12328</w:t>
            </w:r>
            <w:r>
              <w:rPr>
                <w:rFonts w:ascii="宋体" w:hAnsi="宋体" w:cs="宋体" w:eastAsia="宋体"/>
                <w:sz w:val="20"/>
              </w:rPr>
              <w:t>热线号码</w:t>
            </w:r>
            <w:r>
              <w:rPr>
                <w:rFonts w:ascii="宋体" w:hAnsi="宋体" w:cs="宋体" w:eastAsia="宋体"/>
                <w:sz w:val="20"/>
              </w:rPr>
              <w:t>的呼入</w:t>
            </w:r>
            <w:r>
              <w:rPr>
                <w:rFonts w:ascii="宋体" w:hAnsi="宋体" w:cs="宋体" w:eastAsia="宋体"/>
                <w:sz w:val="20"/>
              </w:rPr>
              <w:t>和呼出服务</w:t>
            </w:r>
            <w:r>
              <w:rPr>
                <w:rFonts w:ascii="宋体" w:hAnsi="宋体" w:cs="宋体" w:eastAsia="宋体"/>
                <w:sz w:val="20"/>
              </w:rPr>
              <w:t>，通过运营商</w:t>
            </w:r>
            <w:r>
              <w:rPr>
                <w:rFonts w:ascii="宋体" w:hAnsi="宋体" w:cs="宋体" w:eastAsia="宋体"/>
                <w:sz w:val="20"/>
              </w:rPr>
              <w:t>提供的呼叫线路，</w:t>
            </w:r>
            <w:r>
              <w:rPr>
                <w:rFonts w:ascii="宋体" w:hAnsi="宋体" w:cs="宋体" w:eastAsia="宋体"/>
                <w:sz w:val="20"/>
              </w:rPr>
              <w:t>将各运营商的电话用户呼叫接入</w:t>
            </w:r>
            <w:r>
              <w:rPr>
                <w:rFonts w:ascii="宋体" w:hAnsi="宋体" w:cs="宋体" w:eastAsia="宋体"/>
                <w:sz w:val="20"/>
              </w:rPr>
              <w:t>12328系统</w:t>
            </w:r>
            <w:r>
              <w:rPr>
                <w:rFonts w:ascii="宋体" w:hAnsi="宋体" w:cs="宋体" w:eastAsia="宋体"/>
                <w:sz w:val="20"/>
              </w:rPr>
              <w:t>，同时也将</w:t>
            </w:r>
            <w:r>
              <w:rPr>
                <w:rFonts w:ascii="宋体" w:hAnsi="宋体" w:cs="宋体" w:eastAsia="宋体"/>
                <w:sz w:val="20"/>
              </w:rPr>
              <w:t>12328系统呼出电话通过呼叫线路送出</w:t>
            </w:r>
            <w:r>
              <w:rPr>
                <w:rFonts w:ascii="宋体" w:hAnsi="宋体" w:cs="宋体" w:eastAsia="宋体"/>
                <w:sz w:val="20"/>
              </w:rPr>
              <w:t>。</w:t>
            </w:r>
          </w:p>
          <w:p>
            <w:pPr>
              <w:pStyle w:val="null3"/>
              <w:ind w:firstLine="400"/>
              <w:jc w:val="both"/>
            </w:pP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五条</w:t>
            </w:r>
            <w:r>
              <w:rPr>
                <w:rFonts w:ascii="宋体" w:hAnsi="宋体" w:cs="宋体" w:eastAsia="宋体"/>
                <w:sz w:val="20"/>
              </w:rPr>
              <w:t>PRI电路（30B+D）作为呼叫线路用于支撑12122&amp;12328热线的呼入和呼出业务。</w:t>
            </w:r>
          </w:p>
          <w:p>
            <w:pPr>
              <w:pStyle w:val="null3"/>
              <w:ind w:firstLine="400"/>
              <w:jc w:val="both"/>
            </w:pPr>
            <w:r>
              <w:rPr>
                <w:rFonts w:ascii="宋体" w:hAnsi="宋体" w:cs="宋体" w:eastAsia="宋体"/>
                <w:sz w:val="20"/>
              </w:rPr>
              <w:t>（</w:t>
            </w:r>
            <w:r>
              <w:rPr>
                <w:rFonts w:ascii="宋体" w:hAnsi="宋体" w:cs="宋体" w:eastAsia="宋体"/>
                <w:sz w:val="20"/>
              </w:rPr>
              <w:t>九</w:t>
            </w:r>
            <w:r>
              <w:rPr>
                <w:rFonts w:ascii="宋体" w:hAnsi="宋体" w:cs="宋体" w:eastAsia="宋体"/>
                <w:sz w:val="20"/>
              </w:rPr>
              <w:t>）</w:t>
            </w:r>
            <w:r>
              <w:rPr>
                <w:rFonts w:ascii="宋体" w:hAnsi="宋体" w:cs="宋体" w:eastAsia="宋体"/>
                <w:sz w:val="20"/>
              </w:rPr>
              <w:t>12328数据专线</w:t>
            </w:r>
          </w:p>
          <w:p>
            <w:pPr>
              <w:pStyle w:val="null3"/>
              <w:ind w:firstLine="400"/>
              <w:jc w:val="both"/>
            </w:pPr>
            <w:r>
              <w:rPr>
                <w:rFonts w:ascii="宋体" w:hAnsi="宋体" w:cs="宋体" w:eastAsia="宋体"/>
                <w:sz w:val="20"/>
              </w:rPr>
              <w:t>在用</w:t>
            </w:r>
            <w:r>
              <w:rPr>
                <w:rFonts w:ascii="宋体" w:hAnsi="宋体" w:cs="宋体" w:eastAsia="宋体"/>
                <w:sz w:val="20"/>
              </w:rPr>
              <w:t>1条20M的MSTP数据专线（连接省交通运输厅机房至广电网络机房）用于12328系统的数据传输。2018年8月底按照《陕西省交通运输监测中心关于陕西省12328交通运输服务监督电话系统后期运行维护事项的说明》（陕交监测函〔2018〕20号）要求，系统后期运行管理工作移交</w:t>
            </w:r>
            <w:r>
              <w:rPr>
                <w:rFonts w:ascii="宋体" w:hAnsi="宋体" w:cs="宋体" w:eastAsia="宋体"/>
                <w:sz w:val="20"/>
              </w:rPr>
              <w:t>省收费中心</w:t>
            </w:r>
            <w:r>
              <w:rPr>
                <w:rFonts w:ascii="宋体" w:hAnsi="宋体" w:cs="宋体" w:eastAsia="宋体"/>
                <w:sz w:val="20"/>
              </w:rPr>
              <w:t>。</w:t>
            </w:r>
          </w:p>
          <w:p>
            <w:pPr>
              <w:pStyle w:val="null3"/>
              <w:ind w:firstLine="400"/>
              <w:jc w:val="both"/>
            </w:pPr>
            <w:r>
              <w:rPr>
                <w:rFonts w:ascii="宋体" w:hAnsi="宋体" w:cs="宋体" w:eastAsia="宋体"/>
                <w:sz w:val="20"/>
              </w:rPr>
              <w:t>由于</w:t>
            </w:r>
            <w:r>
              <w:rPr>
                <w:rFonts w:ascii="宋体" w:hAnsi="宋体" w:cs="宋体" w:eastAsia="宋体"/>
                <w:sz w:val="20"/>
              </w:rPr>
              <w:t>12328系统采用租用方式部署于省广电网络机房内，为保证省交通运输厅网内的终端电脑能访问到12328系统服务器，因此租用的12328数据专线负责省交通运输厅至广电网络之间的数据传输作用。</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一条</w:t>
            </w:r>
            <w:r>
              <w:rPr>
                <w:rFonts w:ascii="宋体" w:hAnsi="宋体" w:cs="宋体" w:eastAsia="宋体"/>
                <w:sz w:val="20"/>
              </w:rPr>
              <w:t>20M的MSTP数据专线（连接省交通运输厅机房至运营商机房）用于12328系统的数据传输。</w:t>
            </w:r>
          </w:p>
          <w:p>
            <w:pPr>
              <w:pStyle w:val="null3"/>
              <w:ind w:firstLine="400"/>
              <w:jc w:val="both"/>
            </w:pPr>
            <w:r>
              <w:rPr>
                <w:rFonts w:ascii="宋体" w:hAnsi="宋体" w:cs="宋体" w:eastAsia="宋体"/>
                <w:sz w:val="20"/>
              </w:rPr>
              <w:t>（</w:t>
            </w:r>
            <w:r>
              <w:rPr>
                <w:rFonts w:ascii="宋体" w:hAnsi="宋体" w:cs="宋体" w:eastAsia="宋体"/>
                <w:sz w:val="20"/>
              </w:rPr>
              <w:t>十</w:t>
            </w:r>
            <w:r>
              <w:rPr>
                <w:rFonts w:ascii="宋体" w:hAnsi="宋体" w:cs="宋体" w:eastAsia="宋体"/>
                <w:sz w:val="20"/>
              </w:rPr>
              <w:t>）</w:t>
            </w:r>
            <w:r>
              <w:rPr>
                <w:rFonts w:ascii="宋体" w:hAnsi="宋体" w:cs="宋体" w:eastAsia="宋体"/>
                <w:sz w:val="20"/>
              </w:rPr>
              <w:t>12328</w:t>
            </w:r>
            <w:r>
              <w:rPr>
                <w:rFonts w:ascii="宋体" w:hAnsi="宋体" w:cs="宋体" w:eastAsia="宋体"/>
                <w:sz w:val="20"/>
              </w:rPr>
              <w:t>备用</w:t>
            </w:r>
            <w:r>
              <w:rPr>
                <w:rFonts w:ascii="宋体" w:hAnsi="宋体" w:cs="宋体" w:eastAsia="宋体"/>
                <w:sz w:val="20"/>
              </w:rPr>
              <w:t>数据专线</w:t>
            </w:r>
          </w:p>
          <w:p>
            <w:pPr>
              <w:pStyle w:val="null3"/>
              <w:ind w:firstLine="400"/>
              <w:jc w:val="both"/>
            </w:pPr>
            <w:r>
              <w:rPr>
                <w:rFonts w:ascii="宋体" w:hAnsi="宋体" w:cs="宋体" w:eastAsia="宋体"/>
                <w:sz w:val="20"/>
              </w:rPr>
              <w:t>加强</w:t>
            </w:r>
            <w:r>
              <w:rPr>
                <w:rFonts w:ascii="宋体" w:hAnsi="宋体" w:cs="宋体" w:eastAsia="宋体"/>
                <w:sz w:val="20"/>
              </w:rPr>
              <w:t>12328电话系统运行保障，确保在主线路异常情况下12328数据安全、稳定传输。经由省广电网络的数据专线，由于从终端需经过交通专网先汇聚至省交通运输厅，再由省交通运输厅直连至省广电网络机房内，中间长途链路环节多，链路故障不可避免，经常造成终端访问中断。为解决网络问题，收费中心于2021年9月，租用移动公司20M数据专线，做为数据专线的备用链路，链路起止为</w:t>
            </w:r>
            <w:r>
              <w:rPr>
                <w:rFonts w:ascii="宋体" w:hAnsi="宋体" w:cs="宋体" w:eastAsia="宋体"/>
                <w:sz w:val="20"/>
              </w:rPr>
              <w:t>省收费中心</w:t>
            </w:r>
            <w:r>
              <w:rPr>
                <w:rFonts w:ascii="宋体" w:hAnsi="宋体" w:cs="宋体" w:eastAsia="宋体"/>
                <w:sz w:val="20"/>
              </w:rPr>
              <w:t>机房至省广电网络机房，当省交通运输厅的数据网络出现故障时，可切换至此移动专线保证网络正常。</w:t>
            </w:r>
          </w:p>
          <w:p>
            <w:pPr>
              <w:pStyle w:val="null3"/>
              <w:ind w:firstLine="400"/>
              <w:jc w:val="both"/>
            </w:pP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一条</w:t>
            </w:r>
            <w:r>
              <w:rPr>
                <w:rFonts w:ascii="宋体" w:hAnsi="宋体" w:cs="宋体" w:eastAsia="宋体"/>
                <w:sz w:val="20"/>
              </w:rPr>
              <w:t>20M的MSTP数据专线（连接省交通运输厅机房至运营商机房）用于12328系统的数据传输。</w:t>
            </w:r>
          </w:p>
          <w:p>
            <w:pPr>
              <w:pStyle w:val="null3"/>
              <w:ind w:firstLine="400"/>
              <w:jc w:val="both"/>
            </w:pPr>
            <w:r>
              <w:rPr>
                <w:rFonts w:ascii="宋体" w:hAnsi="宋体" w:cs="宋体" w:eastAsia="宋体"/>
                <w:sz w:val="20"/>
              </w:rPr>
              <w:t>（</w:t>
            </w:r>
            <w:r>
              <w:rPr>
                <w:rFonts w:ascii="宋体" w:hAnsi="宋体" w:cs="宋体" w:eastAsia="宋体"/>
                <w:sz w:val="20"/>
              </w:rPr>
              <w:t>十一</w:t>
            </w:r>
            <w:r>
              <w:rPr>
                <w:rFonts w:ascii="宋体" w:hAnsi="宋体" w:cs="宋体" w:eastAsia="宋体"/>
                <w:sz w:val="20"/>
              </w:rPr>
              <w:t>）互联网专线线路（</w:t>
            </w:r>
            <w:r>
              <w:rPr>
                <w:rFonts w:ascii="宋体" w:hAnsi="宋体" w:cs="宋体" w:eastAsia="宋体"/>
                <w:sz w:val="20"/>
              </w:rPr>
              <w:t>3条100M）</w:t>
            </w:r>
          </w:p>
          <w:p>
            <w:pPr>
              <w:pStyle w:val="null3"/>
              <w:ind w:firstLine="400"/>
              <w:jc w:val="both"/>
            </w:pPr>
            <w:r>
              <w:rPr>
                <w:rFonts w:ascii="宋体" w:hAnsi="宋体" w:cs="宋体" w:eastAsia="宋体"/>
                <w:sz w:val="20"/>
              </w:rPr>
              <w:t>为保障陕西省高速公路</w:t>
            </w:r>
            <w:r>
              <w:rPr>
                <w:rFonts w:ascii="宋体" w:hAnsi="宋体" w:cs="宋体" w:eastAsia="宋体"/>
                <w:sz w:val="20"/>
              </w:rPr>
              <w:t>ETC发行服务系统向我省ETC用户提供持续高效、优质稳定的服务，满足线上线下服务网点、移动发行终端、拓展应用场景、合作银行系统接入等多渠道服务方式与功能的需要，利用电信基础运营商提供的互联网或专线组网，实现我省ETC发行服务系统与合作银行、ETC网点、拓展应用场景、移动发行终端、用户访问互联，向外提供相关ETC服务。具体包括：线路1：承载交通ETC服务网点（162个）的ETC发行与售后及运维单位对ETC发行服务系统远程实时监测接入的互联网专线；</w:t>
            </w:r>
          </w:p>
          <w:p>
            <w:pPr>
              <w:pStyle w:val="null3"/>
              <w:ind w:firstLine="400"/>
              <w:jc w:val="both"/>
            </w:pPr>
            <w:r>
              <w:rPr>
                <w:rFonts w:ascii="宋体" w:hAnsi="宋体" w:cs="宋体" w:eastAsia="宋体"/>
                <w:sz w:val="20"/>
              </w:rPr>
              <w:t>线路</w:t>
            </w:r>
            <w:r>
              <w:rPr>
                <w:rFonts w:ascii="宋体" w:hAnsi="宋体" w:cs="宋体" w:eastAsia="宋体"/>
                <w:sz w:val="20"/>
              </w:rPr>
              <w:t>2：承载陕西ETC网厅、拓展应用、APP、对接短信平台以及第三方ETC合作机构接入的互联网专线；线路3：承载95022热线、95022客服支撑平台以及公司办公互联网专线接入的互联网专线。</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数量：三条各</w:t>
            </w:r>
            <w:r>
              <w:rPr>
                <w:rFonts w:ascii="宋体" w:hAnsi="宋体" w:cs="宋体" w:eastAsia="宋体"/>
                <w:sz w:val="20"/>
              </w:rPr>
              <w:t>100M线路；</w:t>
            </w:r>
          </w:p>
          <w:p>
            <w:pPr>
              <w:pStyle w:val="null3"/>
              <w:ind w:firstLine="400"/>
              <w:jc w:val="both"/>
            </w:pPr>
            <w:r>
              <w:rPr>
                <w:rFonts w:ascii="宋体" w:hAnsi="宋体" w:cs="宋体" w:eastAsia="宋体"/>
                <w:sz w:val="20"/>
              </w:rPr>
              <w:t>IP地址要求：每条线路带2组各4个（3条共24个）互联网IP地址；</w:t>
            </w:r>
          </w:p>
          <w:p>
            <w:pPr>
              <w:pStyle w:val="null3"/>
              <w:ind w:firstLine="400"/>
              <w:jc w:val="both"/>
            </w:pPr>
            <w:r>
              <w:rPr>
                <w:rFonts w:ascii="宋体" w:hAnsi="宋体" w:cs="宋体" w:eastAsia="宋体"/>
                <w:sz w:val="20"/>
              </w:rPr>
              <w:t>接入：互联网光纤专线；</w:t>
            </w:r>
          </w:p>
          <w:p>
            <w:pPr>
              <w:pStyle w:val="null3"/>
              <w:ind w:firstLine="400"/>
              <w:jc w:val="both"/>
            </w:pPr>
            <w:r>
              <w:rPr>
                <w:rFonts w:ascii="宋体" w:hAnsi="宋体" w:cs="宋体" w:eastAsia="宋体"/>
                <w:sz w:val="20"/>
              </w:rPr>
              <w:t>带宽：</w:t>
            </w:r>
            <w:r>
              <w:rPr>
                <w:rFonts w:ascii="宋体" w:hAnsi="宋体" w:cs="宋体" w:eastAsia="宋体"/>
                <w:sz w:val="20"/>
              </w:rPr>
              <w:t>100Mbps；</w:t>
            </w:r>
          </w:p>
          <w:p>
            <w:pPr>
              <w:pStyle w:val="null3"/>
              <w:ind w:firstLine="400"/>
              <w:jc w:val="both"/>
            </w:pPr>
            <w:r>
              <w:rPr>
                <w:rFonts w:ascii="宋体" w:hAnsi="宋体" w:cs="宋体" w:eastAsia="宋体"/>
                <w:sz w:val="20"/>
              </w:rPr>
              <w:t>接口：</w:t>
            </w:r>
            <w:r>
              <w:rPr>
                <w:rFonts w:ascii="宋体" w:hAnsi="宋体" w:cs="宋体" w:eastAsia="宋体"/>
                <w:sz w:val="20"/>
              </w:rPr>
              <w:t>IEEE 802.3z Ethernet（光口</w:t>
            </w:r>
            <w:r>
              <w:rPr>
                <w:rFonts w:ascii="宋体" w:hAnsi="宋体" w:cs="宋体" w:eastAsia="宋体"/>
                <w:sz w:val="20"/>
              </w:rPr>
              <w:t>）</w:t>
            </w:r>
            <w:r>
              <w:rPr>
                <w:rFonts w:ascii="宋体" w:hAnsi="宋体" w:cs="宋体" w:eastAsia="宋体"/>
                <w:sz w:val="20"/>
              </w:rPr>
              <w:t>；</w:t>
            </w:r>
          </w:p>
          <w:p>
            <w:pPr>
              <w:pStyle w:val="null3"/>
              <w:ind w:firstLine="400"/>
              <w:jc w:val="both"/>
            </w:pPr>
            <w:r>
              <w:rPr>
                <w:rFonts w:ascii="宋体" w:hAnsi="宋体" w:cs="宋体" w:eastAsia="宋体"/>
                <w:sz w:val="20"/>
              </w:rPr>
              <w:t>物理接口最高速率：</w:t>
            </w:r>
            <w:r>
              <w:rPr>
                <w:rFonts w:ascii="宋体" w:hAnsi="宋体" w:cs="宋体" w:eastAsia="宋体"/>
                <w:sz w:val="20"/>
              </w:rPr>
              <w:t>1GE；</w:t>
            </w:r>
          </w:p>
          <w:p>
            <w:pPr>
              <w:pStyle w:val="null3"/>
              <w:ind w:firstLine="400"/>
              <w:jc w:val="both"/>
            </w:pPr>
            <w:r>
              <w:rPr>
                <w:rFonts w:ascii="宋体" w:hAnsi="宋体" w:cs="宋体" w:eastAsia="宋体"/>
                <w:sz w:val="20"/>
              </w:rPr>
              <w:t>上下行速率差：上行速率</w:t>
            </w:r>
            <w:r>
              <w:rPr>
                <w:rFonts w:ascii="宋体" w:hAnsi="宋体" w:cs="宋体" w:eastAsia="宋体"/>
                <w:sz w:val="20"/>
              </w:rPr>
              <w:t>≥下行速率×99%；</w:t>
            </w:r>
          </w:p>
          <w:p>
            <w:pPr>
              <w:pStyle w:val="null3"/>
              <w:ind w:firstLine="400"/>
              <w:jc w:val="both"/>
            </w:pPr>
            <w:r>
              <w:rPr>
                <w:rFonts w:ascii="宋体" w:hAnsi="宋体" w:cs="宋体" w:eastAsia="宋体"/>
                <w:sz w:val="20"/>
              </w:rPr>
              <w:t>线路接入要求：从城域网核心节点专用光路接入中心端机房，各节点专用光路接入电信端局城域网交换机；</w:t>
            </w:r>
          </w:p>
          <w:p>
            <w:pPr>
              <w:pStyle w:val="null3"/>
              <w:ind w:firstLine="400"/>
              <w:jc w:val="both"/>
            </w:pPr>
            <w:r>
              <w:rPr>
                <w:rFonts w:ascii="宋体" w:hAnsi="宋体" w:cs="宋体" w:eastAsia="宋体"/>
                <w:sz w:val="20"/>
              </w:rPr>
              <w:t>光模块：</w:t>
            </w:r>
            <w:r>
              <w:rPr>
                <w:rFonts w:ascii="宋体" w:hAnsi="宋体" w:cs="宋体" w:eastAsia="宋体"/>
                <w:sz w:val="20"/>
              </w:rPr>
              <w:t>50公里；</w:t>
            </w:r>
          </w:p>
          <w:p>
            <w:pPr>
              <w:pStyle w:val="null3"/>
              <w:ind w:firstLine="400"/>
              <w:jc w:val="both"/>
            </w:pPr>
            <w:r>
              <w:rPr>
                <w:rFonts w:ascii="宋体" w:hAnsi="宋体" w:cs="宋体" w:eastAsia="宋体"/>
                <w:sz w:val="20"/>
              </w:rPr>
              <w:t>故障处理时间：响应时间</w:t>
            </w:r>
            <w:r>
              <w:rPr>
                <w:rFonts w:ascii="宋体" w:hAnsi="宋体" w:cs="宋体" w:eastAsia="宋体"/>
                <w:sz w:val="20"/>
              </w:rPr>
              <w:t>≤15分钟  修复时间≤4小时。</w:t>
            </w:r>
          </w:p>
          <w:p>
            <w:pPr>
              <w:pStyle w:val="null3"/>
              <w:ind w:firstLine="400"/>
              <w:jc w:val="both"/>
            </w:pPr>
            <w:r>
              <w:rPr>
                <w:rFonts w:ascii="宋体" w:hAnsi="宋体" w:cs="宋体" w:eastAsia="宋体"/>
                <w:sz w:val="20"/>
              </w:rPr>
              <w:t>（</w:t>
            </w:r>
            <w:r>
              <w:rPr>
                <w:rFonts w:ascii="宋体" w:hAnsi="宋体" w:cs="宋体" w:eastAsia="宋体"/>
                <w:sz w:val="20"/>
              </w:rPr>
              <w:t>十二</w:t>
            </w:r>
            <w:r>
              <w:rPr>
                <w:rFonts w:ascii="宋体" w:hAnsi="宋体" w:cs="宋体" w:eastAsia="宋体"/>
                <w:sz w:val="20"/>
              </w:rPr>
              <w:t>）</w:t>
            </w:r>
            <w:r>
              <w:rPr>
                <w:rFonts w:ascii="宋体" w:hAnsi="宋体" w:cs="宋体" w:eastAsia="宋体"/>
                <w:sz w:val="20"/>
              </w:rPr>
              <w:t>高速</w:t>
            </w:r>
            <w:r>
              <w:rPr>
                <w:rFonts w:ascii="宋体" w:hAnsi="宋体" w:cs="宋体" w:eastAsia="宋体"/>
                <w:sz w:val="20"/>
              </w:rPr>
              <w:t>数字电路（</w:t>
            </w:r>
            <w:r>
              <w:rPr>
                <w:rFonts w:ascii="宋体" w:hAnsi="宋体" w:cs="宋体" w:eastAsia="宋体"/>
                <w:sz w:val="20"/>
              </w:rPr>
              <w:t>1条2M,1条4M）</w:t>
            </w:r>
          </w:p>
          <w:p>
            <w:pPr>
              <w:pStyle w:val="null3"/>
              <w:ind w:firstLine="400"/>
              <w:jc w:val="both"/>
            </w:pPr>
            <w:r>
              <w:rPr>
                <w:rFonts w:ascii="宋体" w:hAnsi="宋体" w:cs="宋体" w:eastAsia="宋体"/>
                <w:sz w:val="20"/>
              </w:rPr>
              <w:t>为方便网点移动办理，为网点配置移动发行终端设备进行</w:t>
            </w:r>
            <w:r>
              <w:rPr>
                <w:rFonts w:ascii="宋体" w:hAnsi="宋体" w:cs="宋体" w:eastAsia="宋体"/>
                <w:sz w:val="20"/>
              </w:rPr>
              <w:t>ETC业务服务，该线路用于移动发行终端设备接入ETC发行系统。</w:t>
            </w:r>
          </w:p>
          <w:p>
            <w:pPr>
              <w:pStyle w:val="null3"/>
              <w:ind w:firstLine="400"/>
              <w:jc w:val="both"/>
            </w:pP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一条</w:t>
            </w:r>
            <w:r>
              <w:rPr>
                <w:rFonts w:ascii="宋体" w:hAnsi="宋体" w:cs="宋体" w:eastAsia="宋体"/>
                <w:sz w:val="20"/>
              </w:rPr>
              <w:t>2M专线和一条4M专线；</w:t>
            </w:r>
          </w:p>
          <w:p>
            <w:pPr>
              <w:pStyle w:val="null3"/>
              <w:ind w:firstLine="400"/>
              <w:jc w:val="both"/>
            </w:pPr>
            <w:r>
              <w:rPr>
                <w:rFonts w:ascii="宋体" w:hAnsi="宋体" w:cs="宋体" w:eastAsia="宋体"/>
                <w:sz w:val="20"/>
              </w:rPr>
              <w:t>具备专线电路网管系统的能力，能够提供专线网络接入设备、传输线路等监控，可监控、管理到设备端口</w:t>
            </w:r>
            <w:r>
              <w:rPr>
                <w:rFonts w:ascii="宋体" w:hAnsi="宋体" w:cs="宋体" w:eastAsia="宋体"/>
                <w:sz w:val="20"/>
              </w:rPr>
              <w:t>,并具备提供网络状态告警服务的能力；</w:t>
            </w:r>
          </w:p>
          <w:p>
            <w:pPr>
              <w:pStyle w:val="null3"/>
              <w:ind w:firstLine="400"/>
              <w:jc w:val="both"/>
            </w:pPr>
            <w:r>
              <w:rPr>
                <w:rFonts w:ascii="宋体" w:hAnsi="宋体" w:cs="宋体" w:eastAsia="宋体"/>
                <w:sz w:val="20"/>
              </w:rPr>
              <w:t>所提供的专网网络带宽和互联网网络带宽互不占用；</w:t>
            </w:r>
          </w:p>
          <w:p>
            <w:pPr>
              <w:pStyle w:val="null3"/>
              <w:ind w:firstLine="400"/>
              <w:jc w:val="both"/>
            </w:pPr>
            <w:r>
              <w:rPr>
                <w:rFonts w:ascii="宋体" w:hAnsi="宋体" w:cs="宋体" w:eastAsia="宋体"/>
                <w:sz w:val="20"/>
              </w:rPr>
              <w:t>需负责数字传输专线电路端到端维护工作；</w:t>
            </w:r>
          </w:p>
          <w:p>
            <w:pPr>
              <w:pStyle w:val="null3"/>
              <w:ind w:firstLine="400"/>
              <w:jc w:val="both"/>
            </w:pPr>
            <w:r>
              <w:rPr>
                <w:rFonts w:ascii="宋体" w:hAnsi="宋体" w:cs="宋体" w:eastAsia="宋体"/>
                <w:sz w:val="20"/>
              </w:rPr>
              <w:t>数字传输专线电路允许客户发送</w:t>
            </w:r>
            <w:r>
              <w:rPr>
                <w:rFonts w:ascii="宋体" w:hAnsi="宋体" w:cs="宋体" w:eastAsia="宋体"/>
                <w:sz w:val="20"/>
              </w:rPr>
              <w:t>MTU默认为1538；</w:t>
            </w:r>
          </w:p>
          <w:p>
            <w:pPr>
              <w:pStyle w:val="null3"/>
              <w:ind w:firstLine="400"/>
              <w:jc w:val="both"/>
            </w:pPr>
            <w:r>
              <w:rPr>
                <w:rFonts w:ascii="宋体" w:hAnsi="宋体" w:cs="宋体" w:eastAsia="宋体"/>
                <w:sz w:val="20"/>
              </w:rPr>
              <w:t>数字传输专线电路平均丢帧率低于</w:t>
            </w:r>
            <w:r>
              <w:rPr>
                <w:rFonts w:ascii="宋体" w:hAnsi="宋体" w:cs="宋体" w:eastAsia="宋体"/>
                <w:sz w:val="20"/>
              </w:rPr>
              <w:t>10-7次方；</w:t>
            </w:r>
          </w:p>
          <w:p>
            <w:pPr>
              <w:pStyle w:val="null3"/>
              <w:ind w:firstLine="400"/>
              <w:jc w:val="both"/>
            </w:pPr>
            <w:r>
              <w:rPr>
                <w:rFonts w:ascii="宋体" w:hAnsi="宋体" w:cs="宋体" w:eastAsia="宋体"/>
                <w:sz w:val="20"/>
              </w:rPr>
              <w:t>数字传输专线电路时延小于等于</w:t>
            </w:r>
            <w:r>
              <w:rPr>
                <w:rFonts w:ascii="宋体" w:hAnsi="宋体" w:cs="宋体" w:eastAsia="宋体"/>
                <w:sz w:val="20"/>
              </w:rPr>
              <w:t>50ms；</w:t>
            </w:r>
          </w:p>
          <w:p>
            <w:pPr>
              <w:pStyle w:val="null3"/>
              <w:ind w:firstLine="400"/>
              <w:jc w:val="both"/>
            </w:pPr>
            <w:r>
              <w:rPr>
                <w:rFonts w:ascii="宋体" w:hAnsi="宋体" w:cs="宋体" w:eastAsia="宋体"/>
                <w:sz w:val="20"/>
              </w:rPr>
              <w:t>数字传输专线电路承诺带宽与测试值误差应小于</w:t>
            </w:r>
            <w:r>
              <w:rPr>
                <w:rFonts w:ascii="宋体" w:hAnsi="宋体" w:cs="宋体" w:eastAsia="宋体"/>
                <w:sz w:val="20"/>
              </w:rPr>
              <w:t>1%；</w:t>
            </w:r>
          </w:p>
          <w:p>
            <w:pPr>
              <w:pStyle w:val="null3"/>
              <w:ind w:firstLine="400"/>
              <w:jc w:val="both"/>
            </w:pPr>
            <w:r>
              <w:rPr>
                <w:rFonts w:ascii="宋体" w:hAnsi="宋体" w:cs="宋体" w:eastAsia="宋体"/>
                <w:sz w:val="20"/>
              </w:rPr>
              <w:t>数字传输专线电路链路支持光</w:t>
            </w:r>
            <w:r>
              <w:rPr>
                <w:rFonts w:ascii="宋体" w:hAnsi="宋体" w:cs="宋体" w:eastAsia="宋体"/>
                <w:sz w:val="20"/>
              </w:rPr>
              <w:t>/电2M--1000M光口GE等灵活接口类型，带宽可平滑升速，最高可支持扩展至万兆口。</w:t>
            </w:r>
          </w:p>
          <w:p>
            <w:pPr>
              <w:pStyle w:val="null3"/>
              <w:ind w:firstLine="400"/>
              <w:jc w:val="both"/>
            </w:pPr>
            <w:r>
              <w:rPr>
                <w:rFonts w:ascii="宋体" w:hAnsi="宋体" w:cs="宋体" w:eastAsia="宋体"/>
                <w:sz w:val="20"/>
              </w:rPr>
              <w:t>（十</w:t>
            </w:r>
            <w:r>
              <w:rPr>
                <w:rFonts w:ascii="宋体" w:hAnsi="宋体" w:cs="宋体" w:eastAsia="宋体"/>
                <w:sz w:val="20"/>
              </w:rPr>
              <w:t>三</w:t>
            </w:r>
            <w:r>
              <w:rPr>
                <w:rFonts w:ascii="宋体" w:hAnsi="宋体" w:cs="宋体" w:eastAsia="宋体"/>
                <w:sz w:val="20"/>
              </w:rPr>
              <w:t>）</w:t>
            </w:r>
            <w:r>
              <w:rPr>
                <w:rFonts w:ascii="宋体" w:hAnsi="宋体" w:cs="宋体" w:eastAsia="宋体"/>
                <w:sz w:val="20"/>
              </w:rPr>
              <w:t>12122系统互联网专线</w:t>
            </w:r>
            <w:r>
              <w:rPr>
                <w:rFonts w:ascii="宋体" w:hAnsi="宋体" w:cs="宋体" w:eastAsia="宋体"/>
                <w:sz w:val="20"/>
              </w:rPr>
              <w:t>&amp;12122系统互联网专线（备用）</w:t>
            </w:r>
          </w:p>
          <w:p>
            <w:pPr>
              <w:pStyle w:val="null3"/>
              <w:ind w:firstLine="400"/>
              <w:jc w:val="both"/>
            </w:pPr>
            <w:r>
              <w:rPr>
                <w:rFonts w:ascii="宋体" w:hAnsi="宋体" w:cs="宋体" w:eastAsia="宋体"/>
                <w:sz w:val="20"/>
              </w:rPr>
              <w:t>根据</w:t>
            </w:r>
            <w:r>
              <w:rPr>
                <w:rFonts w:ascii="宋体" w:hAnsi="宋体" w:cs="宋体" w:eastAsia="宋体"/>
                <w:sz w:val="20"/>
              </w:rPr>
              <w:t>12122与96166系统整合建设要求，系统必须允许互联网访问，由于12122话务系统的重要性与服务及时性，必须保证7*24小时话务通畅，因此对网络带宽质量及稳定性要求非常高，故需要单独布设互联网专线保证系统使用的网络带宽质量。</w:t>
            </w:r>
            <w:r>
              <w:rPr>
                <w:rFonts w:ascii="宋体" w:hAnsi="宋体" w:cs="宋体" w:eastAsia="宋体"/>
                <w:sz w:val="20"/>
              </w:rPr>
              <w:t>同时，</w:t>
            </w:r>
            <w:r>
              <w:rPr>
                <w:rFonts w:ascii="宋体" w:hAnsi="宋体" w:cs="宋体" w:eastAsia="宋体"/>
                <w:sz w:val="20"/>
              </w:rPr>
              <w:t>由于从运营商到收费中心机房中间长途链路环节多，链路故障不可避免，容易导致网络访问中断，因此需要布设两家不同运营商的互联网专线相互备用，保证</w:t>
            </w:r>
            <w:r>
              <w:rPr>
                <w:rFonts w:ascii="宋体" w:hAnsi="宋体" w:cs="宋体" w:eastAsia="宋体"/>
                <w:sz w:val="20"/>
              </w:rPr>
              <w:t>12122系统网络稳定性。</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带宽要求：</w:t>
            </w:r>
            <w:r>
              <w:rPr>
                <w:rFonts w:ascii="宋体" w:hAnsi="宋体" w:cs="宋体" w:eastAsia="宋体"/>
                <w:sz w:val="20"/>
              </w:rPr>
              <w:t>50M/条，</w:t>
            </w:r>
            <w:r>
              <w:rPr>
                <w:rFonts w:ascii="宋体" w:hAnsi="宋体" w:cs="宋体" w:eastAsia="宋体"/>
                <w:sz w:val="20"/>
              </w:rPr>
              <w:t>2</w:t>
            </w:r>
            <w:r>
              <w:rPr>
                <w:rFonts w:ascii="宋体" w:hAnsi="宋体" w:cs="宋体" w:eastAsia="宋体"/>
                <w:sz w:val="20"/>
              </w:rPr>
              <w:t>条，上</w:t>
            </w:r>
            <w:r>
              <w:rPr>
                <w:rFonts w:ascii="宋体" w:hAnsi="宋体" w:cs="宋体" w:eastAsia="宋体"/>
                <w:sz w:val="20"/>
              </w:rPr>
              <w:t>/下行速率需保持一致；</w:t>
            </w:r>
          </w:p>
          <w:p>
            <w:pPr>
              <w:pStyle w:val="null3"/>
              <w:ind w:firstLine="400"/>
              <w:jc w:val="both"/>
            </w:pPr>
            <w:r>
              <w:rPr>
                <w:rFonts w:ascii="宋体" w:hAnsi="宋体" w:cs="宋体" w:eastAsia="宋体"/>
                <w:sz w:val="20"/>
              </w:rPr>
              <w:t>物理安装位置：互联网专线需要接入到收费中心四楼机房的网络机柜</w:t>
            </w:r>
            <w:r>
              <w:rPr>
                <w:rFonts w:ascii="宋体" w:hAnsi="宋体" w:cs="宋体" w:eastAsia="宋体"/>
                <w:sz w:val="20"/>
              </w:rPr>
              <w:t>8；</w:t>
            </w:r>
          </w:p>
          <w:p>
            <w:pPr>
              <w:pStyle w:val="null3"/>
              <w:ind w:firstLine="400"/>
              <w:jc w:val="both"/>
            </w:pPr>
            <w:r>
              <w:rPr>
                <w:rFonts w:ascii="宋体" w:hAnsi="宋体" w:cs="宋体" w:eastAsia="宋体"/>
                <w:sz w:val="20"/>
              </w:rPr>
              <w:t>外网</w:t>
            </w:r>
            <w:r>
              <w:rPr>
                <w:rFonts w:ascii="宋体" w:hAnsi="宋体" w:cs="宋体" w:eastAsia="宋体"/>
                <w:sz w:val="20"/>
              </w:rPr>
              <w:t>ip要求：每个运营商至少需要提供一个外网可访问的固定IP。</w:t>
            </w:r>
          </w:p>
          <w:p>
            <w:pPr>
              <w:pStyle w:val="null3"/>
              <w:ind w:firstLine="400"/>
              <w:jc w:val="both"/>
            </w:pPr>
            <w:r>
              <w:rPr>
                <w:rFonts w:ascii="宋体" w:hAnsi="宋体" w:cs="宋体" w:eastAsia="宋体"/>
                <w:sz w:val="20"/>
              </w:rPr>
              <w:t>（十</w:t>
            </w:r>
            <w:r>
              <w:rPr>
                <w:rFonts w:ascii="宋体" w:hAnsi="宋体" w:cs="宋体" w:eastAsia="宋体"/>
                <w:sz w:val="20"/>
              </w:rPr>
              <w:t>四</w:t>
            </w:r>
            <w:r>
              <w:rPr>
                <w:rFonts w:ascii="宋体" w:hAnsi="宋体" w:cs="宋体" w:eastAsia="宋体"/>
                <w:sz w:val="20"/>
              </w:rPr>
              <w:t>）</w:t>
            </w:r>
            <w:r>
              <w:rPr>
                <w:rFonts w:ascii="宋体" w:hAnsi="宋体" w:cs="宋体" w:eastAsia="宋体"/>
                <w:sz w:val="20"/>
              </w:rPr>
              <w:t>12122热线SIP线路</w:t>
            </w:r>
          </w:p>
          <w:p>
            <w:pPr>
              <w:pStyle w:val="null3"/>
              <w:ind w:firstLine="400"/>
              <w:jc w:val="both"/>
            </w:pPr>
            <w:r>
              <w:rPr>
                <w:rFonts w:ascii="宋体" w:hAnsi="宋体" w:cs="宋体" w:eastAsia="宋体"/>
                <w:sz w:val="20"/>
              </w:rPr>
              <w:t>为确保确保用户拨打</w:t>
            </w:r>
            <w:r>
              <w:rPr>
                <w:rFonts w:ascii="宋体" w:hAnsi="宋体" w:cs="宋体" w:eastAsia="宋体"/>
                <w:sz w:val="20"/>
              </w:rPr>
              <w:t>12122的正常接入，按照12122与96166系统整合建设方案，需租用一条SIP呼叫线路，中继线路是连接运营商PSTN网络到用户中继网关之间的线路，运营商会将所有呼叫用户热线号码的来电，通过中继线路送入用户的语音电话系统中。</w:t>
            </w:r>
            <w:r>
              <w:rPr>
                <w:rFonts w:ascii="宋体" w:hAnsi="宋体" w:cs="宋体" w:eastAsia="宋体"/>
                <w:sz w:val="20"/>
              </w:rPr>
              <w:t>技术</w:t>
            </w:r>
            <w:r>
              <w:rPr>
                <w:rFonts w:ascii="宋体" w:hAnsi="宋体" w:cs="宋体" w:eastAsia="宋体"/>
                <w:sz w:val="20"/>
              </w:rPr>
              <w:t>要求如下：</w:t>
            </w:r>
          </w:p>
          <w:p>
            <w:pPr>
              <w:pStyle w:val="null3"/>
              <w:ind w:firstLine="400"/>
              <w:jc w:val="both"/>
            </w:pPr>
            <w:r>
              <w:rPr>
                <w:rFonts w:ascii="宋体" w:hAnsi="宋体" w:cs="宋体" w:eastAsia="宋体"/>
                <w:sz w:val="20"/>
              </w:rPr>
              <w:t>1.4条PRI电路，带宽为2M。</w:t>
            </w:r>
          </w:p>
          <w:p>
            <w:pPr>
              <w:pStyle w:val="null3"/>
              <w:ind w:firstLine="400"/>
              <w:jc w:val="both"/>
            </w:pPr>
            <w:r>
              <w:rPr>
                <w:rFonts w:ascii="宋体" w:hAnsi="宋体" w:cs="宋体" w:eastAsia="宋体"/>
                <w:sz w:val="20"/>
              </w:rPr>
              <w:t>2.使用sip中继协议的语音呼叫线路，支持120个坐席同时呼入呼出，通话时延小于400ms。</w:t>
            </w:r>
          </w:p>
        </w:tc>
      </w:tr>
      <w:tr>
        <w:tc>
          <w:tcPr>
            <w:tcW w:type="dxa" w:w="2769"/>
          </w:tcPr>
          <w:p/>
        </w:tc>
        <w:tc>
          <w:tcPr>
            <w:tcW w:type="dxa" w:w="2769"/>
          </w:tcPr>
          <w:p>
            <w:pPr>
              <w:pStyle w:val="null3"/>
            </w:pPr>
            <w:r>
              <w:rPr/>
              <w:t>4</w:t>
            </w:r>
          </w:p>
        </w:tc>
        <w:tc>
          <w:tcPr>
            <w:tcW w:type="dxa" w:w="2769"/>
          </w:tcPr>
          <w:p>
            <w:pPr>
              <w:pStyle w:val="null3"/>
              <w:jc w:val="both"/>
            </w:pPr>
            <w:r>
              <w:rPr>
                <w:rFonts w:ascii="宋体" w:hAnsi="宋体" w:cs="宋体" w:eastAsia="宋体"/>
                <w:sz w:val="20"/>
              </w:rPr>
              <w:t>附件</w:t>
            </w:r>
          </w:p>
          <w:p>
            <w:pPr>
              <w:pStyle w:val="null3"/>
              <w:jc w:val="center"/>
            </w:pPr>
            <w:r>
              <w:rPr>
                <w:rFonts w:ascii="宋体" w:hAnsi="宋体" w:cs="宋体" w:eastAsia="宋体"/>
                <w:sz w:val="20"/>
              </w:rPr>
              <w:t>中心线路租用明细表</w:t>
            </w:r>
          </w:p>
          <w:tbl>
            <w:tblPr>
              <w:tblBorders>
                <w:top w:val="none" w:color="000000" w:sz="4"/>
                <w:left w:val="none" w:color="000000" w:sz="4"/>
                <w:bottom w:val="none" w:color="000000" w:sz="4"/>
                <w:right w:val="none" w:color="000000" w:sz="4"/>
                <w:insideH w:val="none"/>
                <w:insideV w:val="none"/>
              </w:tblBorders>
            </w:tblPr>
            <w:tblGrid>
              <w:gridCol w:w="247"/>
              <w:gridCol w:w="845"/>
              <w:gridCol w:w="941"/>
              <w:gridCol w:w="507"/>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序号</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线路名称</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线路指标</w:t>
                  </w:r>
                </w:p>
              </w:tc>
              <w:tc>
                <w:tcPr>
                  <w:tcW w:type="dxa" w:w="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备注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高速公路部站专线链路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1条1000M专线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安全办公网络宽带</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w:t>
                  </w:r>
                  <w:r>
                    <w:rPr>
                      <w:rFonts w:ascii="宋体" w:hAnsi="宋体" w:cs="宋体" w:eastAsia="宋体"/>
                      <w:sz w:val="20"/>
                    </w:rPr>
                    <w:t>100M</w:t>
                  </w:r>
                  <w:r>
                    <w:rPr>
                      <w:rFonts w:ascii="宋体" w:hAnsi="宋体" w:cs="宋体" w:eastAsia="宋体"/>
                      <w:sz w:val="20"/>
                    </w:rPr>
                    <w:t>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一二级路收费数据传输线路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w:t>
                  </w:r>
                  <w:r>
                    <w:rPr>
                      <w:rFonts w:ascii="宋体" w:hAnsi="宋体" w:cs="宋体" w:eastAsia="宋体"/>
                      <w:sz w:val="20"/>
                    </w:rPr>
                    <w:t>50M</w:t>
                  </w:r>
                  <w:r>
                    <w:rPr>
                      <w:rFonts w:ascii="宋体" w:hAnsi="宋体" w:cs="宋体" w:eastAsia="宋体"/>
                      <w:sz w:val="20"/>
                    </w:rPr>
                    <w:t>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省收费中心至建行</w:t>
                  </w:r>
                </w:p>
                <w:p>
                  <w:pPr>
                    <w:pStyle w:val="null3"/>
                    <w:jc w:val="center"/>
                  </w:pPr>
                  <w:r>
                    <w:rPr>
                      <w:rFonts w:ascii="宋体" w:hAnsi="宋体" w:cs="宋体" w:eastAsia="宋体"/>
                      <w:sz w:val="20"/>
                    </w:rPr>
                    <w:t>2M数字链路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w:t>
                  </w:r>
                  <w:r>
                    <w:rPr>
                      <w:rFonts w:ascii="宋体" w:hAnsi="宋体" w:cs="宋体" w:eastAsia="宋体"/>
                      <w:sz w:val="20"/>
                    </w:rPr>
                    <w:t>2M</w:t>
                  </w:r>
                  <w:r>
                    <w:rPr>
                      <w:rFonts w:ascii="宋体" w:hAnsi="宋体" w:cs="宋体" w:eastAsia="宋体"/>
                      <w:sz w:val="20"/>
                    </w:rPr>
                    <w:t>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省收费中心联网收费数据备用传输线路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1条100M专线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12122呼叫线路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1条2M呼叫专线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12122备用线路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1条2M呼叫专线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12328呼叫线路租用</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5条PRI电路，带宽为2M。</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12328数据专线</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w:t>
                  </w:r>
                  <w:r>
                    <w:rPr>
                      <w:rFonts w:ascii="宋体" w:hAnsi="宋体" w:cs="宋体" w:eastAsia="宋体"/>
                      <w:sz w:val="20"/>
                    </w:rPr>
                    <w:t>20M</w:t>
                  </w:r>
                  <w:r>
                    <w:rPr>
                      <w:rFonts w:ascii="宋体" w:hAnsi="宋体" w:cs="宋体" w:eastAsia="宋体"/>
                      <w:sz w:val="20"/>
                    </w:rPr>
                    <w:t>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0</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12328备用数据专线</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1条20M专线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1</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互联网专线线路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3条各100M</w:t>
                  </w:r>
                  <w:r>
                    <w:rPr>
                      <w:rFonts w:ascii="宋体" w:hAnsi="宋体" w:cs="宋体" w:eastAsia="宋体"/>
                      <w:sz w:val="20"/>
                    </w:rPr>
                    <w:t>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2</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高速数字电路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1条2M</w:t>
                  </w:r>
                  <w:r>
                    <w:rPr>
                      <w:rFonts w:ascii="宋体" w:hAnsi="宋体" w:cs="宋体" w:eastAsia="宋体"/>
                      <w:sz w:val="20"/>
                    </w:rPr>
                    <w:t>和</w:t>
                  </w:r>
                  <w:r>
                    <w:rPr>
                      <w:rFonts w:ascii="宋体" w:hAnsi="宋体" w:cs="宋体" w:eastAsia="宋体"/>
                      <w:sz w:val="20"/>
                    </w:rPr>
                    <w:t>1条4M</w:t>
                  </w:r>
                  <w:r>
                    <w:rPr>
                      <w:rFonts w:ascii="宋体" w:hAnsi="宋体" w:cs="宋体" w:eastAsia="宋体"/>
                      <w:sz w:val="20"/>
                    </w:rPr>
                    <w:t>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3</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12122系统互联网专线</w:t>
                  </w:r>
                  <w:r>
                    <w:rPr>
                      <w:rFonts w:ascii="宋体" w:hAnsi="宋体" w:cs="宋体" w:eastAsia="宋体"/>
                      <w:sz w:val="20"/>
                    </w:rPr>
                    <w:t>&amp;12122系统互联网专线（备用）</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2条</w:t>
                  </w:r>
                  <w:r>
                    <w:rPr>
                      <w:rFonts w:ascii="宋体" w:hAnsi="宋体" w:cs="宋体" w:eastAsia="宋体"/>
                      <w:sz w:val="20"/>
                    </w:rPr>
                    <w:t>50M专线</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4</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12122热线SIP线路</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4条PRI电路，带宽为2M。</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sz w:val="28"/>
          <w:b/>
        </w:rPr>
        <w:t>3.2.3人员配置要求</w:t>
      </w:r>
    </w:p>
    <w:p>
      <w:pPr>
        <w:pStyle w:val="null3"/>
      </w:pPr>
      <w:r>
        <w:rPr/>
        <w:t>采购包1：</w:t>
      </w:r>
    </w:p>
    <w:p>
      <w:pPr>
        <w:pStyle w:val="null3"/>
      </w:pPr>
      <w:r>
        <w:rPr/>
        <w:t>在服务过程中，对于供应商向省收费中心提供服务过程中所指派具体承担服务的人员，应向省收费中心提供人员名单、简历、学历等相应证明文件，并保证所提供信息的准确性和有效性。省收费中心有权对派入人员的资格和相关信息进行审核。为确保省收费中心服务工作的顺利开展，供应商应对服务人员及现场驻场人员素质整体把关，应满足以下条件： 1.须拥有三年以上通信行业从业经验，并熟悉掌握各条专线的连接情况，能在第一时间判断故障点及处理故障。（人员经验以人员简历为审评依据。） 2.需现场派驻一名驻场人员，驻场人员应提供驻场值守服务，驻场期间产生的一切费用由供应商提供。 3.为保证项目的连续性，在项目服务周期内不得随意更换服务人员。</w:t>
      </w:r>
    </w:p>
    <w:p>
      <w:pPr>
        <w:pStyle w:val="null3"/>
        <w:outlineLvl w:val="2"/>
      </w:pPr>
      <w:r>
        <w:rPr>
          <w:sz w:val="28"/>
          <w:b/>
        </w:rPr>
        <w:t>3.2.4设施设备要求</w:t>
      </w:r>
    </w:p>
    <w:p>
      <w:pPr>
        <w:pStyle w:val="null3"/>
      </w:pPr>
      <w:r>
        <w:rPr/>
        <w:t>采购包1：</w:t>
      </w:r>
    </w:p>
    <w:p>
      <w:pPr>
        <w:pStyle w:val="null3"/>
      </w:pPr>
      <w:r>
        <w:rPr/>
        <w:t>详见“技术参数与性能指标”。</w:t>
      </w:r>
    </w:p>
    <w:p>
      <w:pPr>
        <w:pStyle w:val="null3"/>
        <w:outlineLvl w:val="2"/>
      </w:pPr>
      <w:r>
        <w:rPr>
          <w:sz w:val="28"/>
          <w:b/>
        </w:rPr>
        <w:t>3.2.5其他要求</w:t>
      </w:r>
    </w:p>
    <w:p>
      <w:pPr>
        <w:pStyle w:val="null3"/>
      </w:pPr>
      <w:r>
        <w:rPr/>
        <w:t>采购包1：</w:t>
      </w:r>
    </w:p>
    <w:p>
      <w:pPr>
        <w:pStyle w:val="null3"/>
      </w:pPr>
      <w:r>
        <w:rPr/>
        <w:t>保密要求： 项目实施过程中所收集、产生的所有与本项目相关的文档、资料，包括文字、图片、表格、数字等各种形式所属权均归属省收费中心，供应商必须对所涉及到的内容保密，供应商及服务人员应按照要求签署保密协议。</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2024年11月1日至2025年6月30日</w:t>
      </w:r>
    </w:p>
    <w:p>
      <w:pPr>
        <w:pStyle w:val="null3"/>
        <w:outlineLvl w:val="3"/>
      </w:pPr>
      <w:r>
        <w:rPr>
          <w:sz w:val="24"/>
          <w:b/>
        </w:rPr>
        <w:t>3.3.2服务地点</w:t>
      </w:r>
    </w:p>
    <w:p>
      <w:pPr>
        <w:pStyle w:val="null3"/>
      </w:pPr>
      <w:r>
        <w:rPr/>
        <w:t>采购包1：</w:t>
      </w:r>
    </w:p>
    <w:p>
      <w:pPr>
        <w:pStyle w:val="null3"/>
      </w:pPr>
      <w:r>
        <w:rPr/>
        <w:t>陕西省高速公路收费中心</w:t>
      </w:r>
    </w:p>
    <w:p>
      <w:pPr>
        <w:pStyle w:val="null3"/>
        <w:outlineLvl w:val="3"/>
      </w:pPr>
      <w:r>
        <w:rPr>
          <w:sz w:val="24"/>
          <w:b/>
        </w:rPr>
        <w:t>3.3.3考核（验收）标准和方法</w:t>
      </w:r>
    </w:p>
    <w:p>
      <w:pPr>
        <w:pStyle w:val="null3"/>
      </w:pPr>
      <w:r>
        <w:rPr/>
        <w:t>采购包1：</w:t>
      </w:r>
    </w:p>
    <w:p>
      <w:pPr>
        <w:pStyle w:val="null3"/>
      </w:pPr>
      <w:r>
        <w:rPr/>
        <w:t>乙方所提供服务应遵循中华人民共和国及地方的有关法律规范，达到采购人使用要求，由采购人组织验收。验收依据：（1）竞争性磋商文件；（2）磋商响应文件；（3）合同文本；（4）国家有关的验收标准及规范。</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合同签订后分两次支付服务费。第一次支付时间为合同签订且至少一条线路接通并启用后，10个工作日内支付合同总额70%的费用；第二次支付时间为项目验收合格后10个工作日内支付合同剩余服务费</w:t>
      </w:r>
      <w:r>
        <w:rPr/>
        <w:t xml:space="preserve"> ，达到付款条件起 </w:t>
      </w:r>
      <w:r>
        <w:rPr/>
        <w:t>10</w:t>
      </w:r>
      <w:r>
        <w:rPr/>
        <w:t xml:space="preserve"> 日内，支付合同总金额的 </w:t>
      </w:r>
      <w:r>
        <w:rPr/>
        <w:t>70.00</w:t>
      </w:r>
      <w:r>
        <w:rPr/>
        <w:t>%。</w:t>
      </w:r>
    </w:p>
    <w:p>
      <w:pPr>
        <w:pStyle w:val="null3"/>
      </w:pPr>
      <w:r>
        <w:rPr/>
        <w:t>采购包1：</w:t>
      </w:r>
      <w:r>
        <w:rPr/>
        <w:t xml:space="preserve"> 付款条件说明： </w:t>
      </w:r>
      <w:r>
        <w:rPr/>
        <w:t>合同签订后分两次支付服务费。第一次支付时间为合同签订且至少一条线路接通并启用后，10个工作日内支付合同总额70%的费用；第二次支付时间为项目验收合格后10个工作日内支付合同剩余服务费</w:t>
      </w:r>
      <w:r>
        <w:rPr/>
        <w:t xml:space="preserve"> ，达到付款条件起 </w:t>
      </w:r>
      <w:r>
        <w:rPr/>
        <w:t>10</w:t>
      </w:r>
      <w:r>
        <w:rPr/>
        <w:t xml:space="preserve"> 日内，支付合同总金额的 </w:t>
      </w:r>
      <w:r>
        <w:rPr/>
        <w:t>30.00</w:t>
      </w:r>
      <w:r>
        <w:rPr/>
        <w:t>%。</w:t>
      </w:r>
    </w:p>
    <w:p>
      <w:pPr>
        <w:pStyle w:val="null3"/>
        <w:outlineLvl w:val="3"/>
      </w:pPr>
      <w:r>
        <w:rPr>
          <w:sz w:val="24"/>
          <w:b/>
        </w:rPr>
        <w:t>3.3.6违约责任及解决争议的方法</w:t>
      </w:r>
    </w:p>
    <w:p>
      <w:pPr>
        <w:pStyle w:val="null3"/>
      </w:pPr>
      <w:r>
        <w:rPr/>
        <w:t>采购包1：</w:t>
      </w:r>
    </w:p>
    <w:p>
      <w:pPr>
        <w:pStyle w:val="null3"/>
      </w:pPr>
      <w:r>
        <w:rPr/>
        <w:t>1.出现下列情况,每次扣除维护服务费1000元，从当期维护服务费中扣除。 （1）应做好巡检，形成巡检记录，因巡检不到位造成故障不能及时发现处置，每次扣除服务费1000元。 （2）若专线未达到要求带宽，对业务产生较大影响的，每次扣除服务费1000元。 2.出现下列情况,每次扣除维护服务费2000元，从当期维护服务费中扣除。 （1）未及时发现处置网络故障的，造成网络一般故障。 （2）节假日、重要活动等特殊时期的保障，应加强值班值守，若发现有人擅离职守。 （3）遇有网络故障，未在两小时内到达现场。 3.发生重大网络故障的，将按照国家，部、省网络相关规定，根据造成的实际损失、影响，按照相应的违约责任扣除服务费。</w:t>
      </w:r>
    </w:p>
    <w:p>
      <w:pPr>
        <w:pStyle w:val="null3"/>
        <w:outlineLvl w:val="2"/>
      </w:pPr>
      <w:r>
        <w:rPr>
          <w:sz w:val="28"/>
          <w:b/>
        </w:rPr>
        <w:t>3.4其他要求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1）提供2022年度或2023年度的财务审计报告（至少包含“四表一注”，即资产负债表、利润表、现金流量表、所有者权益变动表及附注）；（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种形式的证明资料提供任何一种即可。（事业法人仅提供部门决算报告即可）</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信用记录</w:t>
            </w:r>
          </w:p>
        </w:tc>
        <w:tc>
          <w:tcPr>
            <w:tcW w:type="dxa" w:w="3322"/>
          </w:tcPr>
          <w:p>
            <w:pPr>
              <w:pStyle w:val="null3"/>
            </w:pPr>
            <w:r>
              <w:rPr/>
              <w:t>供应商不得在“信用中国” 网站被列入失信被执行人名单、重大税收违法案件当事人名单和不得在“中国政府采购网”被列入政府采购严重违法失信行为记录名单。</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法定代表人委托授权书\身份证明</w:t>
            </w:r>
          </w:p>
        </w:tc>
        <w:tc>
          <w:tcPr>
            <w:tcW w:type="dxa" w:w="3322"/>
          </w:tcPr>
          <w:p>
            <w:pPr>
              <w:pStyle w:val="null3"/>
            </w:pPr>
            <w:r>
              <w:rPr/>
              <w:t>供应商应授权合法的人员参加磋商全过程，其中法定代表人直接参加磋商的，须出具法定代表人身份证明，并与营业执照上信息一致。法定代表人授权代表参加磋商的，须出具法定代表人授权委托书。（其他组织或自然人参照执行）</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有效的主体资格证明</w:t>
            </w:r>
          </w:p>
        </w:tc>
        <w:tc>
          <w:tcPr>
            <w:tcW w:type="dxa" w:w="3322"/>
          </w:tcPr>
          <w:p>
            <w:pPr>
              <w:pStyle w:val="null3"/>
            </w:pPr>
            <w:r>
              <w:rPr/>
              <w:t>提供合格有效的法人或者其他组织的营业执照等证明文件或自然人的身份证明。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1）提供2022年度或2023年度的财务审计报告（至少包含“四表一注”，即资产负债表、利润表、现金流量表、所有者权益变动表及附注）；（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种形式的证明资料提供任何一种即可。（事业法人仅提供部门决算报告即可）</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提供递交响应文件截止日期前十二个月（递交响应文件截止时间当月不计入）内已缴存的至少一个月的纳税证明或完税证明，依法免税的单位应提供相关证明材料。</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提供递交响应文件截止日期前十二个月内（递交响应文件截止时间当月不计入）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无重大违法记录声明</w:t>
            </w:r>
          </w:p>
        </w:tc>
        <w:tc>
          <w:tcPr>
            <w:tcW w:type="dxa" w:w="3322"/>
          </w:tcPr>
          <w:p>
            <w:pPr>
              <w:pStyle w:val="null3"/>
            </w:pPr>
            <w:r>
              <w:rPr/>
              <w:t>近3年内在经营活动中没有重大违法记录的书面声明。</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具有履行合同所必需的设备和专业技术能力</w:t>
            </w:r>
          </w:p>
        </w:tc>
        <w:tc>
          <w:tcPr>
            <w:tcW w:type="dxa" w:w="3322"/>
          </w:tcPr>
          <w:p>
            <w:pPr>
              <w:pStyle w:val="null3"/>
            </w:pPr>
            <w:r>
              <w:rPr/>
              <w:t>提交履行合同所必需的设备和专业技术能力的书面声明。</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本项目不接受联合体响应</w:t>
            </w:r>
          </w:p>
        </w:tc>
        <w:tc>
          <w:tcPr>
            <w:tcW w:type="dxa" w:w="3322"/>
          </w:tcPr>
          <w:p>
            <w:pPr>
              <w:pStyle w:val="null3"/>
            </w:pPr>
            <w:r>
              <w:rPr/>
              <w:t>非联合体投标承诺书</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《中华人民共和国增值电信业务经营许可证》</w:t>
            </w:r>
          </w:p>
        </w:tc>
        <w:tc>
          <w:tcPr>
            <w:tcW w:type="dxa" w:w="3322"/>
          </w:tcPr>
          <w:p>
            <w:pPr>
              <w:pStyle w:val="null3"/>
            </w:pPr>
            <w:r>
              <w:rPr/>
              <w:t>供应商需提供合法有效的《中华人民共和国增值电信业务经营许可证》</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供应商名称</w:t>
            </w:r>
          </w:p>
        </w:tc>
        <w:tc>
          <w:tcPr>
            <w:tcW w:type="dxa" w:w="3322"/>
          </w:tcPr>
          <w:p>
            <w:pPr>
              <w:pStyle w:val="null3"/>
            </w:pPr>
            <w:r>
              <w:rPr/>
              <w:t>供应商名称和公章、营业执照一致</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残疾人福利性单位声明函 报价明细表 服务方案 标的清单 响应函 技术及服务响应偏离表 主要人员简历表 监狱企业的证明文件</w:t>
            </w:r>
          </w:p>
        </w:tc>
      </w:tr>
      <w:tr>
        <w:tc>
          <w:tcPr>
            <w:tcW w:type="dxa" w:w="831"/>
          </w:tcPr>
          <w:p>
            <w:pPr>
              <w:pStyle w:val="null3"/>
            </w:pPr>
            <w:r>
              <w:rPr/>
              <w:t>3</w:t>
            </w:r>
          </w:p>
        </w:tc>
        <w:tc>
          <w:tcPr>
            <w:tcW w:type="dxa" w:w="2492"/>
          </w:tcPr>
          <w:p>
            <w:pPr>
              <w:pStyle w:val="null3"/>
            </w:pPr>
            <w:r>
              <w:rPr/>
              <w:t>磋商报价</w:t>
            </w:r>
          </w:p>
        </w:tc>
        <w:tc>
          <w:tcPr>
            <w:tcW w:type="dxa" w:w="3322"/>
          </w:tcPr>
          <w:p>
            <w:pPr>
              <w:pStyle w:val="null3"/>
            </w:pPr>
            <w:r>
              <w:rPr/>
              <w:t>未超过项目最高限价，无选择性报价</w:t>
            </w:r>
          </w:p>
        </w:tc>
        <w:tc>
          <w:tcPr>
            <w:tcW w:type="dxa" w:w="1661"/>
          </w:tcPr>
          <w:p>
            <w:pPr>
              <w:pStyle w:val="null3"/>
            </w:pPr>
            <w:r>
              <w:rPr/>
              <w:t>标的清单 报价表</w:t>
            </w:r>
          </w:p>
        </w:tc>
      </w:tr>
      <w:tr>
        <w:tc>
          <w:tcPr>
            <w:tcW w:type="dxa" w:w="831"/>
          </w:tcPr>
          <w:p>
            <w:pPr>
              <w:pStyle w:val="null3"/>
            </w:pPr>
            <w:r>
              <w:rPr/>
              <w:t>4</w:t>
            </w:r>
          </w:p>
        </w:tc>
        <w:tc>
          <w:tcPr>
            <w:tcW w:type="dxa" w:w="2492"/>
          </w:tcPr>
          <w:p>
            <w:pPr>
              <w:pStyle w:val="null3"/>
            </w:pPr>
            <w:r>
              <w:rPr/>
              <w:t>磋商有效期</w:t>
            </w:r>
          </w:p>
        </w:tc>
        <w:tc>
          <w:tcPr>
            <w:tcW w:type="dxa" w:w="3322"/>
          </w:tcPr>
          <w:p>
            <w:pPr>
              <w:pStyle w:val="null3"/>
            </w:pPr>
            <w:r>
              <w:rPr/>
              <w:t>自磋商响应文件递交截止之日起90个日历日</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磋商响应文件签署、盖章有效性</w:t>
            </w:r>
          </w:p>
        </w:tc>
        <w:tc>
          <w:tcPr>
            <w:tcW w:type="dxa" w:w="3322"/>
          </w:tcPr>
          <w:p>
            <w:pPr>
              <w:pStyle w:val="null3"/>
            </w:pPr>
            <w:r>
              <w:rPr/>
              <w:t>磋商响应文件的签署、盖章符合竞争性磋商文件要求</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残疾人福利性单位声明函 报价明细表 服务方案 标的清单 响应函 技术及服务响应偏离表 主要人员简历表 监狱企业的证明文件</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符合竞争性磋商文件要求</w:t>
            </w:r>
          </w:p>
        </w:tc>
        <w:tc>
          <w:tcPr>
            <w:tcW w:type="dxa" w:w="1661"/>
          </w:tcPr>
          <w:p>
            <w:pPr>
              <w:pStyle w:val="null3"/>
            </w:pPr>
            <w:r>
              <w:rPr/>
              <w:t>商务响应偏离表 标的清单 报价表</w:t>
            </w:r>
          </w:p>
        </w:tc>
      </w:tr>
      <w:tr>
        <w:tc>
          <w:tcPr>
            <w:tcW w:type="dxa" w:w="831"/>
          </w:tcPr>
          <w:p>
            <w:pPr>
              <w:pStyle w:val="null3"/>
            </w:pPr>
            <w:r>
              <w:rPr/>
              <w:t>7</w:t>
            </w:r>
          </w:p>
        </w:tc>
        <w:tc>
          <w:tcPr>
            <w:tcW w:type="dxa" w:w="2492"/>
          </w:tcPr>
          <w:p>
            <w:pPr>
              <w:pStyle w:val="null3"/>
            </w:pPr>
            <w:r>
              <w:rPr/>
              <w:t>对磋商文件响应程度</w:t>
            </w:r>
          </w:p>
        </w:tc>
        <w:tc>
          <w:tcPr>
            <w:tcW w:type="dxa" w:w="3322"/>
          </w:tcPr>
          <w:p>
            <w:pPr>
              <w:pStyle w:val="null3"/>
            </w:pPr>
            <w:r>
              <w:rPr/>
              <w:t>要求实质性条款完全响应，不能有采购人不能接受的附加条件</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残疾人福利性单位声明函 报价明细表 服务方案 标的清单 响应函 技术及服务响应偏离表 主要人员简历表 监狱企业的证明文件</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磋商保证金缴纳凭证</w:t>
            </w:r>
          </w:p>
        </w:tc>
        <w:tc>
          <w:tcPr>
            <w:tcW w:type="dxa" w:w="1661"/>
          </w:tcPr>
          <w:p>
            <w:pPr>
              <w:pStyle w:val="null3"/>
            </w:pPr>
            <w:r>
              <w:rPr/>
              <w:t>投标保证金汇款凭证及基本账户信息</w:t>
            </w:r>
          </w:p>
        </w:tc>
      </w:tr>
      <w:tr>
        <w:tc>
          <w:tcPr>
            <w:tcW w:type="dxa" w:w="831"/>
          </w:tcPr>
          <w:p>
            <w:pPr>
              <w:pStyle w:val="null3"/>
            </w:pPr>
            <w:r>
              <w:rPr/>
              <w:t>9</w:t>
            </w:r>
          </w:p>
        </w:tc>
        <w:tc>
          <w:tcPr>
            <w:tcW w:type="dxa" w:w="2492"/>
          </w:tcPr>
          <w:p>
            <w:pPr>
              <w:pStyle w:val="null3"/>
            </w:pPr>
            <w:r>
              <w:rPr/>
              <w:t>其他</w:t>
            </w:r>
          </w:p>
        </w:tc>
        <w:tc>
          <w:tcPr>
            <w:tcW w:type="dxa" w:w="3322"/>
          </w:tcPr>
          <w:p>
            <w:pPr>
              <w:pStyle w:val="null3"/>
            </w:pPr>
            <w:r>
              <w:rPr/>
              <w:t>不存在法律、法规和磋商文件规定的其他无效情况</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残疾人福利性单位声明函 报价明细表 服务方案 标的清单 响应函 技术及服务响应偏离表 主要人员简历表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项目需求分析</w:t>
            </w:r>
          </w:p>
        </w:tc>
        <w:tc>
          <w:tcPr>
            <w:tcW w:type="dxa" w:w="2492"/>
          </w:tcPr>
          <w:p>
            <w:pPr>
              <w:pStyle w:val="null3"/>
            </w:pPr>
            <w:r>
              <w:rPr/>
              <w:t>供应商应根据本项目当前情况提供良好的对接方案：对接方案理解深刻，设计合理，保证专线数据无缝衔接得（10-15]分；对接方案理解较深刻，设计较合理，保证专线数据无缝衔接得（5-10]分；对接方案理解一般，设计基本合理，专线数据基本无缝衔接得(0-5]；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供应商认为需要提供的其他资料</w:t>
            </w:r>
          </w:p>
          <w:p>
            <w:pPr>
              <w:pStyle w:val="null3"/>
            </w:pPr>
            <w:r>
              <w:rPr/>
              <w:t>服务方案</w:t>
            </w:r>
          </w:p>
        </w:tc>
      </w:tr>
      <w:tr>
        <w:tc>
          <w:tcPr>
            <w:tcW w:type="dxa" w:w="831"/>
            <w:vMerge/>
          </w:tcPr>
          <w:p/>
        </w:tc>
        <w:tc>
          <w:tcPr>
            <w:tcW w:type="dxa" w:w="1661"/>
          </w:tcPr>
          <w:p>
            <w:pPr>
              <w:pStyle w:val="null3"/>
            </w:pPr>
            <w:r>
              <w:rPr/>
              <w:t>整体服务方案</w:t>
            </w:r>
          </w:p>
        </w:tc>
        <w:tc>
          <w:tcPr>
            <w:tcW w:type="dxa" w:w="2492"/>
          </w:tcPr>
          <w:p>
            <w:pPr>
              <w:pStyle w:val="null3"/>
            </w:pPr>
            <w:r>
              <w:rPr/>
              <w:t>供应商需提供科学、完整、合理、规范的服务方案，包括项目总体服务方案设计、标准依据。方案内容完整，分析全面。总体服务方案设计科学合理、描述条理清晰，可行性、安全性强，完全满足采购需求得(14-20]分；方案内容较完整，分析较全面，可行性较强，满足采购需求得(7-14]分；方案内容一般，可行性一般，基本满足采购需求得(0-7]分；未提供得0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p>
            <w:pPr>
              <w:pStyle w:val="null3"/>
            </w:pPr>
            <w:r>
              <w:rPr/>
              <w:t>主要人员简历表</w:t>
            </w:r>
          </w:p>
        </w:tc>
      </w:tr>
      <w:tr>
        <w:tc>
          <w:tcPr>
            <w:tcW w:type="dxa" w:w="831"/>
            <w:vMerge/>
          </w:tcPr>
          <w:p/>
        </w:tc>
        <w:tc>
          <w:tcPr>
            <w:tcW w:type="dxa" w:w="1661"/>
          </w:tcPr>
          <w:p>
            <w:pPr>
              <w:pStyle w:val="null3"/>
            </w:pPr>
            <w:r>
              <w:rPr/>
              <w:t>技术能力</w:t>
            </w:r>
          </w:p>
        </w:tc>
        <w:tc>
          <w:tcPr>
            <w:tcW w:type="dxa" w:w="2492"/>
          </w:tcPr>
          <w:p>
            <w:pPr>
              <w:pStyle w:val="null3"/>
            </w:pPr>
            <w:r>
              <w:rPr/>
              <w:t>供应商提供ITSS信息技术服务运行维护标准符合性证书得5分，未提供得0分。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保障能力</w:t>
            </w:r>
          </w:p>
        </w:tc>
        <w:tc>
          <w:tcPr>
            <w:tcW w:type="dxa" w:w="2492"/>
          </w:tcPr>
          <w:p>
            <w:pPr>
              <w:pStyle w:val="null3"/>
            </w:pPr>
            <w:r>
              <w:rPr/>
              <w:t>供应商需对交通运输部路网监测与应急处置中心安排专人值守技术支持、故障受理及处理做出承诺。提供承诺书得3分，未提供得0分。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保障能力</w:t>
            </w:r>
          </w:p>
        </w:tc>
        <w:tc>
          <w:tcPr>
            <w:tcW w:type="dxa" w:w="2492"/>
          </w:tcPr>
          <w:p>
            <w:pPr>
              <w:pStyle w:val="null3"/>
            </w:pPr>
            <w:r>
              <w:rPr/>
              <w:t>针对本项目有详细、具体、可行的进度保障计划，能够保障在合同签订后5个工作日内完成线路分配、配置以及网络专线的开通调试工作。保障计划详尽合理可行，保障体系健全，针对性强，得（5—7]分；计划较完善，保障体系基本健全得（3—5]，计划内容及保障体系简单笼统得（0—3]，未提供得0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质量保证措施</w:t>
            </w:r>
          </w:p>
        </w:tc>
        <w:tc>
          <w:tcPr>
            <w:tcW w:type="dxa" w:w="2492"/>
          </w:tcPr>
          <w:p>
            <w:pPr>
              <w:pStyle w:val="null3"/>
            </w:pPr>
            <w:r>
              <w:rPr/>
              <w:t>质量保证措施内容总体思路清晰合理、可行性强得（7—10]分；质量保证措施总体思路较清晰合理，可行性较强得（4—7]分；质量保证措施总体思路基本清晰合理，可行性一般得（0-4]分；未提供得0分。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应急预案</w:t>
            </w:r>
          </w:p>
        </w:tc>
        <w:tc>
          <w:tcPr>
            <w:tcW w:type="dxa" w:w="2492"/>
          </w:tcPr>
          <w:p>
            <w:pPr>
              <w:pStyle w:val="null3"/>
            </w:pPr>
            <w:r>
              <w:rPr/>
              <w:t>针对本项目提供有效、可行的业务连续性（应急方案）方案，应急预案内容完善、合理可行、针对性强的得（5—7]分；应急预案内容较完善、较合理可行、针对性较强的得（3—5]分；应急预案内容基本完善、合理、针对性一般的得（0-3]分；未提供得0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供应商认为需要提供的其他资料</w:t>
            </w:r>
          </w:p>
          <w:p>
            <w:pPr>
              <w:pStyle w:val="null3"/>
            </w:pPr>
            <w:r>
              <w:rPr/>
              <w:t>服务方案</w:t>
            </w:r>
          </w:p>
        </w:tc>
      </w:tr>
      <w:tr>
        <w:tc>
          <w:tcPr>
            <w:tcW w:type="dxa" w:w="831"/>
            <w:vMerge/>
          </w:tcPr>
          <w:p/>
        </w:tc>
        <w:tc>
          <w:tcPr>
            <w:tcW w:type="dxa" w:w="1661"/>
          </w:tcPr>
          <w:p>
            <w:pPr>
              <w:pStyle w:val="null3"/>
            </w:pPr>
            <w:r>
              <w:rPr/>
              <w:t>售后服务</w:t>
            </w:r>
          </w:p>
        </w:tc>
        <w:tc>
          <w:tcPr>
            <w:tcW w:type="dxa" w:w="2492"/>
          </w:tcPr>
          <w:p>
            <w:pPr>
              <w:pStyle w:val="null3"/>
            </w:pPr>
            <w:r>
              <w:rPr/>
              <w:t>针对本项目及采购人实际需求提供详细具体可行的售后服务措施承诺进行赋分。售后服务方案全面、合理，得（6—8]分；售后服务方案相对全面、合理，得（3—6]分；售后服务方案一般全面、合理，得（0-3]分；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业绩</w:t>
            </w:r>
          </w:p>
        </w:tc>
        <w:tc>
          <w:tcPr>
            <w:tcW w:type="dxa" w:w="2492"/>
          </w:tcPr>
          <w:p>
            <w:pPr>
              <w:pStyle w:val="null3"/>
            </w:pPr>
            <w:r>
              <w:rPr/>
              <w:t>供应商需提供2021年至今不少于三个类似项目业绩证明，（不满足得0分，满足得2分），此外每增加1个有效业绩证明得1分，最高得5分。（满分5分）提供加盖公章的合同复印件。复印件能清晰的表明合同双方名称、项目内容和签署日期。</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类似项目业绩</w:t>
            </w:r>
          </w:p>
        </w:tc>
      </w:tr>
      <w:tr>
        <w:tc>
          <w:tcPr>
            <w:tcW w:type="dxa" w:w="831"/>
          </w:tcPr>
          <w:p>
            <w:pPr>
              <w:pStyle w:val="null3"/>
            </w:pPr>
            <w:r>
              <w:rPr/>
              <w:t>价格分</w:t>
            </w:r>
          </w:p>
        </w:tc>
        <w:tc>
          <w:tcPr>
            <w:tcW w:type="dxa" w:w="1661"/>
          </w:tcPr>
          <w:p>
            <w:pPr>
              <w:pStyle w:val="null3"/>
            </w:pPr>
            <w:r>
              <w:rPr/>
              <w:t>投标价格得分</w:t>
            </w:r>
          </w:p>
        </w:tc>
        <w:tc>
          <w:tcPr>
            <w:tcW w:type="dxa" w:w="2492"/>
          </w:tcPr>
          <w:p>
            <w:pPr>
              <w:pStyle w:val="null3"/>
            </w:pPr>
            <w:r>
              <w:rPr/>
              <w:t>1、满足磋商文件要求且最终报价最低的供应商的价格为磋商基准价，其价格分为满分20分。 2、磋商报价得分=（磋商基准价/最终磋商报价） ×20（因落实政府采购政策进行价格调整的，以调整后的价格计算磋商基准价和磋商报价得分，详见磋商文件政府采购政策评分标准）。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详见附件：报价明细表</w:t>
      </w:r>
    </w:p>
    <w:p>
      <w:pPr>
        <w:pStyle w:val="null3"/>
        <w:ind w:firstLine="960"/>
      </w:pPr>
      <w:r>
        <w:rPr/>
        <w:t>详见附件：资格证明文件</w:t>
      </w:r>
    </w:p>
    <w:p>
      <w:pPr>
        <w:pStyle w:val="null3"/>
        <w:ind w:firstLine="960"/>
      </w:pPr>
      <w:r>
        <w:rPr/>
        <w:t>详见附件：投标保证金汇款凭证及基本账户信息</w:t>
      </w:r>
    </w:p>
    <w:p>
      <w:pPr>
        <w:pStyle w:val="null3"/>
        <w:ind w:firstLine="960"/>
      </w:pPr>
      <w:r>
        <w:rPr/>
        <w:t>详见附件：技术及服务响应偏离表</w:t>
      </w:r>
    </w:p>
    <w:p>
      <w:pPr>
        <w:pStyle w:val="null3"/>
        <w:ind w:firstLine="960"/>
      </w:pPr>
      <w:r>
        <w:rPr/>
        <w:t>详见附件：商务响应偏离表</w:t>
      </w:r>
    </w:p>
    <w:p>
      <w:pPr>
        <w:pStyle w:val="null3"/>
        <w:ind w:firstLine="960"/>
      </w:pPr>
      <w:r>
        <w:rPr/>
        <w:t>详见附件：服务方案</w:t>
      </w:r>
    </w:p>
    <w:p>
      <w:pPr>
        <w:pStyle w:val="null3"/>
        <w:ind w:firstLine="960"/>
      </w:pPr>
      <w:r>
        <w:rPr/>
        <w:t>详见附件：主要人员简历表</w:t>
      </w:r>
    </w:p>
    <w:p>
      <w:pPr>
        <w:pStyle w:val="null3"/>
        <w:ind w:firstLine="960"/>
      </w:pPr>
      <w:r>
        <w:rPr/>
        <w:t>详见附件：类似项目业绩</w:t>
      </w:r>
    </w:p>
    <w:p>
      <w:pPr>
        <w:pStyle w:val="null3"/>
        <w:ind w:firstLine="960"/>
      </w:pPr>
      <w:r>
        <w:rPr/>
        <w:t>详见附件：供应商认为需要提供的其他资料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详见附件：《中心线路租用服务》合同参考格式及主要条款.docx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