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图书馆2024年期刊全文数据库采购项目</w:t>
      </w:r>
    </w:p>
    <w:p>
      <w:pPr>
        <w:pStyle w:val="null3"/>
        <w:jc w:val="center"/>
        <w:outlineLvl w:val="2"/>
      </w:pPr>
      <w:r>
        <w:rPr>
          <w:sz w:val="28"/>
          <w:b/>
        </w:rPr>
        <w:t>采购项目编号：</w:t>
      </w:r>
      <w:r>
        <w:rPr>
          <w:sz w:val="28"/>
          <w:b/>
        </w:rPr>
        <w:t>ZMZB2024GCDX-217</w:t>
      </w:r>
      <w:r>
        <w:br/>
      </w:r>
      <w:r>
        <w:br/>
      </w:r>
      <w:r>
        <w:br/>
      </w:r>
    </w:p>
    <w:p>
      <w:pPr>
        <w:pStyle w:val="null3"/>
        <w:jc w:val="center"/>
        <w:outlineLvl w:val="2"/>
      </w:pPr>
      <w:r>
        <w:rPr>
          <w:sz w:val="28"/>
          <w:b/>
        </w:rPr>
        <w:t>西安工程大学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2024年07月17日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陕西卓佲项目管理有限公司</w:t>
      </w:r>
      <w:r>
        <w:rPr/>
        <w:t>（以下简称“代理机构”）受</w:t>
      </w:r>
      <w:r>
        <w:rPr/>
        <w:t>西安工程大学</w:t>
      </w:r>
      <w:r>
        <w:rPr/>
        <w:t>委托，拟对</w:t>
      </w:r>
      <w:r>
        <w:rPr/>
        <w:t>图书馆2024年期刊全文数据库采购项目</w:t>
      </w:r>
      <w:r>
        <w:rPr/>
        <w:t>采用竞争性磋商采购方式进行采购，兹邀请供应商参加本项目的竞争性磋商。</w:t>
      </w:r>
    </w:p>
    <w:p>
      <w:pPr>
        <w:pStyle w:val="null3"/>
        <w:outlineLvl w:val="2"/>
      </w:pPr>
      <w:r>
        <w:rPr>
          <w:sz w:val="28"/>
          <w:b/>
        </w:rPr>
        <w:t>一、项目编号：</w:t>
      </w:r>
      <w:r>
        <w:rPr>
          <w:sz w:val="28"/>
          <w:b/>
        </w:rPr>
        <w:t>ZMZB2024GCDX-217</w:t>
      </w:r>
    </w:p>
    <w:p>
      <w:pPr>
        <w:pStyle w:val="null3"/>
        <w:outlineLvl w:val="2"/>
      </w:pPr>
      <w:r>
        <w:rPr>
          <w:sz w:val="28"/>
          <w:b/>
        </w:rPr>
        <w:t>二、项目名称：</w:t>
      </w:r>
      <w:r>
        <w:rPr>
          <w:sz w:val="28"/>
          <w:b/>
        </w:rPr>
        <w:t>图书馆2024年期刊全文数据库采购项目</w:t>
      </w:r>
    </w:p>
    <w:p>
      <w:pPr>
        <w:pStyle w:val="null3"/>
        <w:outlineLvl w:val="2"/>
      </w:pPr>
      <w:r>
        <w:rPr>
          <w:sz w:val="28"/>
          <w:b/>
        </w:rPr>
        <w:t>三、磋商项目简介</w:t>
      </w:r>
    </w:p>
    <w:p>
      <w:pPr>
        <w:pStyle w:val="null3"/>
        <w:ind w:firstLine="480"/>
      </w:pPr>
      <w:r>
        <w:rPr/>
        <w:t>图书馆2024年期刊全文数据库采购项目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4、社会保障资金缴纳证明：提供2023年6月以来任意一个月的社会保障资金缴存单据或社保机构开具的社会保险参保缴费情况证明。依法不需要缴纳社会保障资金的供应商应提供相关文件证明；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西安工程大学</w:t>
      </w:r>
    </w:p>
    <w:p>
      <w:pPr>
        <w:pStyle w:val="null3"/>
      </w:pPr>
      <w:r>
        <w:rPr/>
        <w:t xml:space="preserve"> 地址： </w:t>
      </w:r>
      <w:r>
        <w:rPr/>
        <w:t>金花南路19号</w:t>
      </w:r>
    </w:p>
    <w:p>
      <w:pPr>
        <w:pStyle w:val="null3"/>
      </w:pPr>
      <w:r>
        <w:rPr/>
        <w:t xml:space="preserve"> 邮编： </w:t>
      </w:r>
      <w:r>
        <w:rPr/>
        <w:t>710048</w:t>
      </w:r>
    </w:p>
    <w:p>
      <w:pPr>
        <w:pStyle w:val="null3"/>
      </w:pPr>
      <w:r>
        <w:rPr/>
        <w:t xml:space="preserve"> 联系人： </w:t>
      </w:r>
      <w:r>
        <w:rPr/>
        <w:t>龙老师</w:t>
      </w:r>
    </w:p>
    <w:p>
      <w:pPr>
        <w:pStyle w:val="null3"/>
      </w:pPr>
      <w:r>
        <w:rPr/>
        <w:t xml:space="preserve"> 联系电话： </w:t>
      </w:r>
      <w:r>
        <w:rPr/>
        <w:t>029-81369288</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董菊莉 张倩 黄乐</w:t>
      </w:r>
    </w:p>
    <w:p>
      <w:pPr>
        <w:pStyle w:val="null3"/>
      </w:pPr>
      <w:r>
        <w:rPr/>
        <w:t xml:space="preserve"> 联系电话： </w:t>
      </w:r>
      <w:r>
        <w:rPr/>
        <w:t>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供应商将招标代理服务费计入响应报价但不单独列明，成交单位在领取成交通知书前，须向采购代理机构一次性支付招标代理服务费；代理服务费以转账、电汇或现金等形式交纳。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西安工程大学</w:t>
      </w:r>
      <w:r>
        <w:rPr/>
        <w:t>和</w:t>
      </w:r>
      <w:r>
        <w:rPr/>
        <w:t>陕西卓佲项目管理有限公司</w:t>
      </w:r>
      <w:r>
        <w:rPr/>
        <w:t>享有。对磋商文件中供应商参加本次政府采购活动应当具备的条件，磋商项目技术、服务、商务及其他要求，评审细则及标准由</w:t>
      </w:r>
      <w:r>
        <w:rPr/>
        <w:t>西安工程大学</w:t>
      </w:r>
      <w:r>
        <w:rPr/>
        <w:t>负责解释。除上述磋商文件内容，其他内容由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西安工程大学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按采购文件和投标文件执行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联系人：董菊莉</w:t>
      </w:r>
    </w:p>
    <w:p>
      <w:pPr>
        <w:pStyle w:val="null3"/>
      </w:pPr>
      <w:r>
        <w:rPr/>
        <w:t>联系电话：17778966062　</w:t>
      </w:r>
    </w:p>
    <w:p>
      <w:pPr>
        <w:pStyle w:val="null3"/>
      </w:pPr>
      <w:r>
        <w:rPr/>
        <w:t>地址：西安市雁塔区科技路30号合力紫郡B座21层</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图书馆2024年期刊全文数据库采购项目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1,150,000.00</w:t>
      </w:r>
    </w:p>
    <w:p>
      <w:pPr>
        <w:pStyle w:val="null3"/>
      </w:pPr>
      <w:r>
        <w:rPr/>
        <w:t>采购包最高限价（元）: 1,150,000.00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图书馆2024年期刊全文数据库采购项目</w:t>
            </w:r>
          </w:p>
        </w:tc>
        <w:tc>
          <w:tcPr>
            <w:tcW w:type="dxa" w:w="831"/>
          </w:tcPr>
          <w:p>
            <w:pPr>
              <w:pStyle w:val="null3"/>
              <w:jc w:val="right"/>
            </w:pPr>
            <w:r>
              <w:rPr/>
              <w:t>1.00</w:t>
            </w:r>
          </w:p>
        </w:tc>
        <w:tc>
          <w:tcPr>
            <w:tcW w:type="dxa" w:w="831"/>
          </w:tcPr>
          <w:p>
            <w:pPr>
              <w:pStyle w:val="null3"/>
              <w:jc w:val="right"/>
            </w:pPr>
            <w:r>
              <w:rPr/>
              <w:t>1,150,000.00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标的名称：图书馆2024年期刊全文数据库采购项目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pPr>
            <w:r>
              <w:rPr>
                <w:rFonts w:ascii="宋体" w:hAnsi="宋体" w:cs="宋体" w:eastAsia="宋体"/>
              </w:rPr>
              <w:t>（一）总体要求：采购</w:t>
            </w:r>
            <w:r>
              <w:rPr>
                <w:rFonts w:ascii="宋体" w:hAnsi="宋体" w:cs="宋体" w:eastAsia="宋体"/>
              </w:rPr>
              <w:t>爱思唯尔</w:t>
            </w:r>
            <w:r>
              <w:rPr>
                <w:rFonts w:ascii="calibri" w:hAnsi="calibri" w:cs="calibri" w:eastAsia="calibri"/>
              </w:rPr>
              <w:t>ScienceDirect</w:t>
            </w:r>
            <w:r>
              <w:rPr>
                <w:rFonts w:ascii="宋体" w:hAnsi="宋体" w:cs="宋体" w:eastAsia="宋体"/>
              </w:rPr>
              <w:t>数据库（工程学</w:t>
            </w:r>
            <w:r>
              <w:rPr>
                <w:rFonts w:ascii="calibri" w:hAnsi="calibri" w:cs="calibri" w:eastAsia="calibri"/>
              </w:rPr>
              <w:t>+</w:t>
            </w:r>
            <w:r>
              <w:rPr>
                <w:rFonts w:ascii="宋体" w:hAnsi="宋体" w:cs="宋体" w:eastAsia="宋体"/>
              </w:rPr>
              <w:t>材料科学）</w:t>
            </w:r>
            <w:r>
              <w:rPr>
                <w:rFonts w:ascii="宋体" w:hAnsi="宋体" w:cs="宋体" w:eastAsia="宋体"/>
              </w:rPr>
              <w:t>，用于对学校科研活动的文献保障服务，在校园网</w:t>
            </w:r>
            <w:r>
              <w:rPr>
                <w:rFonts w:ascii="calibri" w:hAnsi="calibri" w:cs="calibri" w:eastAsia="calibri"/>
              </w:rPr>
              <w:t>IP</w:t>
            </w:r>
            <w:r>
              <w:rPr>
                <w:rFonts w:ascii="宋体" w:hAnsi="宋体" w:cs="宋体" w:eastAsia="宋体"/>
              </w:rPr>
              <w:t>范围内供全校师生检索下载使用，服务期</w:t>
            </w:r>
            <w:r>
              <w:rPr>
                <w:rFonts w:ascii="calibri" w:hAnsi="calibri" w:cs="calibri" w:eastAsia="calibri"/>
              </w:rPr>
              <w:t>2024.11.1-2025.10.31</w:t>
            </w:r>
            <w:r>
              <w:rPr>
                <w:rFonts w:ascii="宋体" w:hAnsi="宋体" w:cs="宋体" w:eastAsia="宋体"/>
              </w:rPr>
              <w:t>。</w:t>
            </w:r>
          </w:p>
          <w:p>
            <w:pPr>
              <w:pStyle w:val="null3"/>
              <w:ind w:firstLine="480"/>
            </w:pPr>
            <w:r>
              <w:rPr>
                <w:rFonts w:ascii="宋体" w:hAnsi="宋体" w:cs="宋体" w:eastAsia="宋体"/>
              </w:rPr>
              <w:t>（二）服务要求：</w:t>
            </w:r>
          </w:p>
          <w:p>
            <w:pPr>
              <w:pStyle w:val="null3"/>
              <w:ind w:firstLine="480"/>
            </w:pPr>
            <w:r>
              <w:rPr>
                <w:rFonts w:ascii="calibri" w:hAnsi="calibri" w:cs="calibri" w:eastAsia="calibri"/>
              </w:rPr>
              <w:t xml:space="preserve">1. </w:t>
            </w:r>
            <w:r>
              <w:rPr>
                <w:rFonts w:ascii="宋体" w:hAnsi="宋体" w:cs="宋体" w:eastAsia="宋体"/>
              </w:rPr>
              <w:t>西安工程大学图书馆数字资源相关项目供应，在服务期内随时提供在线查阅符合</w:t>
            </w:r>
            <w:r>
              <w:rPr>
                <w:rFonts w:ascii="calibri" w:hAnsi="calibri" w:cs="calibri" w:eastAsia="calibri"/>
              </w:rPr>
              <w:t>counter</w:t>
            </w:r>
            <w:r>
              <w:rPr>
                <w:rFonts w:ascii="宋体" w:hAnsi="宋体" w:cs="宋体" w:eastAsia="宋体"/>
              </w:rPr>
              <w:t>标准的使用统计报告，在合同履行期内完成。</w:t>
            </w:r>
          </w:p>
          <w:p>
            <w:pPr>
              <w:pStyle w:val="null3"/>
              <w:ind w:firstLine="480"/>
            </w:pPr>
            <w:r>
              <w:rPr>
                <w:rFonts w:ascii="calibri" w:hAnsi="calibri" w:cs="calibri" w:eastAsia="calibri"/>
              </w:rPr>
              <w:t>2.</w:t>
            </w:r>
            <w:r>
              <w:rPr>
                <w:rFonts w:ascii="宋体" w:hAnsi="宋体" w:cs="宋体" w:eastAsia="宋体"/>
              </w:rPr>
              <w:t>供应商在收到数字资源订单后，按需方提出的项目及使用要求，开通数字资源访问网站或安装到需方的数据服务器。并根据学校</w:t>
            </w:r>
            <w:r>
              <w:rPr>
                <w:rFonts w:ascii="calibri" w:hAnsi="calibri" w:cs="calibri" w:eastAsia="calibri"/>
              </w:rPr>
              <w:t>IP</w:t>
            </w:r>
            <w:r>
              <w:rPr>
                <w:rFonts w:ascii="宋体" w:hAnsi="宋体" w:cs="宋体" w:eastAsia="宋体"/>
              </w:rPr>
              <w:t>地址变化随时更新。</w:t>
            </w:r>
          </w:p>
          <w:p>
            <w:pPr>
              <w:pStyle w:val="null3"/>
              <w:ind w:firstLine="480"/>
            </w:pPr>
            <w:r>
              <w:rPr>
                <w:rFonts w:ascii="calibri" w:hAnsi="calibri" w:cs="calibri" w:eastAsia="calibri"/>
              </w:rPr>
              <w:t>3.</w:t>
            </w:r>
            <w:r>
              <w:rPr>
                <w:rFonts w:ascii="宋体" w:hAnsi="宋体" w:cs="宋体" w:eastAsia="宋体"/>
              </w:rPr>
              <w:t>供应商应承担需方所订数字资源正常使用所需要进行的安装、培训等费用。</w:t>
            </w:r>
          </w:p>
          <w:p>
            <w:pPr>
              <w:pStyle w:val="null3"/>
              <w:ind w:firstLine="480"/>
            </w:pPr>
            <w:r>
              <w:rPr>
                <w:rFonts w:ascii="calibri" w:hAnsi="calibri" w:cs="calibri" w:eastAsia="calibri"/>
              </w:rPr>
              <w:t>4.</w:t>
            </w:r>
            <w:r>
              <w:rPr>
                <w:rFonts w:ascii="宋体" w:hAnsi="宋体" w:cs="宋体" w:eastAsia="宋体"/>
              </w:rPr>
              <w:t>凡送交到需方的数字资源，以数字资源中标定价作为计算订购款的依据。</w:t>
            </w:r>
          </w:p>
          <w:p>
            <w:pPr>
              <w:pStyle w:val="null3"/>
              <w:ind w:firstLine="480"/>
            </w:pPr>
            <w:r>
              <w:rPr>
                <w:rFonts w:ascii="calibri" w:hAnsi="calibri" w:cs="calibri" w:eastAsia="calibri"/>
              </w:rPr>
              <w:t>5.</w:t>
            </w:r>
            <w:r>
              <w:rPr>
                <w:rFonts w:ascii="宋体" w:hAnsi="宋体" w:cs="宋体" w:eastAsia="宋体"/>
              </w:rPr>
              <w:t>供应商应根据需方的实际工作运行程序，提供高效，优质的服务保障，</w:t>
            </w:r>
            <w:r>
              <w:rPr>
                <w:rFonts w:ascii="calibri" w:hAnsi="calibri" w:cs="calibri" w:eastAsia="calibri"/>
              </w:rPr>
              <w:t>24</w:t>
            </w:r>
            <w:r>
              <w:rPr>
                <w:rFonts w:ascii="宋体" w:hAnsi="宋体" w:cs="宋体" w:eastAsia="宋体"/>
              </w:rPr>
              <w:t>小时内处理数据库故障。</w:t>
            </w:r>
          </w:p>
          <w:p>
            <w:pPr>
              <w:pStyle w:val="null3"/>
              <w:ind w:firstLine="480"/>
            </w:pPr>
            <w:r>
              <w:rPr>
                <w:rFonts w:ascii="calibri" w:hAnsi="calibri" w:cs="calibri" w:eastAsia="calibri"/>
              </w:rPr>
              <w:t>6.</w:t>
            </w:r>
            <w:r>
              <w:rPr>
                <w:rFonts w:ascii="宋体" w:hAnsi="宋体" w:cs="宋体" w:eastAsia="宋体"/>
              </w:rPr>
              <w:t>成交的数字资源供应商不得以任何理由转包中标项目。</w:t>
            </w:r>
          </w:p>
          <w:p>
            <w:pPr>
              <w:pStyle w:val="null3"/>
              <w:ind w:firstLine="480"/>
            </w:pPr>
            <w:r>
              <w:rPr>
                <w:rFonts w:ascii="calibri" w:hAnsi="calibri" w:cs="calibri" w:eastAsia="calibri"/>
              </w:rPr>
              <w:t>7.</w:t>
            </w:r>
            <w:r>
              <w:rPr>
                <w:rFonts w:ascii="宋体" w:hAnsi="宋体" w:cs="宋体" w:eastAsia="宋体"/>
              </w:rPr>
              <w:t>供应商能提供符合国家财税法律规定制度要求的发票。</w:t>
            </w:r>
          </w:p>
          <w:p>
            <w:pPr>
              <w:pStyle w:val="null3"/>
              <w:ind w:firstLine="480"/>
            </w:pPr>
            <w:r>
              <w:rPr>
                <w:rFonts w:ascii="calibri" w:hAnsi="calibri" w:cs="calibri" w:eastAsia="calibri"/>
              </w:rPr>
              <w:t>8.</w:t>
            </w:r>
            <w:r>
              <w:rPr>
                <w:rFonts w:ascii="宋体" w:hAnsi="宋体" w:cs="宋体" w:eastAsia="宋体"/>
              </w:rPr>
              <w:t>当采购人（西安工程大学）遇到甲方寒暑假及年底冻结资金，付款顺延，具体付款时间双方另行协商，以保证数字资源的正常进行。</w:t>
            </w:r>
          </w:p>
          <w:p>
            <w:pPr>
              <w:pStyle w:val="null3"/>
              <w:ind w:firstLine="480"/>
            </w:pPr>
            <w:r>
              <w:rPr>
                <w:rFonts w:ascii="calibri" w:hAnsi="calibri" w:cs="calibri" w:eastAsia="calibri"/>
              </w:rPr>
              <w:t>9.</w:t>
            </w:r>
            <w:r>
              <w:rPr>
                <w:rFonts w:ascii="宋体" w:hAnsi="宋体" w:cs="宋体" w:eastAsia="宋体"/>
              </w:rPr>
              <w:t>每年</w:t>
            </w:r>
            <w:r>
              <w:rPr>
                <w:rFonts w:ascii="calibri" w:hAnsi="calibri" w:cs="calibri" w:eastAsia="calibri"/>
              </w:rPr>
              <w:t>12</w:t>
            </w:r>
            <w:r>
              <w:rPr>
                <w:rFonts w:ascii="宋体" w:hAnsi="宋体" w:cs="宋体" w:eastAsia="宋体"/>
              </w:rPr>
              <w:t>月</w:t>
            </w:r>
            <w:r>
              <w:rPr>
                <w:rFonts w:ascii="calibri" w:hAnsi="calibri" w:cs="calibri" w:eastAsia="calibri"/>
              </w:rPr>
              <w:t>10</w:t>
            </w:r>
            <w:r>
              <w:rPr>
                <w:rFonts w:ascii="宋体" w:hAnsi="宋体" w:cs="宋体" w:eastAsia="宋体"/>
              </w:rPr>
              <w:t>日前提供上年度</w:t>
            </w:r>
            <w:r>
              <w:rPr>
                <w:rFonts w:ascii="calibri" w:hAnsi="calibri" w:cs="calibri" w:eastAsia="calibri"/>
              </w:rPr>
              <w:t>12.1-</w:t>
            </w:r>
            <w:r>
              <w:rPr>
                <w:rFonts w:ascii="宋体" w:hAnsi="宋体" w:cs="宋体" w:eastAsia="宋体"/>
              </w:rPr>
              <w:t>本年度</w:t>
            </w:r>
            <w:r>
              <w:rPr>
                <w:rFonts w:ascii="calibri" w:hAnsi="calibri" w:cs="calibri" w:eastAsia="calibri"/>
              </w:rPr>
              <w:t>11.30</w:t>
            </w:r>
            <w:r>
              <w:rPr>
                <w:rFonts w:ascii="宋体" w:hAnsi="宋体" w:cs="宋体" w:eastAsia="宋体"/>
              </w:rPr>
              <w:t>用量数据（要求按月统计，用于年度总结）。尽可能提供管理员账户，由馆员自行下载用量数据。</w:t>
            </w:r>
          </w:p>
          <w:p>
            <w:pPr>
              <w:pStyle w:val="null3"/>
              <w:ind w:firstLine="480"/>
            </w:pPr>
            <w:r>
              <w:rPr>
                <w:rFonts w:ascii="calibri" w:hAnsi="calibri" w:cs="calibri" w:eastAsia="calibri"/>
              </w:rPr>
              <w:t>10.</w:t>
            </w:r>
            <w:r>
              <w:rPr>
                <w:rFonts w:ascii="宋体" w:hAnsi="宋体" w:cs="宋体" w:eastAsia="宋体"/>
              </w:rPr>
              <w:t>如有网页改版、链接地址变更、服务器维护、销售人员变更等事宜，需提前以书面形式告知图书馆。</w:t>
            </w:r>
          </w:p>
          <w:p>
            <w:pPr>
              <w:pStyle w:val="null3"/>
              <w:ind w:firstLine="480"/>
            </w:pPr>
            <w:r>
              <w:rPr>
                <w:rFonts w:ascii="calibri" w:hAnsi="calibri" w:cs="calibri" w:eastAsia="calibri"/>
              </w:rPr>
              <w:t>11.</w:t>
            </w:r>
            <w:r>
              <w:rPr>
                <w:rFonts w:ascii="宋体" w:hAnsi="宋体" w:cs="宋体" w:eastAsia="宋体"/>
              </w:rPr>
              <w:t>提供资源列表，如期刊详细目录，视频资源标注时长，图片库标注资源总量、电子书提供</w:t>
            </w:r>
            <w:r>
              <w:rPr>
                <w:rFonts w:ascii="calibri" w:hAnsi="calibri" w:cs="calibri" w:eastAsia="calibri"/>
              </w:rPr>
              <w:t>MARC</w:t>
            </w:r>
            <w:r>
              <w:rPr>
                <w:rFonts w:ascii="宋体" w:hAnsi="宋体" w:cs="宋体" w:eastAsia="宋体"/>
              </w:rPr>
              <w:t>记录。</w:t>
            </w:r>
          </w:p>
          <w:p>
            <w:pPr>
              <w:pStyle w:val="null3"/>
              <w:jc w:val="both"/>
            </w:pPr>
            <w:r>
              <w:rPr>
                <w:rFonts w:ascii="calibri" w:hAnsi="calibri" w:cs="calibri" w:eastAsia="calibri"/>
                <w:sz w:val="21"/>
              </w:rPr>
              <w:t>12.</w:t>
            </w:r>
            <w:r>
              <w:rPr>
                <w:rFonts w:ascii="宋体" w:hAnsi="宋体" w:cs="宋体" w:eastAsia="宋体"/>
                <w:sz w:val="21"/>
              </w:rPr>
              <w:t>配合图书馆开展数据库讲座和宣传推广工作。</w:t>
            </w:r>
          </w:p>
        </w:tc>
      </w:tr>
    </w:tbl>
    <w:p>
      <w:pPr>
        <w:pStyle w:val="null3"/>
        <w:outlineLvl w:val="2"/>
      </w:pPr>
      <w:r>
        <w:rPr>
          <w:sz w:val="28"/>
          <w:b/>
        </w:rPr>
        <w:t>3.2.3人员配置要求</w:t>
      </w:r>
    </w:p>
    <w:p>
      <w:pPr>
        <w:pStyle w:val="null3"/>
      </w:pPr>
      <w:r>
        <w:rPr/>
        <w:t>采购包1：</w:t>
      </w:r>
    </w:p>
    <w:p>
      <w:pPr>
        <w:pStyle w:val="null3"/>
      </w:pPr>
      <w:r>
        <w:rPr/>
        <w:t>根据采购文件要求及合同约定执行</w:t>
      </w:r>
    </w:p>
    <w:p>
      <w:pPr>
        <w:pStyle w:val="null3"/>
        <w:outlineLvl w:val="2"/>
      </w:pPr>
      <w:r>
        <w:rPr>
          <w:sz w:val="28"/>
          <w:b/>
        </w:rPr>
        <w:t>3.2.4设施设备要求</w:t>
      </w:r>
    </w:p>
    <w:p>
      <w:pPr>
        <w:pStyle w:val="null3"/>
      </w:pPr>
      <w:r>
        <w:rPr/>
        <w:t>采购包1：</w:t>
      </w:r>
    </w:p>
    <w:p>
      <w:pPr>
        <w:pStyle w:val="null3"/>
      </w:pPr>
      <w:r>
        <w:rPr/>
        <w:t>根据采购文件要求及合同约定执行</w:t>
      </w:r>
    </w:p>
    <w:p>
      <w:pPr>
        <w:pStyle w:val="null3"/>
        <w:outlineLvl w:val="2"/>
      </w:pPr>
      <w:r>
        <w:rPr>
          <w:sz w:val="28"/>
          <w:b/>
        </w:rPr>
        <w:t>3.2.5其他要求</w:t>
      </w:r>
    </w:p>
    <w:p>
      <w:pPr>
        <w:pStyle w:val="null3"/>
      </w:pPr>
      <w:r>
        <w:rPr/>
        <w:t>采购包1：</w:t>
      </w:r>
    </w:p>
    <w:p>
      <w:pPr>
        <w:pStyle w:val="null3"/>
      </w:pPr>
      <w:r>
        <w:rPr/>
        <w:t>根据采购文件要求及合同约定执行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服务周期：2024年 11 月 1 日——2025年10 月 31 日</w:t>
      </w:r>
    </w:p>
    <w:p>
      <w:pPr>
        <w:pStyle w:val="null3"/>
        <w:outlineLvl w:val="3"/>
      </w:pPr>
      <w:r>
        <w:rPr>
          <w:sz w:val="24"/>
          <w:b/>
        </w:rPr>
        <w:t>3.3.2服务地点</w:t>
      </w:r>
    </w:p>
    <w:p>
      <w:pPr>
        <w:pStyle w:val="null3"/>
      </w:pPr>
      <w:r>
        <w:rPr/>
        <w:t>采购包1：</w:t>
      </w:r>
    </w:p>
    <w:p>
      <w:pPr>
        <w:pStyle w:val="null3"/>
      </w:pPr>
      <w:r>
        <w:rPr/>
        <w:t>西安工程大学图书馆网站</w:t>
      </w:r>
    </w:p>
    <w:p>
      <w:pPr>
        <w:pStyle w:val="null3"/>
        <w:outlineLvl w:val="3"/>
      </w:pPr>
      <w:r>
        <w:rPr>
          <w:sz w:val="24"/>
          <w:b/>
        </w:rPr>
        <w:t>3.3.3考核（验收）标准和方法</w:t>
      </w:r>
    </w:p>
    <w:p>
      <w:pPr>
        <w:pStyle w:val="null3"/>
      </w:pPr>
      <w:r>
        <w:rPr/>
        <w:t>采购包1：</w:t>
      </w:r>
    </w:p>
    <w:p>
      <w:pPr>
        <w:pStyle w:val="null3"/>
      </w:pPr>
      <w:r>
        <w:rPr/>
        <w:t>按采购文件和投标文件执行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 xml:space="preserve"> 一次性付款，甲方验收合格 ，且收到乙方开具的增值税发票后，在2024年12月31日前以银行转账方式支付合同总价款的100% </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按采购文件和投标文件执行</w:t>
      </w:r>
    </w:p>
    <w:p>
      <w:pPr>
        <w:pStyle w:val="null3"/>
        <w:outlineLvl w:val="2"/>
      </w:pPr>
      <w:r>
        <w:rPr>
          <w:sz w:val="28"/>
          <w:b/>
        </w:rPr>
        <w:t>3.4其他要求</w:t>
      </w:r>
    </w:p>
    <w:p>
      <w:pPr>
        <w:pStyle w:val="null3"/>
      </w:pPr>
      <w:r>
        <w:rPr/>
        <w:t xml:space="preserve"> 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 管理办法》(财库〔2020〕46号)； 2.《财政部司法部关于政府采购支持监狱企业发展有关问题的通知》(财库〔2014〕68号)； 3.《国务院办公厅关于建立政府 强制采购节能产品制度的通知》(国办发〔2007〕51号)； 4.《节能产品政府采购实施意见》(财库〔2004〕185号)； 5.《环境标志产 品政府采购实施的意见》(财库〔2006〕90号)； 6.《三部门联合发布关于促进残疾人就业政府采购政策的通知》(财库〔2017〕141号)； 7.《财政部 发展改革委 生态 环境部 市场监管总局关于调整优化 节能产品、环境标志产品政府采购执 行机制的通知》(财库〔2019〕9 号)； 8.《财政部 农业农村部 国家乡村振兴局关于运用政府采购政 策支持乡村产业振兴的通知》(财库〔2021〕19号)； 9.陕西省财 政厅关于印发《陕西省中小企业政府采购信用融资办法》(陕财办采〔2018〕23号)。</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分项报价表 标的清单 报价表</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分项报价表 标的清单 报价表</w:t>
            </w:r>
          </w:p>
        </w:tc>
      </w:tr>
      <w:tr>
        <w:tc>
          <w:tcPr>
            <w:tcW w:type="dxa" w:w="831"/>
          </w:tcPr>
          <w:p>
            <w:pPr>
              <w:pStyle w:val="null3"/>
            </w:pPr>
            <w:r>
              <w:rPr/>
              <w:t>3</w:t>
            </w:r>
          </w:p>
        </w:tc>
        <w:tc>
          <w:tcPr>
            <w:tcW w:type="dxa" w:w="2492"/>
          </w:tcPr>
          <w:p>
            <w:pPr>
              <w:pStyle w:val="null3"/>
            </w:pPr>
            <w:r>
              <w:rPr/>
              <w:t>服务周期</w:t>
            </w:r>
          </w:p>
        </w:tc>
        <w:tc>
          <w:tcPr>
            <w:tcW w:type="dxa" w:w="3322"/>
          </w:tcPr>
          <w:p>
            <w:pPr>
              <w:pStyle w:val="null3"/>
            </w:pPr>
            <w:r>
              <w:rPr/>
              <w:t>服务周期满足竞争性磋商文件要求(合格)，服务期限不满足竞争性 磋商文件要求(不合格)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响应文件的签署、盖章符合竞争性磋商文件要求(合格)，响应文件的签署、盖章不符合竞争性磋商文件要求 (不合格)</w:t>
            </w:r>
          </w:p>
        </w:tc>
        <w:tc>
          <w:tcPr>
            <w:tcW w:type="dxa" w:w="1661"/>
          </w:tcPr>
          <w:p>
            <w:pPr>
              <w:pStyle w:val="null3"/>
            </w:pPr>
            <w:r>
              <w:rPr/>
              <w:t>服务内容及服务邀请应答表 分项报价表 商务应答表 供应商资格要求 标的清单 报价表 响应函</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响应文件投标有效期符合竞争性磋商文件要求的(合格)，响应文件无投标有效期或有效期达不到竞争性磋商 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磋商保证金</w:t>
            </w:r>
          </w:p>
        </w:tc>
        <w:tc>
          <w:tcPr>
            <w:tcW w:type="dxa" w:w="3322"/>
          </w:tcPr>
          <w:p>
            <w:pPr>
              <w:pStyle w:val="null3"/>
            </w:pPr>
            <w:r>
              <w:rPr/>
              <w:t>供应商按照竞争性磋商文件要求缴纳磋商保证金的(合格)，供应商未按照竞争性磋商文件要求缴纳磋商保证金或磋商保证金缴纳金额少于竞争性 磋商文件要求的(不合格)</w:t>
            </w:r>
          </w:p>
        </w:tc>
        <w:tc>
          <w:tcPr>
            <w:tcW w:type="dxa" w:w="1661"/>
          </w:tcPr>
          <w:p>
            <w:pPr>
              <w:pStyle w:val="null3"/>
            </w:pPr>
            <w:r>
              <w:rPr/>
              <w:t>供应商认为有必要说明的其他问题</w:t>
            </w:r>
          </w:p>
        </w:tc>
      </w:tr>
      <w:tr>
        <w:tc>
          <w:tcPr>
            <w:tcW w:type="dxa" w:w="831"/>
          </w:tcPr>
          <w:p>
            <w:pPr>
              <w:pStyle w:val="null3"/>
            </w:pPr>
            <w:r>
              <w:rPr/>
              <w:t>7</w:t>
            </w:r>
          </w:p>
        </w:tc>
        <w:tc>
          <w:tcPr>
            <w:tcW w:type="dxa" w:w="2492"/>
          </w:tcPr>
          <w:p>
            <w:pPr>
              <w:pStyle w:val="null3"/>
            </w:pPr>
            <w:r>
              <w:rPr/>
              <w:t>递交两份或多份内容不同的响应文件或出现选择性报价</w:t>
            </w:r>
          </w:p>
        </w:tc>
        <w:tc>
          <w:tcPr>
            <w:tcW w:type="dxa" w:w="3322"/>
          </w:tcPr>
          <w:p>
            <w:pPr>
              <w:pStyle w:val="null3"/>
            </w:pPr>
            <w:r>
              <w:rPr/>
              <w:t>供应商针对同一项目未递交两份或多份内容不同的响应文件，未出现选择性报价的(合格)，供应商针对同一项目递交两份或多份内容不同的响应文件，未书面声明哪一份是有效的 或出现选择性报价的(不合格)</w:t>
            </w:r>
          </w:p>
        </w:tc>
        <w:tc>
          <w:tcPr>
            <w:tcW w:type="dxa" w:w="1661"/>
          </w:tcPr>
          <w:p>
            <w:pPr>
              <w:pStyle w:val="null3"/>
            </w:pPr>
            <w:r>
              <w:rPr/>
              <w:t>供应商认为有必要说明的其他问题 响应函</w:t>
            </w:r>
          </w:p>
        </w:tc>
      </w:tr>
      <w:tr>
        <w:tc>
          <w:tcPr>
            <w:tcW w:type="dxa" w:w="831"/>
          </w:tcPr>
          <w:p>
            <w:pPr>
              <w:pStyle w:val="null3"/>
            </w:pPr>
            <w:r>
              <w:rPr/>
              <w:t>8</w:t>
            </w:r>
          </w:p>
        </w:tc>
        <w:tc>
          <w:tcPr>
            <w:tcW w:type="dxa" w:w="2492"/>
          </w:tcPr>
          <w:p>
            <w:pPr>
              <w:pStyle w:val="null3"/>
            </w:pPr>
            <w:r>
              <w:rPr/>
              <w:t>法律、法规和采购文件规定的其他无效情形</w:t>
            </w:r>
          </w:p>
        </w:tc>
        <w:tc>
          <w:tcPr>
            <w:tcW w:type="dxa" w:w="3322"/>
          </w:tcPr>
          <w:p>
            <w:pPr>
              <w:pStyle w:val="null3"/>
            </w:pPr>
            <w:r>
              <w:rPr/>
              <w:t>不存在法律、法规和采购文件规定的其他无效情形(合格)，存在法律、法规和采购文件规定的其他无效情形(不合格)</w:t>
            </w:r>
          </w:p>
        </w:tc>
        <w:tc>
          <w:tcPr>
            <w:tcW w:type="dxa" w:w="1661"/>
          </w:tcPr>
          <w:p>
            <w:pPr>
              <w:pStyle w:val="null3"/>
            </w:pPr>
            <w:r>
              <w:rPr/>
              <w:t>服务内容及服务邀请应答表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采购内容及服务要求完全符合磋商文件要求，没有负偏离的得20分；每有一条参数负偏离扣2分，扣完为止。</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服务内容及服务邀请应答表</w:t>
            </w:r>
          </w:p>
        </w:tc>
      </w:tr>
      <w:tr>
        <w:tc>
          <w:tcPr>
            <w:tcW w:type="dxa" w:w="831"/>
            <w:vMerge/>
          </w:tcPr>
          <w:p/>
        </w:tc>
        <w:tc>
          <w:tcPr>
            <w:tcW w:type="dxa" w:w="1661"/>
          </w:tcPr>
          <w:p>
            <w:pPr>
              <w:pStyle w:val="null3"/>
            </w:pPr>
            <w:r>
              <w:rPr/>
              <w:t>技术方案</w:t>
            </w:r>
          </w:p>
        </w:tc>
        <w:tc>
          <w:tcPr>
            <w:tcW w:type="dxa" w:w="2492"/>
          </w:tcPr>
          <w:p>
            <w:pPr>
              <w:pStyle w:val="null3"/>
            </w:pPr>
            <w:r>
              <w:rPr/>
              <w:t>针对本项目提供技术方案，内容包含：①技术架构先进性；②业务功能完整性；③业务流程成熟性；④合理性；⑤满足用户当前和未来发展的使用需求。 每提供一项最高得3分，本项最高得15分。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质量控制方案</w:t>
            </w:r>
          </w:p>
        </w:tc>
        <w:tc>
          <w:tcPr>
            <w:tcW w:type="dxa" w:w="2492"/>
          </w:tcPr>
          <w:p>
            <w:pPr>
              <w:pStyle w:val="null3"/>
            </w:pPr>
            <w:r>
              <w:rPr/>
              <w:t>针对本项目提供质量控制方案，内容包含：①项目实施规范；②项目质量管理能力；③人员管理措施。 每提供一项最高得3分，本项最高得9分。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质量控制方案</w:t>
            </w:r>
          </w:p>
        </w:tc>
      </w:tr>
      <w:tr>
        <w:tc>
          <w:tcPr>
            <w:tcW w:type="dxa" w:w="831"/>
            <w:vMerge/>
          </w:tcPr>
          <w:p/>
        </w:tc>
        <w:tc>
          <w:tcPr>
            <w:tcW w:type="dxa" w:w="1661"/>
          </w:tcPr>
          <w:p>
            <w:pPr>
              <w:pStyle w:val="null3"/>
            </w:pPr>
            <w:r>
              <w:rPr/>
              <w:t>实施计划</w:t>
            </w:r>
          </w:p>
        </w:tc>
        <w:tc>
          <w:tcPr>
            <w:tcW w:type="dxa" w:w="2492"/>
          </w:tcPr>
          <w:p>
            <w:pPr>
              <w:pStyle w:val="null3"/>
            </w:pPr>
            <w:r>
              <w:rPr/>
              <w:t>针对本项目提供实施计划方案，内容包含：①实施计划方案；②进度控制措施；③管理组织措施， 每提供一项最高得3分，本项最高得9分。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实施计划</w:t>
            </w:r>
          </w:p>
        </w:tc>
      </w:tr>
      <w:tr>
        <w:tc>
          <w:tcPr>
            <w:tcW w:type="dxa" w:w="831"/>
            <w:vMerge/>
          </w:tcPr>
          <w:p/>
        </w:tc>
        <w:tc>
          <w:tcPr>
            <w:tcW w:type="dxa" w:w="1661"/>
          </w:tcPr>
          <w:p>
            <w:pPr>
              <w:pStyle w:val="null3"/>
            </w:pPr>
            <w:r>
              <w:rPr/>
              <w:t>服务团队</w:t>
            </w:r>
          </w:p>
        </w:tc>
        <w:tc>
          <w:tcPr>
            <w:tcW w:type="dxa" w:w="2492"/>
          </w:tcPr>
          <w:p>
            <w:pPr>
              <w:pStyle w:val="null3"/>
            </w:pPr>
            <w:r>
              <w:rPr/>
              <w:t>供应商提供专业服务团队。拟投入本项目主要人员需具有丰富的相关领域工作经验等相关专业学历证书或职称证书的。人员专业、人员分工合理、职责明确，计6.1-8分；人员分工较合理、职责较明确，计3.1-6分；人员不合理、职责不明确，计1-3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服务团队</w:t>
            </w:r>
          </w:p>
        </w:tc>
      </w:tr>
      <w:tr>
        <w:tc>
          <w:tcPr>
            <w:tcW w:type="dxa" w:w="831"/>
            <w:vMerge/>
          </w:tcPr>
          <w:p/>
        </w:tc>
        <w:tc>
          <w:tcPr>
            <w:tcW w:type="dxa" w:w="1661"/>
          </w:tcPr>
          <w:p>
            <w:pPr>
              <w:pStyle w:val="null3"/>
            </w:pPr>
            <w:r>
              <w:rPr/>
              <w:t>售后服务方案</w:t>
            </w:r>
          </w:p>
        </w:tc>
        <w:tc>
          <w:tcPr>
            <w:tcW w:type="dxa" w:w="2492"/>
          </w:tcPr>
          <w:p>
            <w:pPr>
              <w:pStyle w:val="null3"/>
            </w:pPr>
            <w:r>
              <w:rPr/>
              <w:t>针对本项目提供售后服务方案，内容包含：①售后服务机构（地点、人员）；②售后服务承诺；③故障处理计划（包括具体的售后服务内容、响应方式、响应时间、故障服务管理、问题管理等）；④应急处理方案（响应速度及时，响应规模和质量）。 每提供一项最高得2分，本项最高得8分。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①培训时间、培训人数、培训人员、培训方式，②培训内容应包括所提供产品的原理和技术性能、操作维护方法、安装调试、排除故障等各个方面。 每提供一项最高得3分，本项最高得6分。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提供服务商的2021年1月1日（以签订日期为准）至今同类项目业绩合同复印件并加盖公章，每份计1分，满分5分。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经初审合格的供应商，其响应报价为有效报价。 评审基准价：即满足竞争性磋商文件要求且最终响应报价最低的报价为评审基准价。 其他供应商的价格分统一按照下列公式计算。 响应报价计分=(评审基准价／最终响应报价)×20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分项报价表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详见附件：服务团队</w:t>
      </w:r>
    </w:p>
    <w:p>
      <w:pPr>
        <w:pStyle w:val="null3"/>
        <w:ind w:firstLine="960"/>
      </w:pPr>
      <w:r>
        <w:rPr/>
        <w:t>详见附件：供应商认为有必要说明的其他问题</w:t>
      </w:r>
    </w:p>
    <w:p>
      <w:pPr>
        <w:pStyle w:val="null3"/>
        <w:ind w:firstLine="960"/>
      </w:pPr>
      <w:r>
        <w:rPr/>
        <w:t>详见附件：技术方案</w:t>
      </w:r>
    </w:p>
    <w:p>
      <w:pPr>
        <w:pStyle w:val="null3"/>
        <w:ind w:firstLine="960"/>
      </w:pPr>
      <w:r>
        <w:rPr/>
        <w:t>详见附件：培训方案</w:t>
      </w:r>
    </w:p>
    <w:p>
      <w:pPr>
        <w:pStyle w:val="null3"/>
        <w:ind w:firstLine="960"/>
      </w:pPr>
      <w:r>
        <w:rPr/>
        <w:t>详见附件：实施计划</w:t>
      </w:r>
    </w:p>
    <w:p>
      <w:pPr>
        <w:pStyle w:val="null3"/>
        <w:ind w:firstLine="960"/>
      </w:pPr>
      <w:r>
        <w:rPr/>
        <w:t>详见附件：售后服务方案</w:t>
      </w:r>
    </w:p>
    <w:p>
      <w:pPr>
        <w:pStyle w:val="null3"/>
        <w:ind w:firstLine="960"/>
      </w:pPr>
      <w:r>
        <w:rPr/>
        <w:t>详见附件：业绩一览表</w:t>
      </w:r>
    </w:p>
    <w:p>
      <w:pPr>
        <w:pStyle w:val="null3"/>
        <w:ind w:firstLine="960"/>
      </w:pPr>
      <w:r>
        <w:rPr/>
        <w:t>详见附件：质量控制方案</w:t>
      </w:r>
    </w:p>
    <w:p>
      <w:pPr>
        <w:pStyle w:val="null3"/>
        <w:ind w:firstLine="960"/>
      </w:pPr>
      <w:r>
        <w:rPr/>
        <w:t>详见附件：标的清单</w:t>
      </w:r>
    </w:p>
    <w:p>
      <w:pPr>
        <w:pStyle w:val="null3"/>
        <w:ind w:firstLine="960"/>
      </w:pPr>
      <w:r>
        <w:rPr/>
        <w:t>详见附件：供应商资格要求</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详见附件：西安工程大学图书馆期刊全文数据库订购合同.docx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