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版本号：240719002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雁塔校区东楼主体加固及附属改造工程</w:t>
      </w:r>
    </w:p>
    <w:p>
      <w:pPr>
        <w:pStyle w:val="null3"/>
        <w:jc w:val="center"/>
        <w:outlineLvl w:val="2"/>
      </w:pPr>
      <w:r>
        <w:rPr>
          <w:sz w:val="28"/>
          <w:b/>
        </w:rPr>
        <w:t>采购项目编号：</w:t>
      </w:r>
      <w:r>
        <w:rPr>
          <w:sz w:val="28"/>
          <w:b/>
        </w:rPr>
        <w:t>ZMZB2024XJD-213</w:t>
      </w:r>
      <w:r>
        <w:br/>
      </w:r>
      <w:r>
        <w:br/>
      </w:r>
      <w:r>
        <w:br/>
      </w:r>
    </w:p>
    <w:p>
      <w:pPr>
        <w:pStyle w:val="null3"/>
        <w:jc w:val="center"/>
        <w:outlineLvl w:val="2"/>
      </w:pPr>
      <w:r>
        <w:rPr>
          <w:sz w:val="28"/>
          <w:b/>
        </w:rPr>
        <w:t>西安建筑科技大学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2024年07月16日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西安建筑科技大学</w:t>
      </w:r>
      <w:r>
        <w:rPr/>
        <w:t>委托，拟对</w:t>
      </w:r>
      <w:r>
        <w:rPr/>
        <w:t>雁塔校区东楼主体加固及附属改造工程</w:t>
      </w:r>
      <w:r>
        <w:rPr/>
        <w:t>采用竞争性磋商采购方式进行采购，兹邀请供应商参加本项目的竞争性磋商。</w:t>
      </w:r>
    </w:p>
    <w:p>
      <w:pPr>
        <w:pStyle w:val="null3"/>
        <w:outlineLvl w:val="2"/>
      </w:pPr>
      <w:r>
        <w:rPr>
          <w:sz w:val="28"/>
          <w:b/>
        </w:rPr>
        <w:t>一、采购项目编号：</w:t>
      </w:r>
      <w:r>
        <w:rPr>
          <w:sz w:val="28"/>
          <w:b/>
        </w:rPr>
        <w:t>ZMZB2024XJD-213</w:t>
      </w:r>
    </w:p>
    <w:p>
      <w:pPr>
        <w:pStyle w:val="null3"/>
        <w:outlineLvl w:val="2"/>
      </w:pPr>
      <w:r>
        <w:rPr>
          <w:sz w:val="28"/>
          <w:b/>
        </w:rPr>
        <w:t>二、采购项目名称：</w:t>
      </w:r>
      <w:r>
        <w:rPr>
          <w:sz w:val="28"/>
          <w:b/>
        </w:rPr>
        <w:t>雁塔校区东楼主体加固及附属改造工程</w:t>
      </w:r>
    </w:p>
    <w:p>
      <w:pPr>
        <w:pStyle w:val="null3"/>
        <w:outlineLvl w:val="2"/>
      </w:pPr>
      <w:r>
        <w:rPr>
          <w:sz w:val="28"/>
          <w:b/>
        </w:rPr>
        <w:t>三、磋商项目简介</w:t>
      </w:r>
    </w:p>
    <w:p>
      <w:pPr>
        <w:pStyle w:val="null3"/>
        <w:ind w:firstLine="480"/>
      </w:pPr>
      <w:r>
        <w:rPr/>
        <w:t>雁塔校区东楼主体加固及附属改造工程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采购包1（雁塔校区东楼主体加固及附属改造工程）：属于专门面向中小企业采购。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t>3、具有履行合同所必需的设备和专业技术能力的书面声明：具有履行合同所必需的设备和专业技术能力的书面声明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6、没有重大违法记录的书面声明：参加政府采购活动前3年内在经营活动中没有重大违法记录的书面声明</w:t>
      </w:r>
    </w:p>
    <w:p>
      <w:pPr>
        <w:pStyle w:val="null3"/>
      </w:pPr>
      <w:r>
        <w:rPr/>
        <w:t>7、施工资质：具备建筑工程施工总承包三级及以上或建筑装修装饰工程专业承包二级及以上资质，同时具备消防设施工程专业承包二级及以上资质和特种工程专业承包（结构补强）资质，有效期内的安全生产许可证</w:t>
      </w:r>
    </w:p>
    <w:p>
      <w:pPr>
        <w:pStyle w:val="null3"/>
      </w:pPr>
      <w:r>
        <w:rPr/>
        <w:t>8、外地企业备案：外地企业提供在“陕西省建筑市场监管与诚信信息一体化平台”上登记的基本信息界面截图</w:t>
      </w:r>
    </w:p>
    <w:p>
      <w:pPr>
        <w:pStyle w:val="null3"/>
      </w:pPr>
      <w:r>
        <w:rPr/>
        <w:t>9、项目经理：拟投入的项目经理须提供在本单位注册的建筑工程专业贰级（含贰级）以上注册建造师证书及有效的安全生产考核合格证，且未担任其他在建工程项目的项目经理（提供无在建工程的承诺函）</w:t>
      </w:r>
    </w:p>
    <w:p>
      <w:pPr>
        <w:pStyle w:val="null3"/>
      </w:pPr>
      <w:r>
        <w:rPr/>
        <w:t>10、本项目为专门面向中小企业采购项目：供应商应出具中小企业声明函</w:t>
      </w:r>
    </w:p>
    <w:p>
      <w:pPr>
        <w:pStyle w:val="null3"/>
      </w:pPr>
      <w:r>
        <w:rPr/>
        <w:t>11、非联合体投标：提供非联合体投标声明函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胡老师</w:t>
      </w:r>
    </w:p>
    <w:p>
      <w:pPr>
        <w:pStyle w:val="null3"/>
      </w:pPr>
      <w:r>
        <w:rPr/>
        <w:t xml:space="preserve"> 联系电话： </w:t>
      </w:r>
      <w:r>
        <w:rPr/>
        <w:t>029-82202221</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张倩</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采购包1：3,980,000.00元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采购包1保证金金额：75,000.00元</w:t>
            </w:r>
          </w:p>
          <w:p>
            <w:pPr>
              <w:pStyle w:val="null3"/>
            </w:pPr>
            <w:r>
              <w:rPr/>
              <w:t>缴交渠道：转账、支票、汇票等（需通过实体账户、户名及开户行信息）,电子保函</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说明：待合同履约完毕后无息退还。</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 100万元（不含）以下的项目中标服务费参照国家发展与改革委员会《招标代理服务收费暂行办法》（计价格[2002]1980 号）文件规定标准计取，100万元（含）以上的项目中标服务费参照国家发展与改革委员会《招标代理服务收费暂行办法》（计价格[2002]1980 号）文件规定标准75%计取。 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踏勘时间：2024-07-24 09:30:00</w:t>
            </w:r>
          </w:p>
          <w:p>
            <w:pPr>
              <w:pStyle w:val="null3"/>
              <w:ind w:firstLine="975"/>
            </w:pPr>
            <w:r>
              <w:rPr/>
              <w:t>踏勘地点：西安建筑科技大学雁塔校区北院建筑东楼门前</w:t>
            </w:r>
          </w:p>
          <w:p>
            <w:pPr>
              <w:pStyle w:val="null3"/>
              <w:ind w:firstLine="975"/>
            </w:pPr>
            <w:r>
              <w:rPr/>
              <w:t>联系人：董菊莉 张倩</w:t>
            </w:r>
          </w:p>
          <w:p>
            <w:pPr>
              <w:pStyle w:val="null3"/>
              <w:ind w:firstLine="975"/>
            </w:pPr>
            <w:r>
              <w:rPr/>
              <w:t>联系电话号码：17778966062</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西安建筑科技大学</w:t>
      </w:r>
      <w:r>
        <w:rPr/>
        <w:t>和</w:t>
      </w:r>
      <w:r>
        <w:rPr/>
        <w:t>陕西卓佲项目管理有限公司</w:t>
      </w:r>
      <w:r>
        <w:rPr/>
        <w:t>享有。对磋商文件中供应商参加本次政府采购活动应当具备的条件，磋商项目技术、服务、商务及其他要求，评审细则及标准由</w:t>
      </w:r>
      <w:r>
        <w:rPr/>
        <w:t>西安建筑科技大学</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西安建筑科技大学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按照招标文件、投标文件及合同约定执行。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陕西卓佲项目管理有限公司</w:t>
      </w:r>
      <w:r>
        <w:rPr/>
        <w:t xml:space="preserve"> 负责答复；供应商对采购过程的询问、质疑由</w:t>
      </w:r>
      <w:r>
        <w:rPr/>
        <w:t>陕西卓佲项目管理有限公司</w:t>
      </w:r>
      <w:r>
        <w:rPr/>
        <w:t xml:space="preserve"> 负责答复；供应商对采购结果的询问、质疑由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联系人：董菊莉</w:t>
      </w:r>
    </w:p>
    <w:p>
      <w:pPr>
        <w:pStyle w:val="null3"/>
      </w:pPr>
      <w:r>
        <w:rPr/>
        <w:t>联系电话：177 7896 6062</w:t>
      </w:r>
    </w:p>
    <w:p>
      <w:pPr>
        <w:pStyle w:val="null3"/>
      </w:pPr>
      <w:r>
        <w:rPr/>
        <w:t>地址：西安市雁塔区科技路30号合力紫郡B座21层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3,980,000.00</w:t>
      </w:r>
    </w:p>
    <w:p>
      <w:pPr>
        <w:pStyle w:val="null3"/>
      </w:pPr>
      <w:r>
        <w:rPr/>
        <w:t>采购包最高限价（元）: 3,980,000.00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雁塔校区东楼主体加固及附属改造工程</w:t>
            </w:r>
          </w:p>
        </w:tc>
        <w:tc>
          <w:tcPr>
            <w:tcW w:type="dxa" w:w="1384"/>
          </w:tcPr>
          <w:p>
            <w:pPr>
              <w:pStyle w:val="null3"/>
              <w:jc w:val="right"/>
            </w:pPr>
            <w:r>
              <w:rPr/>
              <w:t>1.00</w:t>
            </w:r>
          </w:p>
        </w:tc>
        <w:tc>
          <w:tcPr>
            <w:tcW w:type="dxa" w:w="1384"/>
          </w:tcPr>
          <w:p>
            <w:pPr>
              <w:pStyle w:val="null3"/>
              <w:jc w:val="right"/>
            </w:pPr>
            <w:r>
              <w:rPr/>
              <w:t>3,980,000.00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标的名称：雁塔校区东楼主体加固及附属改造工程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项目概况</w:t>
            </w:r>
            <w:r>
              <w:rPr>
                <w:rFonts w:ascii="宋体" w:hAnsi="宋体" w:cs="宋体" w:eastAsia="宋体"/>
                <w:sz w:val="20"/>
              </w:rPr>
              <w:t>:</w:t>
            </w:r>
          </w:p>
          <w:p>
            <w:pPr>
              <w:pStyle w:val="null3"/>
              <w:jc w:val="both"/>
            </w:pPr>
            <w:r>
              <w:rPr>
                <w:rFonts w:ascii="宋体" w:hAnsi="宋体" w:cs="宋体" w:eastAsia="宋体"/>
                <w:sz w:val="20"/>
              </w:rPr>
              <w:t>雁塔校区北院东楼为地上四层砖混结构，现经专业机构安全鉴定，该楼体部分承重墙体承载力不满足规范要求，现对该楼体进行结构补强、恢复，同步加装消防设施。施工内容主要涉及原有楼体结构加固、墙面装饰拆除恢复、消防设施加装等内容，总施工面积</w:t>
            </w:r>
            <w:r>
              <w:rPr>
                <w:rFonts w:ascii="宋体" w:hAnsi="宋体" w:cs="宋体" w:eastAsia="宋体"/>
                <w:sz w:val="20"/>
              </w:rPr>
              <w:t>4610平方米。质量标准执行国家、陕西省、西安市现行工程质量验评标准。项目预算398.00万元，暑假期间施工，施工场地满足施工需求。</w:t>
            </w:r>
          </w:p>
          <w:p>
            <w:pPr>
              <w:pStyle w:val="null3"/>
              <w:jc w:val="both"/>
            </w:pPr>
            <w:r>
              <w:rPr>
                <w:rFonts w:ascii="宋体" w:hAnsi="宋体" w:cs="宋体" w:eastAsia="宋体"/>
                <w:sz w:val="20"/>
              </w:rPr>
              <w:t>该项目施工内容主要涉及原有楼体结构加固、墙面装饰拆除恢复消防设施加装等内容，质量标准执行国家、陕西省、西安市现行工程质量验评标准。</w:t>
            </w:r>
          </w:p>
          <w:p>
            <w:pPr>
              <w:pStyle w:val="null3"/>
              <w:jc w:val="both"/>
            </w:pPr>
            <w:r>
              <w:rPr>
                <w:rFonts w:ascii="宋体" w:hAnsi="宋体" w:cs="宋体" w:eastAsia="宋体"/>
                <w:sz w:val="20"/>
              </w:rPr>
              <w:t>施工期间楼体无法整体腾空，需根据校方要求合理安排施工顺序，保护家具，配合校方统筹协调该楼体相关改造项目工序衔接、各施工单位配合，保证施工的安全和质量，并如期完工。施工结束后施工单位需进行整体清理保洁，并对每间房屋进行环境质量检测，出具校方认可的第三方环境监测报告。施工期间注意安全文明措施和施工人员管理，施工临时用电接楼宇内就近层箱，布置施工三级配电，临时用水可由卫生间直接接取。</w:t>
            </w:r>
          </w:p>
        </w:tc>
      </w:tr>
      <w:tr>
        <w:tc>
          <w:tcPr>
            <w:tcW w:type="dxa" w:w="2769"/>
          </w:tcPr>
          <w:p/>
        </w:tc>
        <w:tc>
          <w:tcPr>
            <w:tcW w:type="dxa" w:w="2769"/>
          </w:tcPr>
          <w:p>
            <w:pPr>
              <w:pStyle w:val="null3"/>
            </w:pPr>
            <w:r>
              <w:rPr/>
              <w:t>2</w:t>
            </w:r>
          </w:p>
        </w:tc>
        <w:tc>
          <w:tcPr>
            <w:tcW w:type="dxa" w:w="2769"/>
          </w:tcPr>
          <w:p>
            <w:pPr>
              <w:pStyle w:val="null3"/>
              <w:jc w:val="both"/>
            </w:pPr>
            <w:r>
              <w:rPr>
                <w:rFonts w:ascii="calibri" w:hAnsi="calibri" w:cs="calibri" w:eastAsia="calibri"/>
                <w:sz w:val="21"/>
              </w:rPr>
              <w:t>2.</w:t>
            </w:r>
            <w:r>
              <w:rPr>
                <w:rFonts w:ascii="宋体" w:hAnsi="宋体" w:cs="宋体" w:eastAsia="宋体"/>
                <w:sz w:val="21"/>
              </w:rPr>
              <w:t>主要材料规格型号及技术参数要求</w:t>
            </w:r>
          </w:p>
          <w:tbl>
            <w:tblPr>
              <w:tblInd w:type="dxa" w:w="135"/>
              <w:tblBorders>
                <w:top w:val="none" w:color="000000" w:sz="4"/>
                <w:left w:val="none" w:color="000000" w:sz="4"/>
                <w:bottom w:val="none" w:color="000000" w:sz="4"/>
                <w:right w:val="none" w:color="000000" w:sz="4"/>
                <w:insideH w:val="none"/>
                <w:insideV w:val="none"/>
              </w:tblBorders>
            </w:tblPr>
            <w:tblGrid>
              <w:gridCol w:w="382"/>
              <w:gridCol w:w="453"/>
              <w:gridCol w:w="1388"/>
              <w:gridCol w:w="322"/>
            </w:tblGrid>
            <w:tr>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b/>
                    </w:rPr>
                    <w:t>序号</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b/>
                    </w:rPr>
                    <w:t>材料名称</w:t>
                  </w:r>
                </w:p>
              </w:tc>
              <w:tc>
                <w:tcPr>
                  <w:tcW w:type="dxa" w:w="1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b/>
                    </w:rPr>
                    <w:t>参数、标准、要求</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b/>
                    </w:rPr>
                    <w:t>备注</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乳胶漆</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 乳胶漆挥发性有机化合物含量（60°光泽≤10）≤50g/L</w:t>
                  </w:r>
                </w:p>
                <w:p>
                  <w:pPr>
                    <w:pStyle w:val="null3"/>
                    <w:jc w:val="left"/>
                  </w:pPr>
                  <w:r>
                    <w:rPr>
                      <w:rFonts w:ascii="宋体" w:hAnsi="宋体" w:cs="宋体" w:eastAsia="宋体"/>
                      <w:sz w:val="22"/>
                    </w:rPr>
                    <w:t>2. 乳胶漆挥发性有机化合物含量（60°光泽＞10）≤80g/L</w:t>
                  </w:r>
                </w:p>
                <w:p>
                  <w:pPr>
                    <w:pStyle w:val="null3"/>
                    <w:jc w:val="left"/>
                  </w:pPr>
                  <w:r>
                    <w:rPr>
                      <w:rFonts w:ascii="宋体" w:hAnsi="宋体" w:cs="宋体" w:eastAsia="宋体"/>
                      <w:sz w:val="22"/>
                    </w:rPr>
                    <w:t>3. 乳胶漆甲醛含量（乙酰丙酮法）≤30mg/kg</w:t>
                  </w:r>
                </w:p>
                <w:p>
                  <w:pPr>
                    <w:pStyle w:val="null3"/>
                    <w:jc w:val="left"/>
                  </w:pPr>
                  <w:r>
                    <w:rPr>
                      <w:rFonts w:ascii="宋体" w:hAnsi="宋体" w:cs="宋体" w:eastAsia="宋体"/>
                      <w:sz w:val="22"/>
                    </w:rPr>
                    <w:t>4. 乳胶漆苯、甲苯、乙苯、二甲苯总和≤80mg/kg</w:t>
                  </w:r>
                </w:p>
                <w:p>
                  <w:pPr>
                    <w:pStyle w:val="null3"/>
                    <w:jc w:val="left"/>
                  </w:pPr>
                  <w:r>
                    <w:rPr>
                      <w:rFonts w:ascii="宋体" w:hAnsi="宋体" w:cs="宋体" w:eastAsia="宋体"/>
                      <w:sz w:val="22"/>
                    </w:rPr>
                    <w:t>5.耐洗刷性：≥6000 次</w:t>
                  </w:r>
                </w:p>
                <w:p>
                  <w:pPr>
                    <w:pStyle w:val="null3"/>
                    <w:jc w:val="left"/>
                  </w:pP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2</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不锈钢</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1.2mm厚304不锈钢,</w:t>
                  </w: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3</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铝方通</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1.2mm厚，</w:t>
                  </w: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4</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人造石</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25/20mm厚，防水、防渗、防霉，</w:t>
                  </w: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5</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玻璃胶</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1.单位产品总挥发性有机物（TVOC）含量≤80g/kg</w:t>
                  </w:r>
                </w:p>
                <w:p>
                  <w:pPr>
                    <w:pStyle w:val="null3"/>
                    <w:jc w:val="left"/>
                  </w:pPr>
                  <w:r>
                    <w:rPr>
                      <w:rFonts w:ascii="宋体" w:hAnsi="宋体" w:cs="宋体" w:eastAsia="宋体"/>
                      <w:sz w:val="22"/>
                    </w:rPr>
                    <w:t>2.烷烃增塑剂（红外光谱）不得检出</w:t>
                  </w:r>
                </w:p>
                <w:p>
                  <w:pPr>
                    <w:pStyle w:val="null3"/>
                    <w:jc w:val="left"/>
                  </w:pPr>
                  <w:r>
                    <w:rPr>
                      <w:rFonts w:ascii="宋体" w:hAnsi="宋体" w:cs="宋体" w:eastAsia="宋体"/>
                      <w:sz w:val="22"/>
                    </w:rPr>
                    <w:t>3. 密封胶分级达到 20HM、25HM、20LM</w:t>
                  </w:r>
                </w:p>
                <w:p>
                  <w:pPr>
                    <w:pStyle w:val="null3"/>
                    <w:jc w:val="left"/>
                  </w:pPr>
                  <w:r>
                    <w:rPr>
                      <w:rFonts w:ascii="宋体" w:hAnsi="宋体" w:cs="宋体" w:eastAsia="宋体"/>
                      <w:sz w:val="22"/>
                    </w:rPr>
                    <w:t>4.符合《胶粘剂中有害物质限量》</w:t>
                  </w:r>
                  <w:r>
                    <w:rPr>
                      <w:rFonts w:ascii="宋体" w:hAnsi="宋体" w:cs="宋体" w:eastAsia="宋体"/>
                      <w:sz w:val="22"/>
                      <w:color w:val="000000"/>
                    </w:rPr>
                    <w:t>GB</w:t>
                  </w:r>
                  <w:r>
                    <w:rPr>
                      <w:rFonts w:ascii="宋体" w:hAnsi="宋体" w:cs="宋体" w:eastAsia="宋体"/>
                      <w:sz w:val="22"/>
                    </w:rPr>
                    <w:t xml:space="preserve"> </w:t>
                  </w:r>
                  <w:r>
                    <w:rPr>
                      <w:rFonts w:ascii="宋体" w:hAnsi="宋体" w:cs="宋体" w:eastAsia="宋体"/>
                      <w:sz w:val="22"/>
                    </w:rPr>
                    <w:t>18583-2008</w:t>
                  </w:r>
                </w:p>
                <w:p>
                  <w:pPr>
                    <w:pStyle w:val="null3"/>
                    <w:jc w:val="left"/>
                  </w:pP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6</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结构胶</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1.单位产品总挥发性有机物（TVOC）含量≤80g/kg</w:t>
                  </w:r>
                </w:p>
                <w:p>
                  <w:pPr>
                    <w:pStyle w:val="null3"/>
                    <w:jc w:val="left"/>
                  </w:pPr>
                  <w:r>
                    <w:rPr>
                      <w:rFonts w:ascii="宋体" w:hAnsi="宋体" w:cs="宋体" w:eastAsia="宋体"/>
                      <w:sz w:val="22"/>
                    </w:rPr>
                    <w:t>2.烷烃增塑剂（红外光谱）不得检出</w:t>
                  </w:r>
                </w:p>
                <w:p>
                  <w:pPr>
                    <w:pStyle w:val="null3"/>
                    <w:jc w:val="left"/>
                  </w:pPr>
                  <w:r>
                    <w:rPr>
                      <w:rFonts w:ascii="宋体" w:hAnsi="宋体" w:cs="宋体" w:eastAsia="宋体"/>
                      <w:sz w:val="22"/>
                    </w:rPr>
                    <w:t>3.23℃拉伸粘结强度标准值≥0.6MPa</w:t>
                  </w:r>
                </w:p>
                <w:p>
                  <w:pPr>
                    <w:pStyle w:val="null3"/>
                    <w:jc w:val="left"/>
                  </w:pPr>
                  <w:r>
                    <w:rPr>
                      <w:rFonts w:ascii="宋体" w:hAnsi="宋体" w:cs="宋体" w:eastAsia="宋体"/>
                      <w:sz w:val="22"/>
                    </w:rPr>
                    <w:t>4.粘结破坏面积≤5%</w:t>
                  </w:r>
                </w:p>
                <w:p>
                  <w:pPr>
                    <w:pStyle w:val="null3"/>
                    <w:jc w:val="left"/>
                  </w:pPr>
                  <w:r>
                    <w:rPr>
                      <w:rFonts w:ascii="宋体" w:hAnsi="宋体" w:cs="宋体" w:eastAsia="宋体"/>
                      <w:sz w:val="22"/>
                    </w:rPr>
                    <w:t>4.符合《胶粘剂中有害物质限量》</w:t>
                  </w:r>
                  <w:r>
                    <w:rPr>
                      <w:rFonts w:ascii="宋体" w:hAnsi="宋体" w:cs="宋体" w:eastAsia="宋体"/>
                      <w:sz w:val="22"/>
                      <w:color w:val="000000"/>
                    </w:rPr>
                    <w:t>GB</w:t>
                  </w:r>
                  <w:r>
                    <w:rPr>
                      <w:rFonts w:ascii="宋体" w:hAnsi="宋体" w:cs="宋体" w:eastAsia="宋体"/>
                      <w:sz w:val="22"/>
                    </w:rPr>
                    <w:t xml:space="preserve"> </w:t>
                  </w:r>
                  <w:r>
                    <w:rPr>
                      <w:rFonts w:ascii="宋体" w:hAnsi="宋体" w:cs="宋体" w:eastAsia="宋体"/>
                      <w:sz w:val="22"/>
                    </w:rPr>
                    <w:t>18583-2008</w:t>
                  </w:r>
                </w:p>
                <w:p>
                  <w:pPr>
                    <w:pStyle w:val="null3"/>
                    <w:jc w:val="left"/>
                  </w:pP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7</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墙地瓷砖</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1.产品内照射指数 IRa≤0.9</w:t>
                  </w:r>
                </w:p>
                <w:p>
                  <w:pPr>
                    <w:pStyle w:val="null3"/>
                    <w:jc w:val="left"/>
                  </w:pPr>
                  <w:r>
                    <w:rPr>
                      <w:rFonts w:ascii="宋体" w:hAnsi="宋体" w:cs="宋体" w:eastAsia="宋体"/>
                      <w:sz w:val="22"/>
                    </w:rPr>
                    <w:t>2.外照射指数 Ir≤1.2</w:t>
                  </w:r>
                </w:p>
                <w:p>
                  <w:pPr>
                    <w:pStyle w:val="null3"/>
                    <w:jc w:val="left"/>
                  </w:pPr>
                  <w:r>
                    <w:rPr>
                      <w:rFonts w:ascii="宋体" w:hAnsi="宋体" w:cs="宋体" w:eastAsia="宋体"/>
                      <w:sz w:val="22"/>
                    </w:rPr>
                    <w:t>3.无釉陶瓷砖、板耐污染性≥3 级</w:t>
                  </w:r>
                </w:p>
                <w:p>
                  <w:pPr>
                    <w:pStyle w:val="null3"/>
                    <w:jc w:val="left"/>
                  </w:pPr>
                  <w:r>
                    <w:rPr>
                      <w:rFonts w:ascii="宋体" w:hAnsi="宋体" w:cs="宋体" w:eastAsia="宋体"/>
                      <w:sz w:val="22"/>
                    </w:rPr>
                    <w:t>4.有釉陶瓷砖、板耐污染性≥4 级</w:t>
                  </w:r>
                </w:p>
                <w:p>
                  <w:pPr>
                    <w:pStyle w:val="null3"/>
                    <w:jc w:val="left"/>
                  </w:pP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8</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木工板</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9</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石膏板</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9/12mm厚节能环保产品，符合本项目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10</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木饰面</w:t>
                  </w:r>
                  <w:r>
                    <w:rPr>
                      <w:rFonts w:ascii="宋体" w:hAnsi="宋体" w:cs="宋体" w:eastAsia="宋体"/>
                      <w:sz w:val="22"/>
                    </w:rPr>
                    <w:t>/指接板</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12/15/20mm厚，节能环保产品，符合本项目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11</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窗户</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90系列断桥铝厚度1.4mm，白浮法玻璃，6+9a+6，</w:t>
                  </w:r>
                  <w:r>
                    <w:rPr>
                      <w:rFonts w:ascii="宋体" w:hAnsi="宋体" w:cs="宋体" w:eastAsia="宋体"/>
                      <w:sz w:val="22"/>
                    </w:rPr>
                    <w:t>符合国家相关标准、规范</w:t>
                  </w:r>
                  <w:r>
                    <w:rPr>
                      <w:rFonts w:ascii="宋体" w:hAnsi="宋体" w:cs="宋体" w:eastAsia="宋体"/>
                      <w:sz w:val="22"/>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12</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电线</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采用低烟低毒阻燃型线缆、矿物绝缘类不燃性电缆等，且导体材料采用铜芯</w:t>
                  </w:r>
                  <w:r>
                    <w:rPr>
                      <w:rFonts w:ascii="宋体" w:hAnsi="宋体" w:cs="宋体" w:eastAsia="宋体"/>
                      <w:sz w:val="22"/>
                      <w:color w:val="000000"/>
                    </w:rPr>
                    <w:t>,</w:t>
                  </w: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13</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线管</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14</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插座面板</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220V，64A/32A/16A/10A等，</w:t>
                  </w: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15</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空气开关</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16/32A等，带漏电保护。节能环保产品，符合本项目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w:t>
                  </w:r>
                  <w:r>
                    <w:rPr>
                      <w:rFonts w:ascii="宋体" w:hAnsi="宋体" w:cs="宋体" w:eastAsia="宋体"/>
                      <w:sz w:val="22"/>
                    </w:rPr>
                    <w:t>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16</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配电箱</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1.符合本项目</w:t>
                  </w:r>
                  <w:r>
                    <w:rPr>
                      <w:rFonts w:ascii="宋体" w:hAnsi="宋体" w:cs="宋体" w:eastAsia="宋体"/>
                      <w:sz w:val="22"/>
                    </w:rPr>
                    <w:t>竞争性磋商文件</w:t>
                  </w:r>
                  <w:r>
                    <w:rPr>
                      <w:rFonts w:ascii="宋体" w:hAnsi="宋体" w:cs="宋体" w:eastAsia="宋体"/>
                      <w:sz w:val="22"/>
                    </w:rPr>
                    <w:t>工程量清单、施工图纸相关要求和国家相关标准、规范；</w:t>
                  </w:r>
                </w:p>
                <w:p>
                  <w:pPr>
                    <w:pStyle w:val="null3"/>
                    <w:jc w:val="left"/>
                  </w:pPr>
                  <w:r>
                    <w:rPr>
                      <w:rFonts w:ascii="宋体" w:hAnsi="宋体" w:cs="宋体" w:eastAsia="宋体"/>
                      <w:sz w:val="22"/>
                    </w:rPr>
                    <w:t>2.箱体、元器件安装底板均采用大型钢厂冷轧钢板。配电箱箱体为喷塑，颜色为电脑灰色；安装底板应镀锌；</w:t>
                  </w:r>
                </w:p>
                <w:p>
                  <w:pPr>
                    <w:pStyle w:val="null3"/>
                    <w:jc w:val="left"/>
                  </w:pPr>
                  <w:r>
                    <w:rPr>
                      <w:rFonts w:ascii="宋体" w:hAnsi="宋体" w:cs="宋体" w:eastAsia="宋体"/>
                      <w:sz w:val="22"/>
                    </w:rPr>
                    <w:t>3.箱内布线要分色；一次线、铜排、辅料均采用合格产品。</w:t>
                  </w:r>
                </w:p>
                <w:p>
                  <w:pPr>
                    <w:pStyle w:val="null3"/>
                    <w:jc w:val="both"/>
                  </w:pPr>
                  <w:r>
                    <w:rPr>
                      <w:rFonts w:ascii="宋体" w:hAnsi="宋体" w:cs="宋体" w:eastAsia="宋体"/>
                      <w:sz w:val="22"/>
                    </w:rPr>
                    <w:t>4.施工图纸中箱体规格尺寸仅供参考，报价不再因箱体尺寸变化而变化。</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17</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钢筋</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符合本项目</w:t>
                  </w:r>
                  <w:r>
                    <w:rPr>
                      <w:rFonts w:ascii="宋体" w:hAnsi="宋体" w:cs="宋体" w:eastAsia="宋体"/>
                      <w:sz w:val="22"/>
                    </w:rPr>
                    <w:t>竞争性磋商文件</w:t>
                  </w:r>
                  <w:r>
                    <w:rPr>
                      <w:rFonts w:ascii="宋体" w:hAnsi="宋体" w:cs="宋体" w:eastAsia="宋体"/>
                      <w:sz w:val="22"/>
                      <w:color w:val="000000"/>
                    </w:rPr>
                    <w:t>工程量清单、施工图纸相关要求和国家相关标准、规范。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18</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高延性混凝土</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I类高延性混凝土，抗冻试验(快冻法)≥F300；抗水渗透试验(逐级加压法)≥P12；抗氯离子渗透(RCM法)≥RCM-IV；抗硫酸盐侵蚀≥KS90；抗碳化性能28d 碳化深度≤2.0mm，</w:t>
                  </w:r>
                  <w:r>
                    <w:rPr>
                      <w:rFonts w:ascii="宋体" w:hAnsi="宋体" w:cs="宋体" w:eastAsia="宋体"/>
                      <w:sz w:val="22"/>
                      <w:color w:val="000000"/>
                    </w:rPr>
                    <w:t>符合本项目</w:t>
                  </w:r>
                  <w:r>
                    <w:rPr>
                      <w:rFonts w:ascii="宋体" w:hAnsi="宋体" w:cs="宋体" w:eastAsia="宋体"/>
                      <w:sz w:val="22"/>
                    </w:rPr>
                    <w:t>竞争性磋商文件</w:t>
                  </w:r>
                  <w:r>
                    <w:rPr>
                      <w:rFonts w:ascii="宋体" w:hAnsi="宋体" w:cs="宋体" w:eastAsia="宋体"/>
                      <w:sz w:val="22"/>
                      <w:color w:val="000000"/>
                    </w:rPr>
                    <w:t>工程量清单、施工图纸相关要求和国家相关标准、规范。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19</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安全出口标识</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20</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球墨铸铁管</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厚度不低于</w:t>
                  </w:r>
                  <w:r>
                    <w:rPr>
                      <w:rFonts w:ascii="宋体" w:hAnsi="宋体" w:cs="宋体" w:eastAsia="宋体"/>
                      <w:sz w:val="22"/>
                    </w:rPr>
                    <w:t>6mm，节能环保产品，符合本项目</w:t>
                  </w:r>
                  <w:r>
                    <w:rPr>
                      <w:rFonts w:ascii="宋体" w:hAnsi="宋体" w:cs="宋体" w:eastAsia="宋体"/>
                      <w:sz w:val="22"/>
                    </w:rPr>
                    <w:t>竞争性磋商文件</w:t>
                  </w:r>
                  <w:r>
                    <w:rPr>
                      <w:rFonts w:ascii="宋体" w:hAnsi="宋体" w:cs="宋体" w:eastAsia="宋体"/>
                      <w:sz w:val="22"/>
                    </w:rPr>
                    <w:t>工程量清单、施工图纸相关要求，符合国家相关标准、规范。</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r>
        <w:tc>
          <w:tcPr>
            <w:tcW w:type="dxa" w:w="2769"/>
          </w:tcPr>
          <w:p/>
        </w:tc>
        <w:tc>
          <w:tcPr>
            <w:tcW w:type="dxa" w:w="2769"/>
          </w:tcPr>
          <w:p>
            <w:pPr>
              <w:pStyle w:val="null3"/>
            </w:pPr>
            <w:r>
              <w:rPr/>
              <w:t>3</w:t>
            </w:r>
          </w:p>
        </w:tc>
        <w:tc>
          <w:tcPr>
            <w:tcW w:type="dxa" w:w="2769"/>
          </w:tcPr>
          <w:p>
            <w:pPr>
              <w:pStyle w:val="null3"/>
              <w:jc w:val="both"/>
            </w:pPr>
            <w:r>
              <w:rPr>
                <w:rFonts w:ascii="calibri" w:hAnsi="calibri" w:cs="calibri" w:eastAsia="calibri"/>
                <w:sz w:val="21"/>
              </w:rPr>
              <w:t>3</w:t>
            </w:r>
            <w:r>
              <w:rPr>
                <w:rFonts w:ascii="宋体" w:hAnsi="宋体" w:cs="宋体" w:eastAsia="宋体"/>
                <w:sz w:val="21"/>
              </w:rPr>
              <w:t>、执行的标准：建筑工程施工质量验收统一标准（</w:t>
            </w:r>
            <w:r>
              <w:rPr>
                <w:rFonts w:ascii="calibri" w:hAnsi="calibri" w:cs="calibri" w:eastAsia="calibri"/>
                <w:sz w:val="21"/>
              </w:rPr>
              <w:t>GB50300-2013</w:t>
            </w:r>
            <w:r>
              <w:rPr>
                <w:rFonts w:ascii="宋体" w:hAnsi="宋体" w:cs="宋体" w:eastAsia="宋体"/>
                <w:sz w:val="21"/>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合格</w:t>
      </w:r>
    </w:p>
    <w:p>
      <w:pPr>
        <w:pStyle w:val="null3"/>
        <w:ind w:firstLine="480"/>
      </w:pPr>
      <w:r>
        <w:rPr/>
        <w:t>三、针对本项目的其他技术服务要求：</w:t>
      </w:r>
    </w:p>
    <w:p>
      <w:pPr>
        <w:pStyle w:val="null3"/>
      </w:pPr>
      <w:r>
        <w:rPr/>
        <w:t>符合国家标准</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一、商务条款：1.工期：工期要求60天 。 2.质保期：本项目竣工验收合格通过之日起贰年； 3.实施地点：西安建筑科技大学指定地点； 4.付款方式：4.1签订合同完毕，供应商提供银行等金融机构出具的预付款保函或其他担保措施，甲方支付合同总价的40%作为预付款。4.2签订合同完毕，供应商无法提供预付款保函或其他担保措施，施工完成清单内全部工程内容后，支付合同额50%进度款。4.3工程竣工验收合格后经审计部门或其委托有工程造价咨询资质的机构审定结算后，缴纳施工水电费后，支付至审定结算价的100%；但在国家规定的保修期限内，保修责任仍由承包人继续承担。5、保修要求：属于保修范围和内容的项目，承包人应在接到维修通知后， 1 天内派人维修。发生紧急抢修事故（如上水管跑水、爆裂，供电设施漏、断电等），承包人应在接到事故通知后 2 小时内到达事故现场并于 4 小时内完成应急维修。6、中标单位负责配合校方统筹协调该楼体相关改造项目工序衔接、各施工单位配合，保证施工的安全和质量，并如期完工。注：商务条款不允许负偏离。二、其他要求：（1）供应商需要在线提交所有通过电子化交易平台实施的政府采购项目的响应文件，同时，线下提交纸质响应文件正本壹份、副本贰份。若电子响应文件与纸质响应文件不一致的，以电子响应文件为准。（2）响应文件，正、副本分别各自装订成册密封。在封口处加盖供应商公章。 （3）线下响应文件递交截止时间与线上开评标时间一致。（4）纸质响应文件现场递交，应于递交响应文件截止时间前递交到西安市雁塔区科技路30号合力紫郡B座21层第二会议室。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 供应商需在项目电子化交易系统中按要求上传相应证明文件并进行电子签章。</w:t>
            </w:r>
          </w:p>
        </w:tc>
        <w:tc>
          <w:tcPr>
            <w:tcW w:type="dxa" w:w="1661"/>
          </w:tcPr>
          <w:p>
            <w:pPr>
              <w:pStyle w:val="null3"/>
            </w:pPr>
            <w:r>
              <w:rPr/>
              <w:t>供应商资格要求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施工资质</w:t>
            </w:r>
          </w:p>
        </w:tc>
        <w:tc>
          <w:tcPr>
            <w:tcW w:type="dxa" w:w="3322"/>
          </w:tcPr>
          <w:p>
            <w:pPr>
              <w:pStyle w:val="null3"/>
            </w:pPr>
            <w:r>
              <w:rPr/>
              <w:t>具备建筑工程施工总承包三级及以上或建筑装修装饰工程专业承包二级及以上资质，同时具备消防设施工程专业承包二级及以上资质和特种工程专业承包（结构补强）资质，有效期内的安全生产许可证</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外地企业备案</w:t>
            </w:r>
          </w:p>
        </w:tc>
        <w:tc>
          <w:tcPr>
            <w:tcW w:type="dxa" w:w="3322"/>
          </w:tcPr>
          <w:p>
            <w:pPr>
              <w:pStyle w:val="null3"/>
            </w:pPr>
            <w:r>
              <w:rPr/>
              <w:t>外地企业提供在“陕西省建筑市场监管与诚信信息一体化平台”上登记的基本信息界面截图</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项目经理</w:t>
            </w:r>
          </w:p>
        </w:tc>
        <w:tc>
          <w:tcPr>
            <w:tcW w:type="dxa" w:w="3322"/>
          </w:tcPr>
          <w:p>
            <w:pPr>
              <w:pStyle w:val="null3"/>
            </w:pPr>
            <w:r>
              <w:rPr/>
              <w:t>拟投入的项目经理须提供在本单位注册的建筑工程专业贰级（含贰级）以上注册建造师证书及有效的安全生产考核合格证，且未担任其他在建工程项目的项目经理（提供无在建工程的承诺函）</w:t>
            </w:r>
          </w:p>
        </w:tc>
        <w:tc>
          <w:tcPr>
            <w:tcW w:type="dxa" w:w="1661"/>
          </w:tcPr>
          <w:p>
            <w:pPr>
              <w:pStyle w:val="null3"/>
            </w:pPr>
            <w:r>
              <w:rPr/>
              <w:t>供应商资格要求</w:t>
            </w:r>
          </w:p>
        </w:tc>
      </w:tr>
      <w:tr>
        <w:tc>
          <w:tcPr>
            <w:tcW w:type="dxa" w:w="831"/>
          </w:tcPr>
          <w:p>
            <w:pPr>
              <w:pStyle w:val="null3"/>
            </w:pPr>
            <w:r>
              <w:rPr/>
              <w:t>10</w:t>
            </w:r>
          </w:p>
        </w:tc>
        <w:tc>
          <w:tcPr>
            <w:tcW w:type="dxa" w:w="2492"/>
          </w:tcPr>
          <w:p>
            <w:pPr>
              <w:pStyle w:val="null3"/>
            </w:pPr>
            <w:r>
              <w:rPr/>
              <w:t>本项目为专门面向中小企业采购项目</w:t>
            </w:r>
          </w:p>
        </w:tc>
        <w:tc>
          <w:tcPr>
            <w:tcW w:type="dxa" w:w="3322"/>
          </w:tcPr>
          <w:p>
            <w:pPr>
              <w:pStyle w:val="null3"/>
            </w:pPr>
            <w:r>
              <w:rPr/>
              <w:t>供应商应出具中小企业声明函</w:t>
            </w:r>
          </w:p>
        </w:tc>
        <w:tc>
          <w:tcPr>
            <w:tcW w:type="dxa" w:w="1661"/>
          </w:tcPr>
          <w:p>
            <w:pPr>
              <w:pStyle w:val="null3"/>
            </w:pPr>
            <w:r>
              <w:rPr/>
              <w:t>中小企业声明函 供应商资格要求</w:t>
            </w:r>
          </w:p>
        </w:tc>
      </w:tr>
      <w:tr>
        <w:tc>
          <w:tcPr>
            <w:tcW w:type="dxa" w:w="831"/>
          </w:tcPr>
          <w:p>
            <w:pPr>
              <w:pStyle w:val="null3"/>
            </w:pPr>
            <w:r>
              <w:rPr/>
              <w:t>11</w:t>
            </w:r>
          </w:p>
        </w:tc>
        <w:tc>
          <w:tcPr>
            <w:tcW w:type="dxa" w:w="2492"/>
          </w:tcPr>
          <w:p>
            <w:pPr>
              <w:pStyle w:val="null3"/>
            </w:pPr>
            <w:r>
              <w:rPr/>
              <w:t>非联合体投标</w:t>
            </w:r>
          </w:p>
        </w:tc>
        <w:tc>
          <w:tcPr>
            <w:tcW w:type="dxa" w:w="3322"/>
          </w:tcPr>
          <w:p>
            <w:pPr>
              <w:pStyle w:val="null3"/>
            </w:pPr>
            <w:r>
              <w:rPr/>
              <w:t>提供非联合体投标声明函</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响应文件封面 报价函 标的清单 技术服务合同条款及其他商务要求应答表</w:t>
            </w:r>
          </w:p>
        </w:tc>
      </w:tr>
      <w:tr>
        <w:tc>
          <w:tcPr>
            <w:tcW w:type="dxa" w:w="831"/>
          </w:tcPr>
          <w:p>
            <w:pPr>
              <w:pStyle w:val="null3"/>
            </w:pPr>
            <w:r>
              <w:rPr/>
              <w:t>2</w:t>
            </w:r>
          </w:p>
        </w:tc>
        <w:tc>
          <w:tcPr>
            <w:tcW w:type="dxa" w:w="2492"/>
          </w:tcPr>
          <w:p>
            <w:pPr>
              <w:pStyle w:val="null3"/>
            </w:pPr>
            <w:r>
              <w:rPr/>
              <w:t>报价</w:t>
            </w:r>
          </w:p>
        </w:tc>
        <w:tc>
          <w:tcPr>
            <w:tcW w:type="dxa" w:w="3322"/>
          </w:tcPr>
          <w:p>
            <w:pPr>
              <w:pStyle w:val="null3"/>
            </w:pPr>
            <w:r>
              <w:rPr/>
              <w:t>响应报价未超过采购预算或最高限价（合格） 响应报价超过采购预算或最高限价（不合格）</w:t>
            </w:r>
          </w:p>
        </w:tc>
        <w:tc>
          <w:tcPr>
            <w:tcW w:type="dxa" w:w="1661"/>
          </w:tcPr>
          <w:p>
            <w:pPr>
              <w:pStyle w:val="null3"/>
            </w:pPr>
            <w:r>
              <w:rPr/>
              <w:t>已标价工程量清单 响应函</w:t>
            </w:r>
          </w:p>
        </w:tc>
      </w:tr>
      <w:tr>
        <w:tc>
          <w:tcPr>
            <w:tcW w:type="dxa" w:w="831"/>
          </w:tcPr>
          <w:p>
            <w:pPr>
              <w:pStyle w:val="null3"/>
            </w:pPr>
            <w:r>
              <w:rPr/>
              <w:t>3</w:t>
            </w:r>
          </w:p>
        </w:tc>
        <w:tc>
          <w:tcPr>
            <w:tcW w:type="dxa" w:w="2492"/>
          </w:tcPr>
          <w:p>
            <w:pPr>
              <w:pStyle w:val="null3"/>
            </w:pPr>
            <w:r>
              <w:rPr/>
              <w:t>工期</w:t>
            </w:r>
          </w:p>
        </w:tc>
        <w:tc>
          <w:tcPr>
            <w:tcW w:type="dxa" w:w="3322"/>
          </w:tcPr>
          <w:p>
            <w:pPr>
              <w:pStyle w:val="null3"/>
            </w:pPr>
            <w:r>
              <w:rPr/>
              <w:t>工期满足采购文件要求（合格） 工期不满足采购文件要求（不合格）</w:t>
            </w:r>
          </w:p>
        </w:tc>
        <w:tc>
          <w:tcPr>
            <w:tcW w:type="dxa" w:w="1661"/>
          </w:tcPr>
          <w:p>
            <w:pPr>
              <w:pStyle w:val="null3"/>
            </w:pPr>
            <w:r>
              <w:rPr/>
              <w:t>技术服务合同条款及其他商务要求应答表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质保期满足采购文件要求（合格） 质保期不满足采购文件要求（不合格）</w:t>
            </w:r>
          </w:p>
        </w:tc>
        <w:tc>
          <w:tcPr>
            <w:tcW w:type="dxa" w:w="1661"/>
          </w:tcPr>
          <w:p>
            <w:pPr>
              <w:pStyle w:val="null3"/>
            </w:pPr>
            <w:r>
              <w:rPr/>
              <w:t>技术服务合同条款及其他商务要求应答表</w:t>
            </w:r>
          </w:p>
        </w:tc>
      </w:tr>
      <w:tr>
        <w:tc>
          <w:tcPr>
            <w:tcW w:type="dxa" w:w="831"/>
          </w:tcPr>
          <w:p>
            <w:pPr>
              <w:pStyle w:val="null3"/>
            </w:pPr>
            <w:r>
              <w:rPr/>
              <w:t>5</w:t>
            </w:r>
          </w:p>
        </w:tc>
        <w:tc>
          <w:tcPr>
            <w:tcW w:type="dxa" w:w="2492"/>
          </w:tcPr>
          <w:p>
            <w:pPr>
              <w:pStyle w:val="null3"/>
            </w:pPr>
            <w:r>
              <w:rPr/>
              <w:t>响应文件无响应有效期</w:t>
            </w:r>
          </w:p>
        </w:tc>
        <w:tc>
          <w:tcPr>
            <w:tcW w:type="dxa" w:w="3322"/>
          </w:tcPr>
          <w:p>
            <w:pPr>
              <w:pStyle w:val="null3"/>
            </w:pPr>
            <w:r>
              <w:rPr/>
              <w:t>响应文件无响应有效期或有效期达到竞争性磋商文件要求的（合格） 响应文件无响应有效期或有效期达不到竞争性磋商文件要求的（不合格）</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工程量</w:t>
            </w:r>
          </w:p>
        </w:tc>
        <w:tc>
          <w:tcPr>
            <w:tcW w:type="dxa" w:w="3322"/>
          </w:tcPr>
          <w:p>
            <w:pPr>
              <w:pStyle w:val="null3"/>
            </w:pPr>
            <w:r>
              <w:rPr/>
              <w:t>响应文件未出现工程量漏项或工程量清单与要求不符的（合格） 响应文件出现工程量漏项或工程量清单与要求不符的（不合格）</w:t>
            </w:r>
          </w:p>
        </w:tc>
        <w:tc>
          <w:tcPr>
            <w:tcW w:type="dxa" w:w="1661"/>
          </w:tcPr>
          <w:p>
            <w:pPr>
              <w:pStyle w:val="null3"/>
            </w:pPr>
            <w:r>
              <w:rPr/>
              <w:t>已标价工程量清单</w:t>
            </w:r>
          </w:p>
        </w:tc>
      </w:tr>
      <w:tr>
        <w:tc>
          <w:tcPr>
            <w:tcW w:type="dxa" w:w="831"/>
          </w:tcPr>
          <w:p>
            <w:pPr>
              <w:pStyle w:val="null3"/>
            </w:pPr>
            <w:r>
              <w:rPr/>
              <w:t>7</w:t>
            </w:r>
          </w:p>
        </w:tc>
        <w:tc>
          <w:tcPr>
            <w:tcW w:type="dxa" w:w="2492"/>
          </w:tcPr>
          <w:p>
            <w:pPr>
              <w:pStyle w:val="null3"/>
            </w:pPr>
            <w:r>
              <w:rPr/>
              <w:t>主要材料技术指标</w:t>
            </w:r>
          </w:p>
        </w:tc>
        <w:tc>
          <w:tcPr>
            <w:tcW w:type="dxa" w:w="3322"/>
          </w:tcPr>
          <w:p>
            <w:pPr>
              <w:pStyle w:val="null3"/>
            </w:pPr>
            <w:r>
              <w:rPr/>
              <w:t>响应文件中主要材料技术指标没有负偏离的（合格）响应文件中主要材料技术指标有负偏离的（不合格）</w:t>
            </w:r>
          </w:p>
        </w:tc>
        <w:tc>
          <w:tcPr>
            <w:tcW w:type="dxa" w:w="1661"/>
          </w:tcPr>
          <w:p>
            <w:pPr>
              <w:pStyle w:val="null3"/>
            </w:pPr>
            <w:r>
              <w:rPr/>
              <w:t>主要材料技术指标响应表</w:t>
            </w:r>
          </w:p>
        </w:tc>
      </w:tr>
      <w:tr>
        <w:tc>
          <w:tcPr>
            <w:tcW w:type="dxa" w:w="831"/>
          </w:tcPr>
          <w:p>
            <w:pPr>
              <w:pStyle w:val="null3"/>
            </w:pPr>
            <w:r>
              <w:rPr/>
              <w:t>8</w:t>
            </w:r>
          </w:p>
        </w:tc>
        <w:tc>
          <w:tcPr>
            <w:tcW w:type="dxa" w:w="2492"/>
          </w:tcPr>
          <w:p>
            <w:pPr>
              <w:pStyle w:val="null3"/>
            </w:pPr>
            <w:r>
              <w:rPr/>
              <w:t>主要材料表的品牌、价格填报</w:t>
            </w:r>
          </w:p>
        </w:tc>
        <w:tc>
          <w:tcPr>
            <w:tcW w:type="dxa" w:w="3322"/>
          </w:tcPr>
          <w:p>
            <w:pPr>
              <w:pStyle w:val="null3"/>
            </w:pPr>
            <w:r>
              <w:rPr/>
              <w:t>主要材料表的品牌、价格填报完整、无缺项的（合格）主要材料表的品牌、价格填报不完整、有缺项的（不合格）</w:t>
            </w:r>
          </w:p>
        </w:tc>
        <w:tc>
          <w:tcPr>
            <w:tcW w:type="dxa" w:w="1661"/>
          </w:tcPr>
          <w:p>
            <w:pPr>
              <w:pStyle w:val="null3"/>
            </w:pPr>
            <w:r>
              <w:rPr/>
              <w:t>响应文件封面 主要材料品牌、价格表--雁塔校区东楼主体加固及附属改造工程</w:t>
            </w:r>
          </w:p>
        </w:tc>
      </w:tr>
      <w:tr>
        <w:tc>
          <w:tcPr>
            <w:tcW w:type="dxa" w:w="831"/>
          </w:tcPr>
          <w:p>
            <w:pPr>
              <w:pStyle w:val="null3"/>
            </w:pPr>
            <w:r>
              <w:rPr/>
              <w:t>9</w:t>
            </w:r>
          </w:p>
        </w:tc>
        <w:tc>
          <w:tcPr>
            <w:tcW w:type="dxa" w:w="2492"/>
          </w:tcPr>
          <w:p>
            <w:pPr>
              <w:pStyle w:val="null3"/>
            </w:pPr>
            <w:r>
              <w:rPr/>
              <w:t>是否有采购人不能接受的附加条件</w:t>
            </w:r>
          </w:p>
        </w:tc>
        <w:tc>
          <w:tcPr>
            <w:tcW w:type="dxa" w:w="3322"/>
          </w:tcPr>
          <w:p>
            <w:pPr>
              <w:pStyle w:val="null3"/>
            </w:pPr>
            <w:r>
              <w:rPr/>
              <w:t>没有采购人不能接受的附加条件(合格)，有采购人不能接受的附加条件 (不合格)</w:t>
            </w:r>
          </w:p>
        </w:tc>
        <w:tc>
          <w:tcPr>
            <w:tcW w:type="dxa" w:w="1661"/>
          </w:tcPr>
          <w:p>
            <w:pPr>
              <w:pStyle w:val="null3"/>
            </w:pPr>
            <w:r>
              <w:rPr/>
              <w:t>技术服务合同条款及其他商务要求应答表</w:t>
            </w:r>
          </w:p>
        </w:tc>
      </w:tr>
      <w:tr>
        <w:tc>
          <w:tcPr>
            <w:tcW w:type="dxa" w:w="831"/>
          </w:tcPr>
          <w:p>
            <w:pPr>
              <w:pStyle w:val="null3"/>
            </w:pPr>
            <w:r>
              <w:rPr/>
              <w:t>10</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 其他无效 情形(合格)，存在法律、法规和招标文件规定的其他无 效情形(不合格)</w:t>
            </w:r>
          </w:p>
        </w:tc>
        <w:tc>
          <w:tcPr>
            <w:tcW w:type="dxa" w:w="1661"/>
          </w:tcPr>
          <w:p>
            <w:pPr>
              <w:pStyle w:val="null3"/>
            </w:pPr>
            <w:r>
              <w:rPr/>
              <w:t>技术服务合同条款及其他商务要求应答表</w:t>
            </w:r>
          </w:p>
        </w:tc>
      </w:tr>
      <w:tr>
        <w:tc>
          <w:tcPr>
            <w:tcW w:type="dxa" w:w="831"/>
          </w:tcPr>
          <w:p>
            <w:pPr>
              <w:pStyle w:val="null3"/>
            </w:pPr>
            <w:r>
              <w:rPr/>
              <w:t>11</w:t>
            </w:r>
          </w:p>
        </w:tc>
        <w:tc>
          <w:tcPr>
            <w:tcW w:type="dxa" w:w="2492"/>
          </w:tcPr>
          <w:p>
            <w:pPr>
              <w:pStyle w:val="null3"/>
            </w:pPr>
            <w:r>
              <w:rPr/>
              <w:t>中标单位负责配合校方统筹协调的承诺</w:t>
            </w:r>
          </w:p>
        </w:tc>
        <w:tc>
          <w:tcPr>
            <w:tcW w:type="dxa" w:w="3322"/>
          </w:tcPr>
          <w:p>
            <w:pPr>
              <w:pStyle w:val="null3"/>
            </w:pPr>
            <w:r>
              <w:rPr/>
              <w:t>中标单位负责配合校方统筹协调的承诺（提供承诺函合格），中标单位负责配合校方统筹协调的承诺（未提供承诺函不合格）</w:t>
            </w:r>
          </w:p>
        </w:tc>
        <w:tc>
          <w:tcPr>
            <w:tcW w:type="dxa" w:w="1661"/>
          </w:tcPr>
          <w:p>
            <w:pPr>
              <w:pStyle w:val="null3"/>
            </w:pPr>
            <w:r>
              <w:rPr/>
              <w:t>中标单位负责配合校方统筹协调的承诺函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对项目整体理解及施工方案</w:t>
            </w:r>
          </w:p>
        </w:tc>
        <w:tc>
          <w:tcPr>
            <w:tcW w:type="dxa" w:w="2492"/>
          </w:tcPr>
          <w:p>
            <w:pPr>
              <w:pStyle w:val="null3"/>
            </w:pPr>
            <w:r>
              <w:rPr/>
              <w:t>1、对项目实施的现场情况、难易程度、历史资料匹配、成品保护等重点、难点进行分析；根据对项目整体理解内容全面，可实施性强得2.1-3分；内容有缺项漏项，基本可行得0.1-2分；未提供不计分。 2、对易发生质量通病、易出现安全问题、施工难度大、技术含量高的分项工程等进行说明并给出施工保障措施和专项技术方案（含主要施工工法、组织措施、检验手段等）；内容完备、科学、合理、针对性强得2.1-3分；内容简单粗略、基本可行得0.1-2分；未提供的不计分。 3、影响本项目的外在因素和可能出现的问题进行分析，并制定相关应急预案或保证措施。内容完备、科学、合理、针对性强得2.1-3分；内容简单粗略、基本可行、针对性较弱得0.1-2分；未提供的不计分。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质量管理体系与保证措施</w:t>
            </w:r>
          </w:p>
        </w:tc>
        <w:tc>
          <w:tcPr>
            <w:tcW w:type="dxa" w:w="2492"/>
          </w:tcPr>
          <w:p>
            <w:pPr>
              <w:pStyle w:val="null3"/>
            </w:pPr>
            <w:r>
              <w:rPr/>
              <w:t>1、针对本项目特点制定切实可行质量管理预控措施（各项质量目标及控制措施、质量检验和实验计划、事前控制、材料质量控制、施工机具控制等）；内容科学、合理、针对性强得3.1-5分；内容较完备、合理、可行得2.1-3分；内容简单粗略、基本可行、针对性较弱得0.1-2分；未提供的不计分。 2、分部分项工程质量保证措施；成品保护和工程管理措施。内容科学、合理、针对性强得3.1-5分；内容较完备、合理、可行得1.1-3分；内容简单粗略、基本可行、针对性较弱得0.1-1分；未提供的不计分。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工程进度计划与保证措施</w:t>
            </w:r>
          </w:p>
        </w:tc>
        <w:tc>
          <w:tcPr>
            <w:tcW w:type="dxa" w:w="2492"/>
          </w:tcPr>
          <w:p>
            <w:pPr>
              <w:pStyle w:val="null3"/>
            </w:pPr>
            <w:r>
              <w:rPr/>
              <w:t>1、针对本项目工期紧、质量高的特点，制定切实可行的施工进度计划（网络图/横道图）和工期保证措施，施工顺序具体说明及施工流水段划分；工期控制要点及分级控制措施；进度监管手段、人材机组织保证。内容完备科学合理、满足项目要求，合理性、针对性强的得3.1-6分；内容基本满足项目要求，但部分内容合理性、针对性稍有欠缺的得1.1-3分；内容简单，不利于项目顺利实施计0.1-1分，未提供的不计分。 2、针对本项目工期紧、质量高的特点，制定切实可行的现场调度及总包分包协调方案；赶工方案及奖惩措施；劳动力配置计划和生产效率及生活保障措施；检测及机具设备计划、材料准备计划及相关保证措施。内容完备、科学、合理、针对性强得3.1-6分；计划有一定的可行性，基本满足项目需求，但部分内容稍有欠缺的得1.1-3分；内容简单，不利于项目顺利实施计0.1-1分，未提供的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确保安 全生产、文明施工的技术组织措施及环境保护措施</w:t>
            </w:r>
          </w:p>
        </w:tc>
        <w:tc>
          <w:tcPr>
            <w:tcW w:type="dxa" w:w="2492"/>
          </w:tcPr>
          <w:p>
            <w:pPr>
              <w:pStyle w:val="null3"/>
            </w:pPr>
            <w:r>
              <w:rPr/>
              <w:t>1、结合工程环境、特点分析安全隐患，给出有针对性的安全生产、文明施工、环保施工、防尘降噪等保证措施。内容完备、科学、合理、针对性强得1.1-2分；内容一般、基本可行得0.1-1分；缺项或未提供不得分。 2、安全文明、环保施工保证体系和控制点设置合理，满足国家、省市相关法规规定及采购文件要求。内容完备、科学、合理、针对性强得1.1-3分；内容简单粗略、基本可行、针对性较弱得0.1-1分；缺项或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拟派项目经理的职称及业绩</w:t>
            </w:r>
          </w:p>
        </w:tc>
        <w:tc>
          <w:tcPr>
            <w:tcW w:type="dxa" w:w="2492"/>
          </w:tcPr>
          <w:p>
            <w:pPr>
              <w:pStyle w:val="null3"/>
            </w:pPr>
            <w:r>
              <w:rPr/>
              <w:t>1、拟派项目经理具备中级及以上职称证书，得1分。 评审依据：评审时以供应商提供的加盖供应商公章的拟派项目经理最高职称证书的扫描件或复印件为准，提供多个职称证明材料的，以最高职称材料为准，未提供的不得分。 2、供应商提供拟派项目经理自2021年7月1日至今的类似业绩证明材料，每提供1项得1分，最多得3分。 备注：①类似业绩证明材料指主体加固工程或包含主体加固工程内容的业绩证明材料，以合同中体现项目经理姓名为准；②业绩时间以合同签订时间所体现的时间为准，拟派项目经理业绩与企业业绩可重合。</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拟派项目经理的职称及业绩</w:t>
            </w:r>
          </w:p>
        </w:tc>
      </w:tr>
      <w:tr>
        <w:tc>
          <w:tcPr>
            <w:tcW w:type="dxa" w:w="831"/>
            <w:vMerge/>
          </w:tcPr>
          <w:p/>
        </w:tc>
        <w:tc>
          <w:tcPr>
            <w:tcW w:type="dxa" w:w="1661"/>
          </w:tcPr>
          <w:p>
            <w:pPr>
              <w:pStyle w:val="null3"/>
            </w:pPr>
            <w:r>
              <w:rPr/>
              <w:t>项目团队成员</w:t>
            </w:r>
          </w:p>
        </w:tc>
        <w:tc>
          <w:tcPr>
            <w:tcW w:type="dxa" w:w="2492"/>
          </w:tcPr>
          <w:p>
            <w:pPr>
              <w:pStyle w:val="null3"/>
            </w:pPr>
            <w:r>
              <w:rPr/>
              <w:t>供应商提供针对本项目拟投入的团队人员组成。拟投入人员管理组织架构清晰，工作职责划分明确、业务管理流程详细，能有效保障本项目实施得2.1-4分；团队成员基本满足项目要求，但组织架构、职责分工合理性、针对性稍有欠缺的得0.1-2分；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企业业绩</w:t>
            </w:r>
          </w:p>
        </w:tc>
        <w:tc>
          <w:tcPr>
            <w:tcW w:type="dxa" w:w="2492"/>
          </w:tcPr>
          <w:p>
            <w:pPr>
              <w:pStyle w:val="null3"/>
            </w:pPr>
            <w:r>
              <w:rPr/>
              <w:t>供应商提供自2021年7月1日至今的类似业绩证明材料，每提供1项得1分，最多得3分。 备注：①类似业绩证明材料指主体加固工程或包含主体加固工程内容的业绩证明材料，以合同为准；②业绩时间以合同签订时间所体现的时间为准。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服务承诺</w:t>
            </w:r>
          </w:p>
        </w:tc>
        <w:tc>
          <w:tcPr>
            <w:tcW w:type="dxa" w:w="2492"/>
          </w:tcPr>
          <w:p>
            <w:pPr>
              <w:pStyle w:val="null3"/>
            </w:pPr>
            <w:r>
              <w:rPr/>
              <w:t>根据供应商提供的服务承诺、与学校相关部门的配合协调承诺及优化建议等进行赋分，方案科学合理、满足项目要求，合理性、针对性强、服务承诺明确，计1.1-2分；方案简单，不利于项目顺利实施，计0.1-1分，未提供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保修承诺</w:t>
            </w:r>
          </w:p>
        </w:tc>
        <w:tc>
          <w:tcPr>
            <w:tcW w:type="dxa" w:w="2492"/>
          </w:tcPr>
          <w:p>
            <w:pPr>
              <w:pStyle w:val="null3"/>
            </w:pPr>
            <w:r>
              <w:rPr/>
              <w:t>供应商根据本项目需求，提供施工单位的施工保修承诺书，其中保修承诺内容须包含保修内容及范围、质量保修责任、响应时间及保证措施等。保修承诺书完全满足项目实际需求计2.1-3分；保修承诺书内容简单计1.1-2分；保修承诺书内容不全计0.1-1分；未提供或内容完全与项目不相关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保修承诺</w:t>
            </w:r>
          </w:p>
        </w:tc>
      </w:tr>
      <w:tr>
        <w:tc>
          <w:tcPr>
            <w:tcW w:type="dxa" w:w="831"/>
            <w:vMerge/>
          </w:tcPr>
          <w:p/>
        </w:tc>
        <w:tc>
          <w:tcPr>
            <w:tcW w:type="dxa" w:w="1661"/>
          </w:tcPr>
          <w:p>
            <w:pPr>
              <w:pStyle w:val="null3"/>
            </w:pPr>
            <w:r>
              <w:rPr/>
              <w:t>节能环保、绿色建材</w:t>
            </w:r>
          </w:p>
        </w:tc>
        <w:tc>
          <w:tcPr>
            <w:tcW w:type="dxa" w:w="2492"/>
          </w:tcPr>
          <w:p>
            <w:pPr>
              <w:pStyle w:val="null3"/>
            </w:pPr>
            <w:r>
              <w:rPr/>
              <w:t>乳胶漆为无味、抗甲醛、绿色环保产品； 所有灯具为节能产品； 对所选用的装饰装修材料采用绿色环保材料的； 以上内容每提供一项得1分，最高得3分，不提供不计分。 （以上内容需提供检测报告及相关证明材料等并加盖公章）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节能环保、绿色建材</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价格分统一采用低价优先法计算，即满足采购文件要求且价格最低的投标报价为评标基准价，其价格分为满分。其他供应商的价格分统一按照下列公式计算：价格分=(评标基准价／投标报价)×报价分值</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详见附件：保修承诺</w:t>
      </w:r>
    </w:p>
    <w:p>
      <w:pPr>
        <w:pStyle w:val="null3"/>
        <w:ind w:firstLine="960"/>
      </w:pPr>
      <w:r>
        <w:rPr/>
        <w:t>详见附件：服务承诺</w:t>
      </w:r>
    </w:p>
    <w:p>
      <w:pPr>
        <w:pStyle w:val="null3"/>
        <w:ind w:firstLine="960"/>
      </w:pPr>
      <w:r>
        <w:rPr/>
        <w:t>详见附件：供应商资格要求</w:t>
      </w:r>
    </w:p>
    <w:p>
      <w:pPr>
        <w:pStyle w:val="null3"/>
        <w:ind w:firstLine="960"/>
      </w:pPr>
      <w:r>
        <w:rPr/>
        <w:t>详见附件：拟派项目经理的职称及业绩</w:t>
      </w:r>
    </w:p>
    <w:p>
      <w:pPr>
        <w:pStyle w:val="null3"/>
        <w:ind w:firstLine="960"/>
      </w:pPr>
      <w:r>
        <w:rPr/>
        <w:t>详见附件：施工组织设计</w:t>
      </w:r>
    </w:p>
    <w:p>
      <w:pPr>
        <w:pStyle w:val="null3"/>
        <w:ind w:firstLine="960"/>
      </w:pPr>
      <w:r>
        <w:rPr/>
        <w:t>详见附件：主要材料技术指标响应表</w:t>
      </w:r>
    </w:p>
    <w:p>
      <w:pPr>
        <w:pStyle w:val="null3"/>
        <w:ind w:firstLine="960"/>
      </w:pPr>
      <w:r>
        <w:rPr/>
        <w:t>详见附件：节能环保、绿色建材</w:t>
      </w:r>
    </w:p>
    <w:p>
      <w:pPr>
        <w:pStyle w:val="null3"/>
        <w:ind w:firstLine="960"/>
      </w:pPr>
      <w:r>
        <w:rPr/>
        <w:t>详见附件：中标单位负责配合校方统筹协调的承诺函</w:t>
      </w:r>
    </w:p>
    <w:p>
      <w:pPr>
        <w:pStyle w:val="null3"/>
        <w:ind w:firstLine="960"/>
      </w:pPr>
      <w:r>
        <w:rPr/>
        <w:t>详见附件：主要材料品牌、价格表--雁塔校区东楼主体加固及附属改造工程</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