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嘉陵江流域、丹江流域环境风险调查</w:t>
      </w:r>
    </w:p>
    <w:p>
      <w:pPr>
        <w:pStyle w:val="null3"/>
        <w:jc w:val="center"/>
        <w:outlineLvl w:val="2"/>
      </w:pPr>
      <w:r>
        <w:rPr>
          <w:sz w:val="28"/>
          <w:b/>
        </w:rPr>
        <w:t>采购项目编号：</w:t>
      </w:r>
      <w:r>
        <w:rPr>
          <w:sz w:val="28"/>
          <w:b/>
        </w:rPr>
        <w:t>LDZB-240164</w:t>
      </w:r>
      <w:r>
        <w:br/>
      </w:r>
      <w:r>
        <w:br/>
      </w:r>
      <w:r>
        <w:br/>
      </w:r>
    </w:p>
    <w:p>
      <w:pPr>
        <w:pStyle w:val="null3"/>
        <w:jc w:val="center"/>
        <w:outlineLvl w:val="2"/>
      </w:pPr>
      <w:r>
        <w:rPr>
          <w:sz w:val="28"/>
          <w:b/>
        </w:rPr>
        <w:t>陕西省环境科学研究院</w:t>
      </w:r>
    </w:p>
    <w:p>
      <w:pPr>
        <w:pStyle w:val="null3"/>
        <w:jc w:val="center"/>
        <w:outlineLvl w:val="2"/>
      </w:pPr>
      <w:r>
        <w:rPr>
          <w:sz w:val="28"/>
          <w:b/>
        </w:rPr>
        <w:t>立德项目咨询集团（陕西）有限公司</w:t>
      </w:r>
      <w:r>
        <w:rPr>
          <w:sz w:val="28"/>
          <w:b/>
        </w:rPr>
        <w:t>共同编制</w:t>
      </w:r>
    </w:p>
    <w:p>
      <w:pPr>
        <w:pStyle w:val="null3"/>
        <w:jc w:val="center"/>
        <w:outlineLvl w:val="2"/>
      </w:pPr>
      <w:r>
        <w:rPr>
          <w:sz w:val="28"/>
          <w:b/>
        </w:rPr>
        <w:t>2024年07月03日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立德项目咨询集团（陕西）有限公司</w:t>
      </w:r>
      <w:r>
        <w:rPr/>
        <w:t>（以下简称“代理机构”）受</w:t>
      </w:r>
      <w:r>
        <w:rPr/>
        <w:t>陕西省环境科学研究院</w:t>
      </w:r>
      <w:r>
        <w:rPr/>
        <w:t>委托，拟对</w:t>
      </w:r>
      <w:r>
        <w:rPr/>
        <w:t>嘉陵江流域、丹江流域环境风险调查</w:t>
      </w:r>
      <w:r>
        <w:rPr/>
        <w:t>采用竞争性磋商采购方式进行采购，兹邀请供应商参加本项目的竞争性磋商。</w:t>
      </w:r>
    </w:p>
    <w:p>
      <w:pPr>
        <w:pStyle w:val="null3"/>
        <w:outlineLvl w:val="2"/>
      </w:pPr>
      <w:r>
        <w:rPr>
          <w:sz w:val="28"/>
          <w:b/>
        </w:rPr>
        <w:t>一、项目编号：</w:t>
      </w:r>
      <w:r>
        <w:rPr>
          <w:sz w:val="28"/>
          <w:b/>
        </w:rPr>
        <w:t>LDZB-240164</w:t>
      </w:r>
    </w:p>
    <w:p>
      <w:pPr>
        <w:pStyle w:val="null3"/>
        <w:outlineLvl w:val="2"/>
      </w:pPr>
      <w:r>
        <w:rPr>
          <w:sz w:val="28"/>
          <w:b/>
        </w:rPr>
        <w:t>二、项目名称：</w:t>
      </w:r>
      <w:r>
        <w:rPr>
          <w:sz w:val="28"/>
          <w:b/>
        </w:rPr>
        <w:t>嘉陵江流域、丹江流域环境风险调查</w:t>
      </w:r>
    </w:p>
    <w:p>
      <w:pPr>
        <w:pStyle w:val="null3"/>
        <w:outlineLvl w:val="2"/>
      </w:pPr>
      <w:r>
        <w:rPr>
          <w:sz w:val="28"/>
          <w:b/>
        </w:rPr>
        <w:t>三、磋商项目简介</w:t>
      </w:r>
    </w:p>
    <w:p>
      <w:pPr>
        <w:pStyle w:val="null3"/>
        <w:ind w:firstLine="480"/>
      </w:pPr>
      <w:r>
        <w:rPr/>
        <w:t>嘉陵江流域、丹江流域区域水文地质调查、涉重金属主要风险源分布调查、建立地表水环境应急模拟模型。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采购包1（嘉陵江流域、丹江流域环境风险调查）：属于专门面向中小企业采购。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陕西省环境科学研究院</w:t>
      </w:r>
    </w:p>
    <w:p>
      <w:pPr>
        <w:pStyle w:val="null3"/>
      </w:pPr>
      <w:r>
        <w:rPr/>
        <w:t xml:space="preserve"> 地址： </w:t>
      </w:r>
      <w:r>
        <w:rPr/>
        <w:t>陕西省西安市碑林区长安北路49号</w:t>
      </w:r>
    </w:p>
    <w:p>
      <w:pPr>
        <w:pStyle w:val="null3"/>
      </w:pPr>
      <w:r>
        <w:rPr/>
        <w:t xml:space="preserve"> 邮编： </w:t>
      </w:r>
      <w:r>
        <w:rPr/>
        <w:t>710000</w:t>
      </w:r>
    </w:p>
    <w:p>
      <w:pPr>
        <w:pStyle w:val="null3"/>
      </w:pPr>
      <w:r>
        <w:rPr/>
        <w:t xml:space="preserve"> 联系人： </w:t>
      </w:r>
      <w:r>
        <w:rPr/>
        <w:t>管隆垚</w:t>
      </w:r>
    </w:p>
    <w:p>
      <w:pPr>
        <w:pStyle w:val="null3"/>
      </w:pPr>
      <w:r>
        <w:rPr/>
        <w:t xml:space="preserve"> 联系电话： </w:t>
      </w:r>
      <w:r>
        <w:rPr/>
        <w:t>029-85365502/13572107849</w:t>
      </w:r>
    </w:p>
    <w:p>
      <w:pPr>
        <w:pStyle w:val="null3"/>
        <w:outlineLvl w:val="3"/>
      </w:pPr>
      <w:r>
        <w:rPr>
          <w:sz w:val="24"/>
          <w:b/>
        </w:rPr>
        <w:t>代理机构：</w:t>
      </w:r>
      <w:r>
        <w:rPr>
          <w:sz w:val="24"/>
          <w:b/>
        </w:rPr>
        <w:t>立德项目咨询集团（陕西）有限公司</w:t>
      </w:r>
    </w:p>
    <w:p>
      <w:pPr>
        <w:pStyle w:val="null3"/>
      </w:pPr>
      <w:r>
        <w:rPr/>
        <w:t xml:space="preserve"> 地址： </w:t>
      </w:r>
      <w:r>
        <w:rPr/>
        <w:t>陕西省西安市浐灞生态区欧亚大道777号浐灞自贸中心项目E座803</w:t>
      </w:r>
    </w:p>
    <w:p>
      <w:pPr>
        <w:pStyle w:val="null3"/>
      </w:pPr>
      <w:r>
        <w:rPr/>
        <w:t xml:space="preserve"> 邮编： </w:t>
      </w:r>
      <w:r>
        <w:rPr/>
        <w:t>710000</w:t>
      </w:r>
    </w:p>
    <w:p>
      <w:pPr>
        <w:pStyle w:val="null3"/>
      </w:pPr>
      <w:r>
        <w:rPr/>
        <w:t xml:space="preserve"> 联系人： </w:t>
      </w:r>
      <w:r>
        <w:rPr/>
        <w:t>刘思雨</w:t>
      </w:r>
    </w:p>
    <w:p>
      <w:pPr>
        <w:pStyle w:val="null3"/>
      </w:pPr>
      <w:r>
        <w:rPr/>
        <w:t xml:space="preserve"> 联系电话： </w:t>
      </w:r>
      <w:r>
        <w:rPr/>
        <w:t>029-86615942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开户名称：立德项目咨询集团（陕西）有限公司</w:t>
            </w:r>
          </w:p>
          <w:p>
            <w:pPr>
              <w:pStyle w:val="null3"/>
            </w:pPr>
            <w:r>
              <w:rPr/>
              <w:t>开户银行：中信银行股份有限公司西安东大街支行</w:t>
            </w:r>
          </w:p>
          <w:p>
            <w:pPr>
              <w:pStyle w:val="null3"/>
            </w:pPr>
            <w:r>
              <w:rPr/>
              <w:t>银行账号：8111701012300651342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确定成交供应商后3日内，由成交供应商参照原国家计委颁发的《招标代理服务收费管理暂行办法》（计价格[2002]1980号）和国家发展改革委员会办公厅颁发的《关于招标代理服务收费有关问题的通知》（发改办价格[2003] 857号）的标准执行，向采购代理机构一次付清代理服务费。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陕西省环境科学研究院</w:t>
      </w:r>
      <w:r>
        <w:rPr/>
        <w:t>和</w:t>
      </w:r>
      <w:r>
        <w:rPr/>
        <w:t>立德项目咨询集团（陕西）有限公司</w:t>
      </w:r>
      <w:r>
        <w:rPr/>
        <w:t>享有。对磋商文件中供应商参加本次政府采购活动应当具备的条件，磋商项目技术、服务、商务及其他要求，评审细则及标准由</w:t>
      </w:r>
      <w:r>
        <w:rPr/>
        <w:t>陕西省环境科学研究院</w:t>
      </w:r>
      <w:r>
        <w:rPr/>
        <w:t>负责解释。除上述磋商文件内容，其他内容由</w:t>
      </w:r>
      <w:r>
        <w:rPr/>
        <w:t>立德项目咨询集团（陕西）有限公司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陕西省环境科学研究院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立德项目咨询集团（陕西）有限公司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通过甲方组织的专家评审验收；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立德项目咨询集团（陕西）有限公司</w:t>
      </w:r>
      <w:r>
        <w:rPr/>
        <w:t xml:space="preserve"> 负责答复；供应商对除采购需求外的采购文件的询问、质疑由</w:t>
      </w:r>
      <w:r>
        <w:rPr/>
        <w:t>立德项目咨询集团（陕西）有限公司</w:t>
      </w:r>
      <w:r>
        <w:rPr/>
        <w:t xml:space="preserve"> 负责答复；供应商对采购过程、采购结果的询问、质疑由 </w:t>
      </w:r>
      <w:r>
        <w:rPr/>
        <w:t>立德项目咨询集团（陕西）有限公司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联系人：刘思雨</w:t>
      </w:r>
    </w:p>
    <w:p>
      <w:pPr>
        <w:pStyle w:val="null3"/>
      </w:pPr>
      <w:r>
        <w:rPr/>
        <w:t>联系电话：029-86615942</w:t>
      </w:r>
    </w:p>
    <w:p>
      <w:pPr>
        <w:pStyle w:val="null3"/>
      </w:pPr>
      <w:r>
        <w:rPr/>
        <w:t>地址：陕西省西安市浐灞生态区欧亚大道777号浐灞自贸中心项目E座803</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嘉陵江流域、丹江流域区域水文地质调查、涉重金属主要风险源分布调查、建立地表水环境应急模拟模型。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1,030,000.00</w:t>
      </w:r>
    </w:p>
    <w:p>
      <w:pPr>
        <w:pStyle w:val="null3"/>
      </w:pPr>
      <w:r>
        <w:rPr/>
        <w:t>采购包最高限价（元）: 1,030,000.00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嘉陵江流域、丹江流域环境风险调查</w:t>
            </w:r>
          </w:p>
        </w:tc>
        <w:tc>
          <w:tcPr>
            <w:tcW w:type="dxa" w:w="831"/>
          </w:tcPr>
          <w:p>
            <w:pPr>
              <w:pStyle w:val="null3"/>
              <w:jc w:val="right"/>
            </w:pPr>
            <w:r>
              <w:rPr/>
              <w:t>1.00</w:t>
            </w:r>
          </w:p>
        </w:tc>
        <w:tc>
          <w:tcPr>
            <w:tcW w:type="dxa" w:w="831"/>
          </w:tcPr>
          <w:p>
            <w:pPr>
              <w:pStyle w:val="null3"/>
              <w:jc w:val="right"/>
            </w:pPr>
            <w:r>
              <w:rPr/>
              <w:t>1,030,000.00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标的名称：嘉陵江流域、丹江流域环境风险调查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rFonts w:ascii="宋体" w:hAnsi="宋体" w:cs="宋体" w:eastAsia="宋体"/>
                <w:sz w:val="21"/>
                <w:b/>
                <w:color w:val="000000"/>
              </w:rPr>
              <w:t>采购内容：嘉陵江流域、丹江流域区域水文地质调查、涉重金属主要风险源分布调查、建立地表水环境应急模拟模型。</w:t>
            </w:r>
          </w:p>
          <w:p>
            <w:pPr>
              <w:pStyle w:val="null3"/>
              <w:ind w:firstLine="422"/>
              <w:jc w:val="both"/>
            </w:pPr>
            <w:r>
              <w:rPr>
                <w:rFonts w:ascii="宋体" w:hAnsi="宋体" w:cs="宋体" w:eastAsia="宋体"/>
                <w:sz w:val="21"/>
                <w:b/>
                <w:color w:val="000000"/>
              </w:rPr>
              <w:t>技术要求：</w:t>
            </w:r>
          </w:p>
          <w:p>
            <w:pPr>
              <w:pStyle w:val="null3"/>
              <w:ind w:firstLine="420"/>
              <w:jc w:val="both"/>
            </w:pPr>
            <w:r>
              <w:rPr>
                <w:rFonts w:ascii="宋体" w:hAnsi="宋体" w:cs="宋体" w:eastAsia="宋体"/>
                <w:sz w:val="21"/>
                <w:color w:val="000000"/>
              </w:rPr>
              <w:t>1、嘉陵江流域、丹江流域区域涉金属锑、铊污染源排查。</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1）基于嘉陵江流域、丹江流域所在区域的高分辨（亚米级）卫星遥感影像数据，分析研判各自流域内涉金属锑和铊矿区废弃渣堆、尾矿库、固废堆场的标志，建立解译标志，填写解译标志卡片、初译、室内检查验证、详细解译、编制解译草图。利用无人机航测数据，进一步摸清流域内各风险源的分布信息和分布特征。</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2）采用遥感解译与现场踏勘相结合的方式，查明废弃矿硐、废渣、尾矿库、工业企业等污染源位置、数量、形态，地理坐标；涌水情况（有无涌水）、封堵情况、塌陷情况、标高、水系关系、硐口生态恢复情况、已有矿坑涌水污染治理设施情况、周边环境敏感目标等；废渣的生态恢复情况、渗水情况（有无渗水）、已有废渣污染防治设施（包括拦挡、截排水、防渗、渗滤液收集及处置等设施）、周边环境敏感目标等；尾矿库的地理坐标、尾矿库安全状况、生态恢复情况、坝下渗水情况（有无渗水）、已有污染防治设施（包括截排水、防渗、尾矿水收集及回用、应急收集等设施）、是否闭库（在用、停用、已闭库）、周边环境敏感目标等。</w:t>
            </w:r>
          </w:p>
          <w:p>
            <w:pPr>
              <w:pStyle w:val="null3"/>
              <w:ind w:firstLine="420"/>
              <w:jc w:val="both"/>
            </w:pPr>
            <w:r>
              <w:rPr>
                <w:rFonts w:ascii="宋体" w:hAnsi="宋体" w:cs="宋体" w:eastAsia="宋体"/>
                <w:sz w:val="21"/>
                <w:color w:val="000000"/>
              </w:rPr>
              <w:t>2、嘉陵江流域、丹江流域水文地质调查</w:t>
            </w:r>
          </w:p>
          <w:p>
            <w:pPr>
              <w:pStyle w:val="null3"/>
              <w:ind w:firstLine="420"/>
              <w:jc w:val="both"/>
            </w:pPr>
            <w:r>
              <w:rPr>
                <w:rFonts w:ascii="宋体" w:hAnsi="宋体" w:cs="宋体" w:eastAsia="宋体"/>
                <w:sz w:val="21"/>
                <w:color w:val="000000"/>
              </w:rPr>
              <w:t>对所在流域开展水文地质调查，调查河流等地表径流的分布、基本信息及其与水文地质条件的关系；主要井泉的分布位置，所属含水层类型、水文、水质、水量、动态变化情况；区域含水层的类型、空间分布、富水性和地下水水化学特征；相对隔水层和透水层的岩性、透水性、厚度和空间分布。</w:t>
            </w:r>
          </w:p>
          <w:p>
            <w:pPr>
              <w:pStyle w:val="null3"/>
              <w:ind w:firstLine="420"/>
              <w:jc w:val="both"/>
            </w:pPr>
            <w:r>
              <w:rPr>
                <w:rFonts w:ascii="宋体" w:hAnsi="宋体" w:cs="宋体" w:eastAsia="宋体"/>
                <w:sz w:val="21"/>
                <w:color w:val="000000"/>
              </w:rPr>
              <w:t>3、</w:t>
            </w:r>
            <w:r>
              <w:rPr>
                <w:rFonts w:ascii="宋体" w:hAnsi="宋体" w:cs="宋体" w:eastAsia="宋体"/>
                <w:sz w:val="21"/>
                <w:color w:val="000000"/>
              </w:rPr>
              <w:t>丹</w:t>
            </w:r>
            <w:r>
              <w:rPr>
                <w:rFonts w:ascii="宋体" w:hAnsi="宋体" w:cs="宋体" w:eastAsia="宋体"/>
                <w:sz w:val="21"/>
                <w:color w:val="000000"/>
              </w:rPr>
              <w:t>江流域地表水环境应急模拟模型</w:t>
            </w:r>
          </w:p>
          <w:p>
            <w:pPr>
              <w:pStyle w:val="null3"/>
              <w:jc w:val="both"/>
            </w:pPr>
            <w:r>
              <w:rPr>
                <w:rFonts w:ascii="宋体" w:hAnsi="宋体" w:cs="宋体" w:eastAsia="宋体"/>
                <w:sz w:val="21"/>
                <w:color w:val="000000"/>
              </w:rPr>
              <w:t>分析</w:t>
            </w:r>
            <w:r>
              <w:rPr>
                <w:rFonts w:ascii="宋体" w:hAnsi="宋体" w:cs="宋体" w:eastAsia="宋体"/>
                <w:sz w:val="21"/>
                <w:color w:val="000000"/>
              </w:rPr>
              <w:t>丹</w:t>
            </w:r>
            <w:r>
              <w:rPr>
                <w:rFonts w:ascii="宋体" w:hAnsi="宋体" w:cs="宋体" w:eastAsia="宋体"/>
                <w:sz w:val="21"/>
                <w:color w:val="000000"/>
              </w:rPr>
              <w:t>江流域涉金属锑、铊污染源空间分布特征，识别</w:t>
            </w:r>
            <w:r>
              <w:rPr>
                <w:rFonts w:ascii="宋体" w:hAnsi="宋体" w:cs="宋体" w:eastAsia="宋体"/>
                <w:sz w:val="21"/>
                <w:color w:val="000000"/>
              </w:rPr>
              <w:t>丹</w:t>
            </w:r>
            <w:r>
              <w:rPr>
                <w:rFonts w:ascii="宋体" w:hAnsi="宋体" w:cs="宋体" w:eastAsia="宋体"/>
                <w:sz w:val="21"/>
                <w:color w:val="000000"/>
              </w:rPr>
              <w:t>江流域锑、铊污染潜在风险较高的干支流水系，调查相关干支流的水文信息（包括枯水期、平水期、丰水期平均流速、流量，河道形状，河宽、水深，糙率，弯曲系数，水底坡度等）及环境应急防控设施（包括水库、水电站、拦截坝等），利用软件构建相关干支流水动力模型和锑、铊等重金属污染物扩散模型。</w:t>
            </w:r>
          </w:p>
        </w:tc>
      </w:tr>
    </w:tbl>
    <w:p>
      <w:pPr>
        <w:pStyle w:val="null3"/>
        <w:outlineLvl w:val="2"/>
      </w:pPr>
      <w:r>
        <w:rPr>
          <w:sz w:val="28"/>
          <w:b/>
        </w:rPr>
        <w:t>3.2.3人员配置要求</w:t>
      </w:r>
    </w:p>
    <w:p>
      <w:pPr>
        <w:pStyle w:val="null3"/>
      </w:pPr>
      <w:r>
        <w:rPr/>
        <w:t>采购包1：</w:t>
      </w:r>
    </w:p>
    <w:p>
      <w:pPr>
        <w:pStyle w:val="null3"/>
      </w:pPr>
      <w:r>
        <w:rPr/>
        <w:t>详见技术参数与性能指标及评分标准</w:t>
      </w:r>
    </w:p>
    <w:p>
      <w:pPr>
        <w:pStyle w:val="null3"/>
        <w:outlineLvl w:val="2"/>
      </w:pPr>
      <w:r>
        <w:rPr>
          <w:sz w:val="28"/>
          <w:b/>
        </w:rPr>
        <w:t>3.2.4设施设备要求</w:t>
      </w:r>
    </w:p>
    <w:p>
      <w:pPr>
        <w:pStyle w:val="null3"/>
      </w:pPr>
      <w:r>
        <w:rPr/>
        <w:t>采购包1：</w:t>
      </w:r>
    </w:p>
    <w:p>
      <w:pPr>
        <w:pStyle w:val="null3"/>
      </w:pPr>
      <w:r>
        <w:rPr/>
        <w:t>详见技术参数与性能指标及评分标准</w:t>
      </w:r>
    </w:p>
    <w:p>
      <w:pPr>
        <w:pStyle w:val="null3"/>
        <w:outlineLvl w:val="2"/>
      </w:pPr>
      <w:r>
        <w:rPr>
          <w:sz w:val="28"/>
          <w:b/>
        </w:rPr>
        <w:t>3.2.5其他要求</w:t>
      </w:r>
    </w:p>
    <w:p>
      <w:pPr>
        <w:pStyle w:val="null3"/>
      </w:pPr>
      <w:r>
        <w:rPr/>
        <w:t>采购包1：</w:t>
      </w:r>
    </w:p>
    <w:p>
      <w:pPr>
        <w:pStyle w:val="null3"/>
      </w:pPr>
      <w:r>
        <w:rPr/>
        <w:t>详见技术参数与性能指标及评分标准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合同签订生效之日起至2024年11月30日；</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乙方项目进展达到合同服务内容、形式和要求时，甲方组织相关专家进行验收，由专家组出具技术咨询验收证明，验收过程产生的费用由乙方承担。验收合格后，乙方提交相关成果。</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付款前，乙方需向甲方提供足额正式发票</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提交初步成果后一个月内</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通过专家评审后一个月内</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违反本合同约定，违约方应当按照《中华人民共和国民法典》有关条款的规定承担违约责任。 1.如果甲方违反本合同约定：①影响乙方履约，合同应按期顺延；②因故提前终止合同，应支付合同额10%的违约金，并按乙方实际完成的工作量支付相应的咨询费。 2.如果乙方违反本合同约定：①因故提前终止合同，收取的费用应当全部返还，并支付合同额10%的违约金；②未按期完成项目，每逾期1日按照合同额5‰承担违约责任，赔偿给甲方；逾期超出20日，甲方有权解除本合同，乙方返还全部已付款项，并向甲方支付合同额30%的违约金；③将本合同涉密资料泄漏给第三方，甲方有权追责并解除合同，乙方返还全部已付款项，并向甲方支付合同额10%的违约金。 3.如遇到不可抗力等原因，包括但不限于疫情、战争、严重火灾、洪水、台风、地震等，造成的延期或终止双方均可免责。 在履行本合同的过程中发生争议，双方协商解决，协商不成时，可向甲方所在地西安仲裁委员会仲裁或者西安市人民法院诉讼。</w:t>
      </w:r>
    </w:p>
    <w:p>
      <w:pPr>
        <w:pStyle w:val="null3"/>
        <w:outlineLvl w:val="2"/>
      </w:pPr>
      <w:r>
        <w:rPr>
          <w:sz w:val="28"/>
          <w:b/>
        </w:rPr>
        <w:t>3.4其他要求</w:t>
      </w:r>
    </w:p>
    <w:p>
      <w:pPr>
        <w:pStyle w:val="null3"/>
      </w:pPr>
      <w:r>
        <w:rPr/>
        <w:t>1.供应商应自投标文件递交截止时间起至评标结束保持在线状态。 2.成交人在领取成交通知书前将纸质版磋商响应文件正本 1 份、副本 1 份打印后提交至采购代理公司处，成交人应保持磋商响应文件纸质版内容与电子版内容完全一致，否则将承担一切法律责任。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商务应答</w:t>
            </w:r>
          </w:p>
        </w:tc>
        <w:tc>
          <w:tcPr>
            <w:tcW w:type="dxa" w:w="3322"/>
          </w:tcPr>
          <w:p>
            <w:pPr>
              <w:pStyle w:val="null3"/>
            </w:pPr>
            <w:r>
              <w:rPr/>
              <w:t>商务偏离表</w:t>
            </w:r>
          </w:p>
        </w:tc>
        <w:tc>
          <w:tcPr>
            <w:tcW w:type="dxa" w:w="1661"/>
          </w:tcPr>
          <w:p>
            <w:pPr>
              <w:pStyle w:val="null3"/>
            </w:pPr>
            <w:r>
              <w:rPr/>
              <w:t>响应文件封面 商务偏离表</w:t>
            </w:r>
          </w:p>
        </w:tc>
      </w:tr>
      <w:tr>
        <w:tc>
          <w:tcPr>
            <w:tcW w:type="dxa" w:w="831"/>
          </w:tcPr>
          <w:p>
            <w:pPr>
              <w:pStyle w:val="null3"/>
            </w:pPr>
            <w:r>
              <w:rPr/>
              <w:t>3</w:t>
            </w:r>
          </w:p>
        </w:tc>
        <w:tc>
          <w:tcPr>
            <w:tcW w:type="dxa" w:w="2492"/>
          </w:tcPr>
          <w:p>
            <w:pPr>
              <w:pStyle w:val="null3"/>
            </w:pPr>
            <w:r>
              <w:rPr/>
              <w:t>服务要求应答</w:t>
            </w:r>
          </w:p>
        </w:tc>
        <w:tc>
          <w:tcPr>
            <w:tcW w:type="dxa" w:w="3322"/>
          </w:tcPr>
          <w:p>
            <w:pPr>
              <w:pStyle w:val="null3"/>
            </w:pPr>
            <w:r>
              <w:rPr/>
              <w:t>服务要求偏离表</w:t>
            </w:r>
          </w:p>
        </w:tc>
        <w:tc>
          <w:tcPr>
            <w:tcW w:type="dxa" w:w="1661"/>
          </w:tcPr>
          <w:p>
            <w:pPr>
              <w:pStyle w:val="null3"/>
            </w:pPr>
            <w:r>
              <w:rPr/>
              <w:t>响应文件封面 服务要求偏离表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技术方案（1）</w:t>
            </w:r>
          </w:p>
        </w:tc>
        <w:tc>
          <w:tcPr>
            <w:tcW w:type="dxa" w:w="2492"/>
          </w:tcPr>
          <w:p>
            <w:pPr>
              <w:pStyle w:val="null3"/>
            </w:pPr>
            <w:r>
              <w:rPr/>
              <w:t>对项目的功能与作用的理解深刻，目标任务清晰、具体、合理，工作部署、技术路线、工作内容充分体现采购人的需求和目的，提交成果符合采购要求及规范。 1）嘉陵江流域、丹江流域区域涉金属锑、铊污染源排查实施方案，2-5分；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技术方案（2）</w:t>
            </w:r>
          </w:p>
        </w:tc>
        <w:tc>
          <w:tcPr>
            <w:tcW w:type="dxa" w:w="2492"/>
          </w:tcPr>
          <w:p>
            <w:pPr>
              <w:pStyle w:val="null3"/>
            </w:pPr>
            <w:r>
              <w:rPr/>
              <w:t>2）嘉陵江流域、丹江流域水文地质调查实施方案，2-5分；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技术方案（3）</w:t>
            </w:r>
          </w:p>
        </w:tc>
        <w:tc>
          <w:tcPr>
            <w:tcW w:type="dxa" w:w="2492"/>
          </w:tcPr>
          <w:p>
            <w:pPr>
              <w:pStyle w:val="null3"/>
            </w:pPr>
            <w:r>
              <w:rPr/>
              <w:t>3）丹江流域地表水环境应急模拟模型方案，2-5分；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技术方案（4）</w:t>
            </w:r>
          </w:p>
        </w:tc>
        <w:tc>
          <w:tcPr>
            <w:tcW w:type="dxa" w:w="2492"/>
          </w:tcPr>
          <w:p>
            <w:pPr>
              <w:pStyle w:val="null3"/>
            </w:pPr>
            <w:r>
              <w:rPr/>
              <w:t>4）嘉陵江流域、丹江流域水文地质调查报告编制大纲，2-5分；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技术方案（5）</w:t>
            </w:r>
          </w:p>
        </w:tc>
        <w:tc>
          <w:tcPr>
            <w:tcW w:type="dxa" w:w="2492"/>
          </w:tcPr>
          <w:p>
            <w:pPr>
              <w:pStyle w:val="null3"/>
            </w:pPr>
            <w:r>
              <w:rPr/>
              <w:t>5）嘉陵江流域、丹江流域尾矿库、废矿渣等重金属污染源分析报告编制大纲，2-5分。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项目团队（1）</w:t>
            </w:r>
          </w:p>
        </w:tc>
        <w:tc>
          <w:tcPr>
            <w:tcW w:type="dxa" w:w="2492"/>
          </w:tcPr>
          <w:p>
            <w:pPr>
              <w:pStyle w:val="null3"/>
            </w:pPr>
            <w:r>
              <w:rPr/>
              <w:t>1）项目负责人相关专业（水文地质、环境地质、地质调查等专业）高级及以上技术职称资格的得5分。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项目团队（2）</w:t>
            </w:r>
          </w:p>
        </w:tc>
        <w:tc>
          <w:tcPr>
            <w:tcW w:type="dxa" w:w="2492"/>
          </w:tcPr>
          <w:p>
            <w:pPr>
              <w:pStyle w:val="null3"/>
            </w:pPr>
            <w:r>
              <w:rPr/>
              <w:t>2）项目团队须配备水文工环地质、地质调查等相关专业中级及以上技术人员，每个专业领队人员不少于1名(共8名)得基础分4分；每专业多1名加1分，最多加6分；此项最高得10分。专业配备不齐全此项均不得分。 注：需要提供项目团队身份证、职称证扫描件及投标截止时间前三个月内任意一个月本单位社保缴存证明或聘用合同，未提供齐全本项不计分。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对本项目重难点的认识（1）</w:t>
            </w:r>
          </w:p>
        </w:tc>
        <w:tc>
          <w:tcPr>
            <w:tcW w:type="dxa" w:w="2492"/>
          </w:tcPr>
          <w:p>
            <w:pPr>
              <w:pStyle w:val="null3"/>
            </w:pPr>
            <w:r>
              <w:rPr/>
              <w:t>清晰、措施得当、具体合理，并能提出合理化建议。 1）对本项目工作重点内容进行描述0-4分；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对本项目重难点的认识（2）</w:t>
            </w:r>
          </w:p>
        </w:tc>
        <w:tc>
          <w:tcPr>
            <w:tcW w:type="dxa" w:w="2492"/>
          </w:tcPr>
          <w:p>
            <w:pPr>
              <w:pStyle w:val="null3"/>
            </w:pPr>
            <w:r>
              <w:rPr/>
              <w:t>2）对本项目工作难点内容进行描述0-3分。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项目进度计划及措施</w:t>
            </w:r>
          </w:p>
        </w:tc>
        <w:tc>
          <w:tcPr>
            <w:tcW w:type="dxa" w:w="2492"/>
          </w:tcPr>
          <w:p>
            <w:pPr>
              <w:pStyle w:val="null3"/>
            </w:pPr>
            <w:r>
              <w:rPr/>
              <w:t>供应商各项安排合理、规范，措施得当，目标可控，满足进度需求，计3-5分；各项安排比较合理、规范，措施一般，目标可控，基本满足进度需求，计0-3分。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项目质量管理体系与措施</w:t>
            </w:r>
          </w:p>
        </w:tc>
        <w:tc>
          <w:tcPr>
            <w:tcW w:type="dxa" w:w="2492"/>
          </w:tcPr>
          <w:p>
            <w:pPr>
              <w:pStyle w:val="null3"/>
            </w:pPr>
            <w:r>
              <w:rPr/>
              <w:t>供应商的质量管理机构健全，措施得当，目标可控，满足质量需求，计3-5分；质量管理机构不健全，目标不可控因素较多，质量需 求难以满足，计0-3分。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安全管理体系与措施</w:t>
            </w:r>
          </w:p>
        </w:tc>
        <w:tc>
          <w:tcPr>
            <w:tcW w:type="dxa" w:w="2492"/>
          </w:tcPr>
          <w:p>
            <w:pPr>
              <w:pStyle w:val="null3"/>
            </w:pPr>
            <w:r>
              <w:rPr/>
              <w:t>供应商安全管理制度完善、安全保障措施合理，符合国家规范要求，有相关应急处理措施，计3-5分；安全管理制度完善、安全保障措施一般，符合国家规范要求，无应急处理措施，计1-3分；安全保障措施不符合国家规范要求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本项目涉密文件及资料按照保密法相关要求进行管理，配置保密室、专门的保密管理人员、保密制度等，计2-5分。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后续服务保障</w:t>
            </w:r>
          </w:p>
        </w:tc>
        <w:tc>
          <w:tcPr>
            <w:tcW w:type="dxa" w:w="2492"/>
          </w:tcPr>
          <w:p>
            <w:pPr>
              <w:pStyle w:val="null3"/>
            </w:pPr>
            <w:r>
              <w:rPr/>
              <w:t>供应商对本项目有后续技术支持及跟踪服务能力，有后续服务的计划、措施、保障等内容；且建立完整的后续工作信息收集、反馈等保证措施；项目总负责人全过程负责项目方案修改、整合、沟通等做出承诺。计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供应商实力</w:t>
            </w:r>
          </w:p>
        </w:tc>
        <w:tc>
          <w:tcPr>
            <w:tcW w:type="dxa" w:w="2492"/>
          </w:tcPr>
          <w:p>
            <w:pPr>
              <w:pStyle w:val="null3"/>
            </w:pPr>
            <w:r>
              <w:rPr/>
              <w:t>供应商具备有效的质量管理体系认证、环境管理体系认证、有效的职业安全管理体系认证证书，每提供一个得1分最高得3分。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供应商提供近3年内近似项目业绩，一份业绩得5分，最高得15分；提供完整的业绩合同证明材料复印件加盖公章。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1）最低评审价为评审基准价，得10分； 2）按（评审基准价/评审价×10）的公式计算价格得分。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详见附件：商务偏离表</w:t>
      </w:r>
    </w:p>
    <w:p>
      <w:pPr>
        <w:pStyle w:val="null3"/>
        <w:ind w:firstLine="960"/>
      </w:pPr>
      <w:r>
        <w:rPr/>
        <w:t>详见附件：服务要求偏离表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