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1EE0C">
      <w:pPr>
        <w:jc w:val="center"/>
        <w:rPr>
          <w:rFonts w:hint="eastAsia"/>
          <w:lang w:val="en-US" w:eastAsia="zh-CN"/>
        </w:rPr>
      </w:pPr>
      <w:r>
        <w:rPr>
          <w:rFonts w:hint="eastAsia"/>
          <w:lang w:val="en-US" w:eastAsia="zh-CN"/>
        </w:rPr>
        <w:t>采购需求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1"/>
        <w:gridCol w:w="769"/>
        <w:gridCol w:w="6267"/>
      </w:tblGrid>
      <w:tr w14:paraId="1580B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1" w:type="dxa"/>
          </w:tcPr>
          <w:p w14:paraId="54B92702">
            <w:pPr>
              <w:pStyle w:val="8"/>
              <w:rPr>
                <w:rFonts w:hint="default"/>
              </w:rPr>
            </w:pPr>
            <w:r>
              <w:t xml:space="preserve"> 参数性质</w:t>
            </w:r>
          </w:p>
        </w:tc>
        <w:tc>
          <w:tcPr>
            <w:tcW w:w="769" w:type="dxa"/>
          </w:tcPr>
          <w:p w14:paraId="0A79D034">
            <w:pPr>
              <w:pStyle w:val="8"/>
              <w:rPr>
                <w:rFonts w:hint="default"/>
              </w:rPr>
            </w:pPr>
            <w:r>
              <w:t xml:space="preserve"> 序号</w:t>
            </w:r>
          </w:p>
        </w:tc>
        <w:tc>
          <w:tcPr>
            <w:tcW w:w="6267" w:type="dxa"/>
          </w:tcPr>
          <w:p w14:paraId="7BB8F479">
            <w:pPr>
              <w:pStyle w:val="8"/>
              <w:rPr>
                <w:rFonts w:hint="default"/>
              </w:rPr>
            </w:pPr>
            <w:r>
              <w:t xml:space="preserve"> 技术参数与性能指标</w:t>
            </w:r>
          </w:p>
        </w:tc>
      </w:tr>
      <w:tr w14:paraId="21ADF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1" w:type="dxa"/>
          </w:tcPr>
          <w:p w14:paraId="3E2E43B6"/>
        </w:tc>
        <w:tc>
          <w:tcPr>
            <w:tcW w:w="769" w:type="dxa"/>
          </w:tcPr>
          <w:p w14:paraId="3A348D53">
            <w:pPr>
              <w:pStyle w:val="8"/>
              <w:rPr>
                <w:rFonts w:hint="default"/>
              </w:rPr>
            </w:pPr>
            <w:r>
              <w:t>1</w:t>
            </w:r>
          </w:p>
        </w:tc>
        <w:tc>
          <w:tcPr>
            <w:tcW w:w="6267" w:type="dxa"/>
          </w:tcPr>
          <w:p w14:paraId="18CA60D2">
            <w:pPr>
              <w:pStyle w:val="8"/>
              <w:rPr>
                <w:rFonts w:hint="default"/>
              </w:rPr>
            </w:pPr>
            <w:r>
              <w:t>项目概况：</w:t>
            </w:r>
          </w:p>
          <w:p w14:paraId="450C1357">
            <w:pPr>
              <w:pStyle w:val="8"/>
              <w:rPr>
                <w:rFonts w:hint="default"/>
              </w:rPr>
            </w:pPr>
            <w:r>
              <w:t>通过智慧校园平台的建设，将实现校内信息系统的深度整合与优化，构建一个全方位、一体化的智慧校园管理与服务体系。这一平台的核心之一是打造“融合门户”，旨在全面梳理并优化学校面向全体师生、家长及校友提供的各类管理服务事项，通过对不同层级、部门的同类事务进行归并与重构，形成统一规范的办事指南与目录，确保每一项服务都能遵循清晰、高效的工作流程。借助基础平台的力量，将逐步推动管理服务的数字化转型，实现从申请、受理到办理、反馈的线上闭环，真正做到“一号申请、一窗受理、一网通办”，大幅度削减繁琐流程，缩短办理周期，让我校教育管理服务步入“一网通办”的新时期。</w:t>
            </w:r>
          </w:p>
          <w:p w14:paraId="65FEB7C6">
            <w:pPr>
              <w:pStyle w:val="8"/>
              <w:rPr>
                <w:rFonts w:hint="default"/>
              </w:rPr>
            </w:pPr>
            <w:r>
              <w:t>同时，数据中台的建设将成为智慧校园平台的基座，实现数据的“一数一源”，彻底打破数据孤岛，通过精细化的数据资产管理、分析与运营，为决策、管理以及师生个性化服务提供强有力的数据支撑和智能赋能。后续将致力于加速数据资产的价值释放，构建数据集成、贯通、管理和应用的全生命周期管理体系，确保数据的可持续利用与增值，为校园智慧化建设注入源源不断的创新活力。本项目的采购内容共包含7个方面，具体清单如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3437"/>
              <w:gridCol w:w="716"/>
            </w:tblGrid>
            <w:tr w14:paraId="3FBD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Align w:val="center"/>
                </w:tcPr>
                <w:p w14:paraId="7136B402">
                  <w:pPr>
                    <w:pStyle w:val="8"/>
                    <w:rPr>
                      <w:rFonts w:hint="default"/>
                    </w:rPr>
                  </w:pPr>
                  <w:r>
                    <w:t>采购名称</w:t>
                  </w:r>
                </w:p>
              </w:tc>
              <w:tc>
                <w:tcPr>
                  <w:tcW w:w="2845" w:type="pct"/>
                  <w:vAlign w:val="center"/>
                </w:tcPr>
                <w:p w14:paraId="5809345F">
                  <w:pPr>
                    <w:pStyle w:val="8"/>
                    <w:rPr>
                      <w:rFonts w:hint="default"/>
                    </w:rPr>
                  </w:pPr>
                  <w:r>
                    <w:t>内容模块</w:t>
                  </w:r>
                </w:p>
              </w:tc>
              <w:tc>
                <w:tcPr>
                  <w:tcW w:w="592" w:type="pct"/>
                  <w:vAlign w:val="center"/>
                </w:tcPr>
                <w:p w14:paraId="64BF6408">
                  <w:pPr>
                    <w:pStyle w:val="8"/>
                    <w:rPr>
                      <w:rFonts w:hint="default"/>
                    </w:rPr>
                  </w:pPr>
                  <w:r>
                    <w:t>数量</w:t>
                  </w:r>
                </w:p>
              </w:tc>
            </w:tr>
            <w:tr w14:paraId="14D0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Merge w:val="restart"/>
                  <w:vAlign w:val="center"/>
                </w:tcPr>
                <w:p w14:paraId="34EA93CF">
                  <w:pPr>
                    <w:pStyle w:val="8"/>
                    <w:rPr>
                      <w:rFonts w:hint="default"/>
                    </w:rPr>
                  </w:pPr>
                  <w:r>
                    <w:t>融合门户</w:t>
                  </w:r>
                </w:p>
              </w:tc>
              <w:tc>
                <w:tcPr>
                  <w:tcW w:w="2845" w:type="pct"/>
                  <w:vAlign w:val="center"/>
                </w:tcPr>
                <w:p w14:paraId="17865FA0">
                  <w:pPr>
                    <w:pStyle w:val="8"/>
                    <w:rPr>
                      <w:rFonts w:hint="default"/>
                    </w:rPr>
                  </w:pPr>
                  <w:r>
                    <w:t>PC端门户</w:t>
                  </w:r>
                </w:p>
              </w:tc>
              <w:tc>
                <w:tcPr>
                  <w:tcW w:w="592" w:type="pct"/>
                  <w:vAlign w:val="center"/>
                </w:tcPr>
                <w:p w14:paraId="57FD7D26">
                  <w:pPr>
                    <w:pStyle w:val="8"/>
                    <w:rPr>
                      <w:rFonts w:hint="default"/>
                    </w:rPr>
                  </w:pPr>
                  <w:r>
                    <w:t>1套</w:t>
                  </w:r>
                </w:p>
              </w:tc>
            </w:tr>
            <w:tr w14:paraId="26DE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Merge w:val="continue"/>
                  <w:vAlign w:val="center"/>
                </w:tcPr>
                <w:p w14:paraId="463AD98D">
                  <w:pPr>
                    <w:pStyle w:val="8"/>
                    <w:rPr>
                      <w:rFonts w:hint="default"/>
                    </w:rPr>
                  </w:pPr>
                </w:p>
              </w:tc>
              <w:tc>
                <w:tcPr>
                  <w:tcW w:w="2845" w:type="pct"/>
                  <w:vAlign w:val="center"/>
                </w:tcPr>
                <w:p w14:paraId="70A19581">
                  <w:pPr>
                    <w:pStyle w:val="8"/>
                    <w:rPr>
                      <w:rFonts w:hint="default"/>
                    </w:rPr>
                  </w:pPr>
                  <w:r>
                    <w:t>移动端门户</w:t>
                  </w:r>
                </w:p>
              </w:tc>
              <w:tc>
                <w:tcPr>
                  <w:tcW w:w="592" w:type="pct"/>
                  <w:vAlign w:val="center"/>
                </w:tcPr>
                <w:p w14:paraId="75300372">
                  <w:pPr>
                    <w:pStyle w:val="8"/>
                    <w:rPr>
                      <w:rFonts w:hint="default"/>
                    </w:rPr>
                  </w:pPr>
                  <w:r>
                    <w:t>1套</w:t>
                  </w:r>
                </w:p>
              </w:tc>
            </w:tr>
            <w:tr w14:paraId="0C9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Merge w:val="continue"/>
                  <w:vAlign w:val="center"/>
                </w:tcPr>
                <w:p w14:paraId="65145E7F">
                  <w:pPr>
                    <w:pStyle w:val="8"/>
                    <w:rPr>
                      <w:rFonts w:hint="default"/>
                    </w:rPr>
                  </w:pPr>
                </w:p>
              </w:tc>
              <w:tc>
                <w:tcPr>
                  <w:tcW w:w="2845" w:type="pct"/>
                  <w:vAlign w:val="center"/>
                </w:tcPr>
                <w:p w14:paraId="11484555">
                  <w:pPr>
                    <w:pStyle w:val="8"/>
                    <w:rPr>
                      <w:rFonts w:hint="default"/>
                    </w:rPr>
                  </w:pPr>
                  <w:r>
                    <w:t>个人数据聚合</w:t>
                  </w:r>
                </w:p>
              </w:tc>
              <w:tc>
                <w:tcPr>
                  <w:tcW w:w="592" w:type="pct"/>
                  <w:vAlign w:val="center"/>
                </w:tcPr>
                <w:p w14:paraId="2BFFED7C">
                  <w:pPr>
                    <w:pStyle w:val="8"/>
                    <w:rPr>
                      <w:rFonts w:hint="default"/>
                    </w:rPr>
                  </w:pPr>
                  <w:r>
                    <w:t>1套</w:t>
                  </w:r>
                </w:p>
              </w:tc>
            </w:tr>
            <w:tr w14:paraId="7CFE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Merge w:val="continue"/>
                  <w:vAlign w:val="center"/>
                </w:tcPr>
                <w:p w14:paraId="37D0A1CB">
                  <w:pPr>
                    <w:pStyle w:val="8"/>
                    <w:rPr>
                      <w:rFonts w:hint="default"/>
                    </w:rPr>
                  </w:pPr>
                </w:p>
              </w:tc>
              <w:tc>
                <w:tcPr>
                  <w:tcW w:w="2845" w:type="pct"/>
                  <w:vAlign w:val="center"/>
                </w:tcPr>
                <w:p w14:paraId="39D9C768">
                  <w:pPr>
                    <w:pStyle w:val="8"/>
                    <w:rPr>
                      <w:rFonts w:hint="default"/>
                    </w:rPr>
                  </w:pPr>
                  <w:r>
                    <w:t>资讯聚合</w:t>
                  </w:r>
                </w:p>
              </w:tc>
              <w:tc>
                <w:tcPr>
                  <w:tcW w:w="592" w:type="pct"/>
                  <w:vAlign w:val="center"/>
                </w:tcPr>
                <w:p w14:paraId="5802D6A7">
                  <w:pPr>
                    <w:pStyle w:val="8"/>
                    <w:rPr>
                      <w:rFonts w:hint="default"/>
                    </w:rPr>
                  </w:pPr>
                  <w:r>
                    <w:t>1套</w:t>
                  </w:r>
                </w:p>
              </w:tc>
            </w:tr>
            <w:tr w14:paraId="07AE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Merge w:val="continue"/>
                  <w:vAlign w:val="center"/>
                </w:tcPr>
                <w:p w14:paraId="249DC0C2">
                  <w:pPr>
                    <w:pStyle w:val="8"/>
                    <w:rPr>
                      <w:rFonts w:hint="default"/>
                    </w:rPr>
                  </w:pPr>
                </w:p>
              </w:tc>
              <w:tc>
                <w:tcPr>
                  <w:tcW w:w="2845" w:type="pct"/>
                  <w:vAlign w:val="center"/>
                </w:tcPr>
                <w:p w14:paraId="56B70A45">
                  <w:pPr>
                    <w:pStyle w:val="8"/>
                    <w:rPr>
                      <w:rFonts w:hint="default"/>
                    </w:rPr>
                  </w:pPr>
                  <w:r>
                    <w:t>服务应用聚合</w:t>
                  </w:r>
                </w:p>
              </w:tc>
              <w:tc>
                <w:tcPr>
                  <w:tcW w:w="592" w:type="pct"/>
                  <w:vAlign w:val="center"/>
                </w:tcPr>
                <w:p w14:paraId="25133D87">
                  <w:pPr>
                    <w:pStyle w:val="8"/>
                    <w:rPr>
                      <w:rFonts w:hint="default"/>
                    </w:rPr>
                  </w:pPr>
                  <w:r>
                    <w:t>1套</w:t>
                  </w:r>
                </w:p>
              </w:tc>
            </w:tr>
            <w:tr w14:paraId="6894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Merge w:val="continue"/>
                  <w:vAlign w:val="center"/>
                </w:tcPr>
                <w:p w14:paraId="24331603">
                  <w:pPr>
                    <w:pStyle w:val="8"/>
                    <w:rPr>
                      <w:rFonts w:hint="default"/>
                    </w:rPr>
                  </w:pPr>
                </w:p>
              </w:tc>
              <w:tc>
                <w:tcPr>
                  <w:tcW w:w="2845" w:type="pct"/>
                  <w:vAlign w:val="center"/>
                </w:tcPr>
                <w:p w14:paraId="24AEE773">
                  <w:pPr>
                    <w:pStyle w:val="8"/>
                    <w:rPr>
                      <w:rFonts w:hint="default"/>
                    </w:rPr>
                  </w:pPr>
                  <w:r>
                    <w:t>流程服务构建引擎</w:t>
                  </w:r>
                </w:p>
              </w:tc>
              <w:tc>
                <w:tcPr>
                  <w:tcW w:w="592" w:type="pct"/>
                  <w:vAlign w:val="center"/>
                </w:tcPr>
                <w:p w14:paraId="4482E010">
                  <w:pPr>
                    <w:pStyle w:val="8"/>
                    <w:rPr>
                      <w:rFonts w:hint="default"/>
                    </w:rPr>
                  </w:pPr>
                  <w:r>
                    <w:t>1套</w:t>
                  </w:r>
                </w:p>
              </w:tc>
            </w:tr>
            <w:tr w14:paraId="36F1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3" w:type="pct"/>
                  <w:vMerge w:val="continue"/>
                  <w:vAlign w:val="center"/>
                </w:tcPr>
                <w:p w14:paraId="04703F2A">
                  <w:pPr>
                    <w:pStyle w:val="8"/>
                    <w:rPr>
                      <w:rFonts w:hint="default"/>
                    </w:rPr>
                  </w:pPr>
                </w:p>
              </w:tc>
              <w:tc>
                <w:tcPr>
                  <w:tcW w:w="2845" w:type="pct"/>
                  <w:vAlign w:val="center"/>
                </w:tcPr>
                <w:p w14:paraId="21F4C7B5">
                  <w:pPr>
                    <w:pStyle w:val="8"/>
                    <w:rPr>
                      <w:rFonts w:hint="default"/>
                    </w:rPr>
                  </w:pPr>
                  <w:r>
                    <w:t>统一消息、待办及日程管理</w:t>
                  </w:r>
                </w:p>
              </w:tc>
              <w:tc>
                <w:tcPr>
                  <w:tcW w:w="592" w:type="pct"/>
                  <w:vAlign w:val="center"/>
                </w:tcPr>
                <w:p w14:paraId="239ACB00">
                  <w:pPr>
                    <w:pStyle w:val="8"/>
                    <w:rPr>
                      <w:rFonts w:hint="default"/>
                    </w:rPr>
                  </w:pPr>
                  <w:r>
                    <w:t>1套</w:t>
                  </w:r>
                </w:p>
              </w:tc>
            </w:tr>
            <w:tr w14:paraId="164E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Align w:val="center"/>
                </w:tcPr>
                <w:p w14:paraId="3A19FF88">
                  <w:pPr>
                    <w:pStyle w:val="8"/>
                    <w:rPr>
                      <w:rFonts w:hint="default"/>
                    </w:rPr>
                  </w:pPr>
                  <w:r>
                    <w:t>统一身份认证平台</w:t>
                  </w:r>
                </w:p>
              </w:tc>
              <w:tc>
                <w:tcPr>
                  <w:tcW w:w="2845" w:type="pct"/>
                  <w:vAlign w:val="center"/>
                </w:tcPr>
                <w:p w14:paraId="5CA92875">
                  <w:pPr>
                    <w:pStyle w:val="8"/>
                    <w:rPr>
                      <w:rFonts w:hint="default"/>
                    </w:rPr>
                  </w:pPr>
                  <w:r>
                    <w:t>用户登录、认证中心</w:t>
                  </w:r>
                </w:p>
              </w:tc>
              <w:tc>
                <w:tcPr>
                  <w:tcW w:w="592" w:type="pct"/>
                  <w:vAlign w:val="center"/>
                </w:tcPr>
                <w:p w14:paraId="779F4487">
                  <w:pPr>
                    <w:pStyle w:val="8"/>
                    <w:rPr>
                      <w:rFonts w:hint="default"/>
                    </w:rPr>
                  </w:pPr>
                  <w:r>
                    <w:t>1套</w:t>
                  </w:r>
                </w:p>
              </w:tc>
            </w:tr>
            <w:tr w14:paraId="57C7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restart"/>
                  <w:vAlign w:val="center"/>
                </w:tcPr>
                <w:p w14:paraId="45A6CA98">
                  <w:pPr>
                    <w:pStyle w:val="8"/>
                    <w:rPr>
                      <w:rFonts w:hint="default"/>
                    </w:rPr>
                  </w:pPr>
                  <w:r>
                    <w:t>数据中台</w:t>
                  </w:r>
                </w:p>
              </w:tc>
              <w:tc>
                <w:tcPr>
                  <w:tcW w:w="2845" w:type="pct"/>
                  <w:vAlign w:val="center"/>
                </w:tcPr>
                <w:p w14:paraId="403CA457">
                  <w:pPr>
                    <w:pStyle w:val="8"/>
                    <w:rPr>
                      <w:rFonts w:hint="default"/>
                    </w:rPr>
                  </w:pPr>
                  <w:r>
                    <w:t>元数据管理</w:t>
                  </w:r>
                </w:p>
              </w:tc>
              <w:tc>
                <w:tcPr>
                  <w:tcW w:w="592" w:type="pct"/>
                  <w:vAlign w:val="center"/>
                </w:tcPr>
                <w:p w14:paraId="6325D511">
                  <w:pPr>
                    <w:pStyle w:val="8"/>
                    <w:rPr>
                      <w:rFonts w:hint="default"/>
                    </w:rPr>
                  </w:pPr>
                  <w:r>
                    <w:t>1套</w:t>
                  </w:r>
                </w:p>
              </w:tc>
            </w:tr>
            <w:tr w14:paraId="0CC6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298C33C3">
                  <w:pPr>
                    <w:pStyle w:val="8"/>
                    <w:rPr>
                      <w:rFonts w:hint="default"/>
                    </w:rPr>
                  </w:pPr>
                </w:p>
              </w:tc>
              <w:tc>
                <w:tcPr>
                  <w:tcW w:w="2845" w:type="pct"/>
                  <w:vAlign w:val="center"/>
                </w:tcPr>
                <w:p w14:paraId="194154D1">
                  <w:pPr>
                    <w:pStyle w:val="8"/>
                    <w:rPr>
                      <w:rFonts w:hint="default"/>
                    </w:rPr>
                  </w:pPr>
                  <w:r>
                    <w:t>数据标准管理</w:t>
                  </w:r>
                </w:p>
              </w:tc>
              <w:tc>
                <w:tcPr>
                  <w:tcW w:w="592" w:type="pct"/>
                  <w:vAlign w:val="center"/>
                </w:tcPr>
                <w:p w14:paraId="3C08AE38">
                  <w:pPr>
                    <w:pStyle w:val="8"/>
                    <w:rPr>
                      <w:rFonts w:hint="default"/>
                    </w:rPr>
                  </w:pPr>
                  <w:r>
                    <w:t>1套</w:t>
                  </w:r>
                </w:p>
              </w:tc>
            </w:tr>
            <w:tr w14:paraId="4B18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4B71D1D7">
                  <w:pPr>
                    <w:pStyle w:val="8"/>
                    <w:rPr>
                      <w:rFonts w:hint="default"/>
                    </w:rPr>
                  </w:pPr>
                </w:p>
              </w:tc>
              <w:tc>
                <w:tcPr>
                  <w:tcW w:w="2845" w:type="pct"/>
                  <w:vAlign w:val="center"/>
                </w:tcPr>
                <w:p w14:paraId="7CE46453">
                  <w:pPr>
                    <w:pStyle w:val="8"/>
                    <w:rPr>
                      <w:rFonts w:hint="default"/>
                    </w:rPr>
                  </w:pPr>
                  <w:r>
                    <w:t>数据集成管理</w:t>
                  </w:r>
                </w:p>
              </w:tc>
              <w:tc>
                <w:tcPr>
                  <w:tcW w:w="592" w:type="pct"/>
                  <w:vAlign w:val="center"/>
                </w:tcPr>
                <w:p w14:paraId="4C110340">
                  <w:pPr>
                    <w:pStyle w:val="8"/>
                    <w:rPr>
                      <w:rFonts w:hint="default"/>
                    </w:rPr>
                  </w:pPr>
                  <w:r>
                    <w:t>1套</w:t>
                  </w:r>
                </w:p>
              </w:tc>
            </w:tr>
            <w:tr w14:paraId="223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55B6B984">
                  <w:pPr>
                    <w:pStyle w:val="8"/>
                    <w:rPr>
                      <w:rFonts w:hint="default"/>
                    </w:rPr>
                  </w:pPr>
                </w:p>
              </w:tc>
              <w:tc>
                <w:tcPr>
                  <w:tcW w:w="2845" w:type="pct"/>
                  <w:vAlign w:val="center"/>
                </w:tcPr>
                <w:p w14:paraId="5D68B9D1">
                  <w:pPr>
                    <w:pStyle w:val="8"/>
                    <w:rPr>
                      <w:rFonts w:hint="default"/>
                    </w:rPr>
                  </w:pPr>
                  <w:r>
                    <w:t>数据仓库管理</w:t>
                  </w:r>
                </w:p>
              </w:tc>
              <w:tc>
                <w:tcPr>
                  <w:tcW w:w="592" w:type="pct"/>
                  <w:vAlign w:val="center"/>
                </w:tcPr>
                <w:p w14:paraId="292D72CF">
                  <w:pPr>
                    <w:pStyle w:val="8"/>
                    <w:rPr>
                      <w:rFonts w:hint="default"/>
                    </w:rPr>
                  </w:pPr>
                  <w:r>
                    <w:t>1套</w:t>
                  </w:r>
                </w:p>
              </w:tc>
            </w:tr>
            <w:tr w14:paraId="6E6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4D7A7895">
                  <w:pPr>
                    <w:pStyle w:val="8"/>
                    <w:rPr>
                      <w:rFonts w:hint="default"/>
                    </w:rPr>
                  </w:pPr>
                </w:p>
              </w:tc>
              <w:tc>
                <w:tcPr>
                  <w:tcW w:w="2845" w:type="pct"/>
                  <w:vAlign w:val="center"/>
                </w:tcPr>
                <w:p w14:paraId="2ABA07EC">
                  <w:pPr>
                    <w:pStyle w:val="8"/>
                    <w:rPr>
                      <w:rFonts w:hint="default"/>
                    </w:rPr>
                  </w:pPr>
                  <w:r>
                    <w:t>数据运行监测</w:t>
                  </w:r>
                </w:p>
              </w:tc>
              <w:tc>
                <w:tcPr>
                  <w:tcW w:w="592" w:type="pct"/>
                  <w:vAlign w:val="center"/>
                </w:tcPr>
                <w:p w14:paraId="7D2595C4">
                  <w:pPr>
                    <w:pStyle w:val="8"/>
                    <w:rPr>
                      <w:rFonts w:hint="default"/>
                    </w:rPr>
                  </w:pPr>
                  <w:r>
                    <w:t>1套</w:t>
                  </w:r>
                </w:p>
              </w:tc>
            </w:tr>
            <w:tr w14:paraId="58A8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315BDD11">
                  <w:pPr>
                    <w:pStyle w:val="8"/>
                    <w:rPr>
                      <w:rFonts w:hint="default"/>
                    </w:rPr>
                  </w:pPr>
                </w:p>
              </w:tc>
              <w:tc>
                <w:tcPr>
                  <w:tcW w:w="2845" w:type="pct"/>
                  <w:vAlign w:val="center"/>
                </w:tcPr>
                <w:p w14:paraId="18CF4816">
                  <w:pPr>
                    <w:pStyle w:val="8"/>
                    <w:rPr>
                      <w:rFonts w:hint="default"/>
                    </w:rPr>
                  </w:pPr>
                  <w:r>
                    <w:t>数据质量管理</w:t>
                  </w:r>
                </w:p>
              </w:tc>
              <w:tc>
                <w:tcPr>
                  <w:tcW w:w="592" w:type="pct"/>
                  <w:vAlign w:val="center"/>
                </w:tcPr>
                <w:p w14:paraId="3C7E36F0">
                  <w:pPr>
                    <w:pStyle w:val="8"/>
                    <w:rPr>
                      <w:rFonts w:hint="default"/>
                    </w:rPr>
                  </w:pPr>
                  <w:r>
                    <w:t>1套</w:t>
                  </w:r>
                </w:p>
              </w:tc>
            </w:tr>
            <w:tr w14:paraId="4006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6161585F">
                  <w:pPr>
                    <w:pStyle w:val="8"/>
                    <w:rPr>
                      <w:rFonts w:hint="default"/>
                    </w:rPr>
                  </w:pPr>
                </w:p>
              </w:tc>
              <w:tc>
                <w:tcPr>
                  <w:tcW w:w="2845" w:type="pct"/>
                  <w:vAlign w:val="center"/>
                </w:tcPr>
                <w:p w14:paraId="50A4C47D">
                  <w:pPr>
                    <w:pStyle w:val="8"/>
                    <w:rPr>
                      <w:rFonts w:hint="default"/>
                    </w:rPr>
                  </w:pPr>
                  <w:r>
                    <w:t>数据资产管理</w:t>
                  </w:r>
                </w:p>
              </w:tc>
              <w:tc>
                <w:tcPr>
                  <w:tcW w:w="592" w:type="pct"/>
                  <w:vAlign w:val="center"/>
                </w:tcPr>
                <w:p w14:paraId="18CE7474">
                  <w:pPr>
                    <w:pStyle w:val="8"/>
                    <w:rPr>
                      <w:rFonts w:hint="default"/>
                    </w:rPr>
                  </w:pPr>
                  <w:r>
                    <w:t>1套</w:t>
                  </w:r>
                </w:p>
              </w:tc>
            </w:tr>
            <w:tr w14:paraId="4386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759A34BD">
                  <w:pPr>
                    <w:pStyle w:val="8"/>
                    <w:rPr>
                      <w:rFonts w:hint="default"/>
                    </w:rPr>
                  </w:pPr>
                </w:p>
              </w:tc>
              <w:tc>
                <w:tcPr>
                  <w:tcW w:w="2845" w:type="pct"/>
                  <w:vAlign w:val="center"/>
                </w:tcPr>
                <w:p w14:paraId="0D5041CC">
                  <w:pPr>
                    <w:pStyle w:val="8"/>
                    <w:rPr>
                      <w:rFonts w:hint="default"/>
                    </w:rPr>
                  </w:pPr>
                  <w:r>
                    <w:t>统一API管理</w:t>
                  </w:r>
                </w:p>
              </w:tc>
              <w:tc>
                <w:tcPr>
                  <w:tcW w:w="592" w:type="pct"/>
                  <w:vAlign w:val="center"/>
                </w:tcPr>
                <w:p w14:paraId="78C4A2CE">
                  <w:pPr>
                    <w:pStyle w:val="8"/>
                    <w:rPr>
                      <w:rFonts w:hint="default"/>
                    </w:rPr>
                  </w:pPr>
                  <w:r>
                    <w:t>1套</w:t>
                  </w:r>
                </w:p>
              </w:tc>
            </w:tr>
            <w:tr w14:paraId="33E7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09C54251">
                  <w:pPr>
                    <w:pStyle w:val="8"/>
                    <w:rPr>
                      <w:rFonts w:hint="default"/>
                    </w:rPr>
                  </w:pPr>
                </w:p>
              </w:tc>
              <w:tc>
                <w:tcPr>
                  <w:tcW w:w="2845" w:type="pct"/>
                  <w:vAlign w:val="center"/>
                </w:tcPr>
                <w:p w14:paraId="4B4898AC">
                  <w:pPr>
                    <w:pStyle w:val="8"/>
                    <w:rPr>
                      <w:rFonts w:hint="default"/>
                    </w:rPr>
                  </w:pPr>
                  <w:r>
                    <w:t>数据开放平台</w:t>
                  </w:r>
                </w:p>
              </w:tc>
              <w:tc>
                <w:tcPr>
                  <w:tcW w:w="592" w:type="pct"/>
                  <w:vAlign w:val="center"/>
                </w:tcPr>
                <w:p w14:paraId="78206982">
                  <w:pPr>
                    <w:pStyle w:val="8"/>
                    <w:rPr>
                      <w:rFonts w:hint="default"/>
                    </w:rPr>
                  </w:pPr>
                  <w:r>
                    <w:t>1套</w:t>
                  </w:r>
                </w:p>
              </w:tc>
            </w:tr>
            <w:tr w14:paraId="6597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1FEFF40D">
                  <w:pPr>
                    <w:pStyle w:val="8"/>
                    <w:rPr>
                      <w:rFonts w:hint="default"/>
                    </w:rPr>
                  </w:pPr>
                </w:p>
              </w:tc>
              <w:tc>
                <w:tcPr>
                  <w:tcW w:w="2845" w:type="pct"/>
                  <w:vAlign w:val="center"/>
                </w:tcPr>
                <w:p w14:paraId="1A2E4EB1">
                  <w:pPr>
                    <w:pStyle w:val="8"/>
                    <w:rPr>
                      <w:rFonts w:hint="default"/>
                    </w:rPr>
                  </w:pPr>
                  <w:r>
                    <w:t>数据安全管理</w:t>
                  </w:r>
                </w:p>
              </w:tc>
              <w:tc>
                <w:tcPr>
                  <w:tcW w:w="592" w:type="pct"/>
                  <w:vAlign w:val="center"/>
                </w:tcPr>
                <w:p w14:paraId="3CD9F644">
                  <w:pPr>
                    <w:pStyle w:val="8"/>
                    <w:rPr>
                      <w:rFonts w:hint="default"/>
                    </w:rPr>
                  </w:pPr>
                  <w:r>
                    <w:t>1套</w:t>
                  </w:r>
                </w:p>
              </w:tc>
            </w:tr>
            <w:tr w14:paraId="29D7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7EDFBA24">
                  <w:pPr>
                    <w:pStyle w:val="8"/>
                    <w:rPr>
                      <w:rFonts w:hint="default"/>
                    </w:rPr>
                  </w:pPr>
                </w:p>
              </w:tc>
              <w:tc>
                <w:tcPr>
                  <w:tcW w:w="2845" w:type="pct"/>
                  <w:vAlign w:val="center"/>
                </w:tcPr>
                <w:p w14:paraId="62DB9F7C">
                  <w:pPr>
                    <w:pStyle w:val="8"/>
                    <w:rPr>
                      <w:rFonts w:hint="default"/>
                    </w:rPr>
                  </w:pPr>
                  <w:r>
                    <w:t>数据概览服务</w:t>
                  </w:r>
                </w:p>
              </w:tc>
              <w:tc>
                <w:tcPr>
                  <w:tcW w:w="592" w:type="pct"/>
                  <w:vAlign w:val="center"/>
                </w:tcPr>
                <w:p w14:paraId="7A886F06">
                  <w:pPr>
                    <w:pStyle w:val="8"/>
                    <w:rPr>
                      <w:rFonts w:hint="default"/>
                    </w:rPr>
                  </w:pPr>
                  <w:r>
                    <w:t>1套</w:t>
                  </w:r>
                </w:p>
              </w:tc>
            </w:tr>
            <w:tr w14:paraId="6541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Align w:val="center"/>
                </w:tcPr>
                <w:p w14:paraId="2B1AAF58">
                  <w:pPr>
                    <w:pStyle w:val="8"/>
                    <w:rPr>
                      <w:rFonts w:hint="default"/>
                    </w:rPr>
                  </w:pPr>
                  <w:r>
                    <w:t>一表通</w:t>
                  </w:r>
                </w:p>
              </w:tc>
              <w:tc>
                <w:tcPr>
                  <w:tcW w:w="2845" w:type="pct"/>
                  <w:vAlign w:val="center"/>
                </w:tcPr>
                <w:p w14:paraId="3B7A0369">
                  <w:pPr>
                    <w:pStyle w:val="8"/>
                    <w:rPr>
                      <w:rFonts w:hint="default"/>
                    </w:rPr>
                  </w:pPr>
                  <w:r>
                    <w:t>一表通数据填报及管理</w:t>
                  </w:r>
                </w:p>
              </w:tc>
              <w:tc>
                <w:tcPr>
                  <w:tcW w:w="592" w:type="pct"/>
                  <w:vAlign w:val="center"/>
                </w:tcPr>
                <w:p w14:paraId="2FC0C440">
                  <w:pPr>
                    <w:pStyle w:val="8"/>
                    <w:rPr>
                      <w:rFonts w:hint="default"/>
                    </w:rPr>
                  </w:pPr>
                  <w:r>
                    <w:t>1套</w:t>
                  </w:r>
                </w:p>
              </w:tc>
            </w:tr>
            <w:tr w14:paraId="231D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Align w:val="center"/>
                </w:tcPr>
                <w:p w14:paraId="5D30B603">
                  <w:pPr>
                    <w:pStyle w:val="8"/>
                    <w:rPr>
                      <w:rFonts w:hint="default"/>
                    </w:rPr>
                  </w:pPr>
                  <w:r>
                    <w:t>系统集成服务</w:t>
                  </w:r>
                </w:p>
              </w:tc>
              <w:tc>
                <w:tcPr>
                  <w:tcW w:w="2845" w:type="pct"/>
                  <w:vAlign w:val="center"/>
                </w:tcPr>
                <w:p w14:paraId="2D66F38C">
                  <w:pPr>
                    <w:pStyle w:val="8"/>
                    <w:rPr>
                      <w:rFonts w:hint="default"/>
                    </w:rPr>
                  </w:pPr>
                  <w:r>
                    <w:t>认证集成、数据集成、门户集成</w:t>
                  </w:r>
                </w:p>
              </w:tc>
              <w:tc>
                <w:tcPr>
                  <w:tcW w:w="592" w:type="pct"/>
                  <w:vAlign w:val="center"/>
                </w:tcPr>
                <w:p w14:paraId="25309993">
                  <w:pPr>
                    <w:pStyle w:val="8"/>
                    <w:rPr>
                      <w:rFonts w:hint="default"/>
                    </w:rPr>
                  </w:pPr>
                  <w:r>
                    <w:t>3项</w:t>
                  </w:r>
                </w:p>
              </w:tc>
            </w:tr>
            <w:tr w14:paraId="0451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pct"/>
                  <w:vAlign w:val="center"/>
                </w:tcPr>
                <w:p w14:paraId="35B25338">
                  <w:pPr>
                    <w:pStyle w:val="8"/>
                    <w:rPr>
                      <w:rFonts w:hint="default"/>
                    </w:rPr>
                  </w:pPr>
                  <w:r>
                    <w:t>数据治理服务</w:t>
                  </w:r>
                </w:p>
              </w:tc>
              <w:tc>
                <w:tcPr>
                  <w:tcW w:w="2845" w:type="pct"/>
                  <w:vAlign w:val="center"/>
                </w:tcPr>
                <w:p w14:paraId="761A958E">
                  <w:pPr>
                    <w:pStyle w:val="8"/>
                    <w:rPr>
                      <w:rFonts w:hint="default"/>
                    </w:rPr>
                  </w:pPr>
                  <w:r>
                    <w:t>数据标准定制服务、业务数据治理服务、数据清洗与标准化服务、数据中心构建服务、数据质量检查服务、数据共享交换服务</w:t>
                  </w:r>
                </w:p>
              </w:tc>
              <w:tc>
                <w:tcPr>
                  <w:tcW w:w="592" w:type="pct"/>
                  <w:vAlign w:val="center"/>
                </w:tcPr>
                <w:p w14:paraId="2C9E6D39">
                  <w:pPr>
                    <w:pStyle w:val="8"/>
                    <w:rPr>
                      <w:rFonts w:hint="default"/>
                    </w:rPr>
                  </w:pPr>
                  <w:r>
                    <w:t>6项</w:t>
                  </w:r>
                </w:p>
              </w:tc>
            </w:tr>
            <w:tr w14:paraId="4A19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restart"/>
                  <w:vAlign w:val="center"/>
                </w:tcPr>
                <w:p w14:paraId="42F5C469">
                  <w:pPr>
                    <w:pStyle w:val="8"/>
                    <w:rPr>
                      <w:rFonts w:hint="default"/>
                    </w:rPr>
                  </w:pPr>
                  <w:r>
                    <w:t>定制开发服务</w:t>
                  </w:r>
                </w:p>
              </w:tc>
              <w:tc>
                <w:tcPr>
                  <w:tcW w:w="2845" w:type="pct"/>
                  <w:vAlign w:val="center"/>
                </w:tcPr>
                <w:p w14:paraId="476E1B09">
                  <w:pPr>
                    <w:pStyle w:val="8"/>
                    <w:rPr>
                      <w:rFonts w:hint="default"/>
                      <w:highlight w:val="none"/>
                    </w:rPr>
                  </w:pPr>
                  <w:r>
                    <w:rPr>
                      <w:highlight w:val="none"/>
                    </w:rPr>
                    <w:t>校园应用服务梳理与构建</w:t>
                  </w:r>
                </w:p>
              </w:tc>
              <w:tc>
                <w:tcPr>
                  <w:tcW w:w="592" w:type="pct"/>
                  <w:vAlign w:val="center"/>
                </w:tcPr>
                <w:p w14:paraId="070DE3F4">
                  <w:pPr>
                    <w:pStyle w:val="8"/>
                    <w:rPr>
                      <w:rFonts w:hint="default"/>
                      <w:highlight w:val="none"/>
                    </w:rPr>
                  </w:pPr>
                  <w:r>
                    <w:rPr>
                      <w:highlight w:val="none"/>
                    </w:rPr>
                    <w:t>至少20个</w:t>
                  </w:r>
                </w:p>
              </w:tc>
            </w:tr>
            <w:tr w14:paraId="22D8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7B8E34BB">
                  <w:pPr>
                    <w:pStyle w:val="8"/>
                    <w:rPr>
                      <w:rFonts w:hint="default"/>
                    </w:rPr>
                  </w:pPr>
                </w:p>
              </w:tc>
              <w:tc>
                <w:tcPr>
                  <w:tcW w:w="2845" w:type="pct"/>
                  <w:vAlign w:val="center"/>
                </w:tcPr>
                <w:p w14:paraId="0D5B3D32">
                  <w:pPr>
                    <w:pStyle w:val="8"/>
                    <w:rPr>
                      <w:rFonts w:hint="default"/>
                      <w:highlight w:val="none"/>
                    </w:rPr>
                  </w:pPr>
                  <w:r>
                    <w:rPr>
                      <w:highlight w:val="none"/>
                    </w:rPr>
                    <w:t>门户定制开发</w:t>
                  </w:r>
                </w:p>
              </w:tc>
              <w:tc>
                <w:tcPr>
                  <w:tcW w:w="592" w:type="pct"/>
                  <w:vAlign w:val="center"/>
                </w:tcPr>
                <w:p w14:paraId="211F9742">
                  <w:pPr>
                    <w:pStyle w:val="8"/>
                    <w:rPr>
                      <w:rFonts w:hint="default"/>
                      <w:highlight w:val="none"/>
                    </w:rPr>
                  </w:pPr>
                  <w:r>
                    <w:rPr>
                      <w:highlight w:val="none"/>
                    </w:rPr>
                    <w:t>至少5套</w:t>
                  </w:r>
                </w:p>
              </w:tc>
            </w:tr>
            <w:tr w14:paraId="4068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3" w:type="pct"/>
                  <w:vMerge w:val="continue"/>
                  <w:vAlign w:val="center"/>
                </w:tcPr>
                <w:p w14:paraId="3316C297">
                  <w:pPr>
                    <w:pStyle w:val="8"/>
                    <w:rPr>
                      <w:rFonts w:hint="default"/>
                    </w:rPr>
                  </w:pPr>
                </w:p>
              </w:tc>
              <w:tc>
                <w:tcPr>
                  <w:tcW w:w="2845" w:type="pct"/>
                  <w:vAlign w:val="center"/>
                </w:tcPr>
                <w:p w14:paraId="2336477D">
                  <w:pPr>
                    <w:pStyle w:val="8"/>
                    <w:rPr>
                      <w:rFonts w:hint="default"/>
                      <w:highlight w:val="none"/>
                    </w:rPr>
                  </w:pPr>
                  <w:r>
                    <w:rPr>
                      <w:highlight w:val="none"/>
                    </w:rPr>
                    <w:t>校内业务表单构建</w:t>
                  </w:r>
                </w:p>
              </w:tc>
              <w:tc>
                <w:tcPr>
                  <w:tcW w:w="592" w:type="pct"/>
                  <w:vAlign w:val="center"/>
                </w:tcPr>
                <w:p w14:paraId="36622C99">
                  <w:pPr>
                    <w:pStyle w:val="8"/>
                    <w:rPr>
                      <w:rFonts w:hint="default"/>
                      <w:highlight w:val="none"/>
                    </w:rPr>
                  </w:pPr>
                  <w:r>
                    <w:rPr>
                      <w:highlight w:val="none"/>
                    </w:rPr>
                    <w:t>至少5个</w:t>
                  </w:r>
                </w:p>
              </w:tc>
            </w:tr>
          </w:tbl>
          <w:p w14:paraId="7DA13689">
            <w:pPr>
              <w:pStyle w:val="8"/>
              <w:rPr>
                <w:rFonts w:hint="default"/>
              </w:rPr>
            </w:pPr>
          </w:p>
        </w:tc>
      </w:tr>
      <w:tr w14:paraId="00A10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1" w:type="dxa"/>
          </w:tcPr>
          <w:p w14:paraId="42C7A386"/>
        </w:tc>
        <w:tc>
          <w:tcPr>
            <w:tcW w:w="769" w:type="dxa"/>
          </w:tcPr>
          <w:p w14:paraId="3EF6B691">
            <w:pPr>
              <w:pStyle w:val="8"/>
              <w:rPr>
                <w:rFonts w:hint="default"/>
                <w:lang w:eastAsia="zh-CN"/>
              </w:rPr>
            </w:pPr>
            <w:r>
              <w:rPr>
                <w:lang w:eastAsia="zh-CN"/>
              </w:rPr>
              <w:t>2</w:t>
            </w:r>
          </w:p>
        </w:tc>
        <w:tc>
          <w:tcPr>
            <w:tcW w:w="6267" w:type="dxa"/>
          </w:tcPr>
          <w:p w14:paraId="7CC122F1">
            <w:pPr>
              <w:pStyle w:val="8"/>
              <w:rPr>
                <w:rFonts w:hint="default"/>
              </w:rPr>
            </w:pPr>
            <w:r>
              <w:t>具体建设内容及目标如下：</w:t>
            </w:r>
          </w:p>
          <w:p w14:paraId="530F1C26">
            <w:pPr>
              <w:pStyle w:val="8"/>
              <w:rPr>
                <w:rFonts w:hint="default"/>
              </w:rPr>
            </w:pPr>
            <w:r>
              <w:t>1、建设融合门户（一网通办），形成线上融合办事平台，让“师生少跑路，让数据多跑路”，提升师生的办事体验；</w:t>
            </w:r>
          </w:p>
          <w:p w14:paraId="16EF12EC">
            <w:pPr>
              <w:pStyle w:val="8"/>
              <w:rPr>
                <w:rFonts w:hint="default"/>
              </w:rPr>
            </w:pPr>
            <w:r>
              <w:t>2、建设统一数据中台并开展数据治理，提升数据资产管理和数据治理能力，实现校内数据全量全域的融合和质量提升；</w:t>
            </w:r>
          </w:p>
          <w:p w14:paraId="4C2790A3">
            <w:pPr>
              <w:pStyle w:val="8"/>
              <w:rPr>
                <w:rFonts w:hint="default"/>
              </w:rPr>
            </w:pPr>
            <w:r>
              <w:t>3、建设统一身份认证平台，提升用户身份安全性和易用性，实现包括QQ、微信、手机等更加多元化的统一认证和单点登录方式；</w:t>
            </w:r>
          </w:p>
          <w:p w14:paraId="62B19622">
            <w:pPr>
              <w:pStyle w:val="8"/>
              <w:rPr>
                <w:rFonts w:hint="default"/>
              </w:rPr>
            </w:pPr>
            <w:r>
              <w:t>4、建设教师一张表平台，解决师生反应强烈的“表格繁多、重复填报”等突出问题，实现在办理业务填写相关表格时“一次录入、共享互通、重复使用、自动填充”的目标；</w:t>
            </w:r>
          </w:p>
          <w:p w14:paraId="227F3200">
            <w:pPr>
              <w:pStyle w:val="8"/>
              <w:rPr>
                <w:rFonts w:hint="default"/>
              </w:rPr>
            </w:pPr>
            <w:r>
              <w:t>5、完成校内各业务系统集成和融合，实现身份、数据、服务、消息、待办等多层次的融合，提升师生服务获得感。</w:t>
            </w:r>
          </w:p>
        </w:tc>
      </w:tr>
      <w:tr w14:paraId="3E916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18" w:hRule="atLeast"/>
        </w:trPr>
        <w:tc>
          <w:tcPr>
            <w:tcW w:w="1271" w:type="dxa"/>
          </w:tcPr>
          <w:p w14:paraId="6C4197B5"/>
        </w:tc>
        <w:tc>
          <w:tcPr>
            <w:tcW w:w="769" w:type="dxa"/>
          </w:tcPr>
          <w:p w14:paraId="1E4C3F53">
            <w:pPr>
              <w:pStyle w:val="8"/>
              <w:rPr>
                <w:rFonts w:hint="default"/>
                <w:lang w:eastAsia="zh-CN"/>
              </w:rPr>
            </w:pPr>
            <w:r>
              <w:rPr>
                <w:lang w:eastAsia="zh-CN"/>
              </w:rPr>
              <w:t>3</w:t>
            </w:r>
          </w:p>
        </w:tc>
        <w:tc>
          <w:tcPr>
            <w:tcW w:w="6267" w:type="dxa"/>
          </w:tcPr>
          <w:p w14:paraId="301FF0B2">
            <w:pPr>
              <w:pStyle w:val="8"/>
              <w:rPr>
                <w:rFonts w:hint="default"/>
              </w:rPr>
            </w:pPr>
            <w:r>
              <w:rPr>
                <w:lang w:eastAsia="zh-CN"/>
              </w:rPr>
              <w:t>1、</w:t>
            </w:r>
            <w:r>
              <w:t>采购标的的技术要求</w:t>
            </w:r>
          </w:p>
          <w:p w14:paraId="61C78678">
            <w:pPr>
              <w:pStyle w:val="4"/>
              <w:widowControl/>
              <w:spacing w:beforeAutospacing="0" w:afterAutospacing="0" w:line="360" w:lineRule="auto"/>
              <w:jc w:val="both"/>
              <w:rPr>
                <w:rFonts w:cstheme="minorBidi"/>
                <w:sz w:val="20"/>
                <w:szCs w:val="20"/>
                <w:lang w:eastAsia="zh-Hans"/>
              </w:rPr>
            </w:pPr>
            <w:r>
              <w:rPr>
                <w:rFonts w:hint="eastAsia" w:cstheme="minorBidi"/>
                <w:sz w:val="20"/>
                <w:szCs w:val="20"/>
                <w:lang w:eastAsia="zh-Hans"/>
              </w:rPr>
              <w:t>（1）融合门户</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960"/>
            </w:tblGrid>
            <w:tr w14:paraId="21C5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5" w:type="pct"/>
                  <w:vAlign w:val="center"/>
                </w:tcPr>
                <w:p w14:paraId="44107220">
                  <w:pPr>
                    <w:adjustRightInd w:val="0"/>
                    <w:snapToGrid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采购内容</w:t>
                  </w:r>
                </w:p>
              </w:tc>
              <w:tc>
                <w:tcPr>
                  <w:tcW w:w="4105" w:type="pct"/>
                  <w:vAlign w:val="center"/>
                </w:tcPr>
                <w:p w14:paraId="3C998B1F">
                  <w:pPr>
                    <w:adjustRightInd w:val="0"/>
                    <w:snapToGrid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需求描述</w:t>
                  </w:r>
                </w:p>
              </w:tc>
            </w:tr>
            <w:tr w14:paraId="3255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center"/>
                </w:tcPr>
                <w:p w14:paraId="5BEB2686">
                  <w:pPr>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基础要求</w:t>
                  </w:r>
                </w:p>
              </w:tc>
              <w:tc>
                <w:tcPr>
                  <w:tcW w:w="4105" w:type="pct"/>
                  <w:vAlign w:val="center"/>
                </w:tcPr>
                <w:p w14:paraId="78566E2B">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 PC端与移动端平台门户</w:t>
                  </w:r>
                </w:p>
                <w:p w14:paraId="3430AB99">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（1）提供一套完整的基于主流页面构建引擎设计的PC端融合门户</w:t>
                  </w:r>
                  <w:r>
                    <w:rPr>
                      <w:rFonts w:hint="eastAsia" w:ascii="Times New Roman" w:hAnsi="Times New Roman" w:cs="Times New Roman"/>
                      <w:color w:val="000000" w:themeColor="text1"/>
                      <w14:textFill>
                        <w14:solidFill>
                          <w14:schemeClr w14:val="tx1"/>
                        </w14:solidFill>
                      </w14:textFill>
                    </w:rPr>
                    <w:t>；</w:t>
                  </w:r>
                </w:p>
                <w:p w14:paraId="6DCDE17E">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（2）提供一套基于H5页面的移动端门户，</w:t>
                  </w:r>
                  <w:r>
                    <w:rPr>
                      <w:rFonts w:hint="eastAsia" w:ascii="Times New Roman" w:hAnsi="Times New Roman" w:cs="Times New Roman"/>
                      <w:color w:val="000000" w:themeColor="text1"/>
                      <w14:textFill>
                        <w14:solidFill>
                          <w14:schemeClr w14:val="tx1"/>
                        </w14:solidFill>
                      </w14:textFill>
                    </w:rPr>
                    <w:t>需实现</w:t>
                  </w:r>
                  <w:r>
                    <w:rPr>
                      <w:rFonts w:ascii="Times New Roman" w:hAnsi="Times New Roman" w:cs="Times New Roman"/>
                      <w:color w:val="000000" w:themeColor="text1"/>
                      <w14:textFill>
                        <w14:solidFill>
                          <w14:schemeClr w14:val="tx1"/>
                        </w14:solidFill>
                      </w14:textFill>
                    </w:rPr>
                    <w:t>接入企业微信</w:t>
                  </w:r>
                  <w:r>
                    <w:rPr>
                      <w:rFonts w:hint="eastAsia" w:ascii="Times New Roman" w:hAnsi="Times New Roman" w:cs="Times New Roman"/>
                      <w:color w:val="000000" w:themeColor="text1"/>
                      <w14:textFill>
                        <w14:solidFill>
                          <w14:schemeClr w14:val="tx1"/>
                        </w14:solidFill>
                      </w14:textFill>
                    </w:rPr>
                    <w:t>，且可便捷迁移至其他平台如</w:t>
                  </w:r>
                  <w:r>
                    <w:rPr>
                      <w:rFonts w:ascii="Times New Roman" w:hAnsi="Times New Roman" w:cs="Times New Roman"/>
                      <w:color w:val="000000" w:themeColor="text1"/>
                      <w14:textFill>
                        <w14:solidFill>
                          <w14:schemeClr w14:val="tx1"/>
                        </w14:solidFill>
                      </w14:textFill>
                    </w:rPr>
                    <w:t>钉钉、微信小程序等</w:t>
                  </w:r>
                  <w:r>
                    <w:rPr>
                      <w:rFonts w:hint="eastAsia" w:ascii="Times New Roman" w:hAnsi="Times New Roman" w:cs="Times New Roman"/>
                      <w:color w:val="000000" w:themeColor="text1"/>
                      <w14:textFill>
                        <w14:solidFill>
                          <w14:schemeClr w14:val="tx1"/>
                        </w14:solidFill>
                      </w14:textFill>
                    </w:rPr>
                    <w:t>；</w:t>
                  </w:r>
                </w:p>
                <w:p w14:paraId="5E7372B7">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（3）移动端</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与PC端保持一致的访问地址，并支持多端实时同步调整</w:t>
                  </w:r>
                  <w:r>
                    <w:rPr>
                      <w:rFonts w:hint="eastAsia" w:ascii="Times New Roman" w:hAnsi="Times New Roman" w:cs="Times New Roman"/>
                      <w:color w:val="000000" w:themeColor="text1"/>
                      <w14:textFill>
                        <w14:solidFill>
                          <w14:schemeClr w14:val="tx1"/>
                        </w14:solidFill>
                      </w14:textFill>
                    </w:rPr>
                    <w:t>；</w:t>
                  </w:r>
                </w:p>
                <w:p w14:paraId="1A1418FB">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全文检索、快捷检索和按条件检索，且保存近期检索历史记录等</w:t>
                  </w:r>
                  <w:r>
                    <w:rPr>
                      <w:rFonts w:hint="eastAsia" w:ascii="Times New Roman" w:hAnsi="Times New Roman" w:cs="Times New Roman"/>
                      <w:color w:val="000000" w:themeColor="text1"/>
                      <w14:textFill>
                        <w14:solidFill>
                          <w14:schemeClr w14:val="tx1"/>
                        </w14:solidFill>
                      </w14:textFill>
                    </w:rPr>
                    <w:t>；</w:t>
                  </w:r>
                </w:p>
                <w:p w14:paraId="13FDDE07">
                  <w:pPr>
                    <w:adjustRightIn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（5）实现</w:t>
                  </w:r>
                  <w:r>
                    <w:rPr>
                      <w:rFonts w:ascii="Times New Roman" w:hAnsi="Times New Roman" w:cs="Times New Roman"/>
                      <w:color w:val="000000" w:themeColor="text1"/>
                      <w14:textFill>
                        <w14:solidFill>
                          <w14:schemeClr w14:val="tx1"/>
                        </w14:solidFill>
                      </w14:textFill>
                    </w:rPr>
                    <w:t>中英文</w:t>
                  </w:r>
                  <w:r>
                    <w:rPr>
                      <w:rFonts w:hint="eastAsia" w:ascii="Times New Roman" w:hAnsi="Times New Roman" w:cs="Times New Roman"/>
                      <w:color w:val="000000" w:themeColor="text1"/>
                      <w14:textFill>
                        <w14:solidFill>
                          <w14:schemeClr w14:val="tx1"/>
                        </w14:solidFill>
                      </w14:textFill>
                    </w:rPr>
                    <w:t>界面</w:t>
                  </w:r>
                  <w:r>
                    <w:rPr>
                      <w:rFonts w:ascii="Times New Roman" w:hAnsi="Times New Roman" w:cs="Times New Roman"/>
                      <w:color w:val="000000" w:themeColor="text1"/>
                      <w14:textFill>
                        <w14:solidFill>
                          <w14:schemeClr w14:val="tx1"/>
                        </w14:solidFill>
                      </w14:textFill>
                    </w:rPr>
                    <w:t>切换</w:t>
                  </w:r>
                  <w:r>
                    <w:rPr>
                      <w:rFonts w:hint="eastAsia" w:ascii="Times New Roman" w:hAnsi="Times New Roman" w:cs="Times New Roman"/>
                      <w:color w:val="000000" w:themeColor="text1"/>
                      <w14:textFill>
                        <w14:solidFill>
                          <w14:schemeClr w14:val="tx1"/>
                        </w14:solidFill>
                      </w14:textFill>
                    </w:rPr>
                    <w:t>。</w:t>
                  </w:r>
                </w:p>
                <w:p w14:paraId="0A55EA2B">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2.模块化与定制化</w:t>
                  </w:r>
                </w:p>
                <w:p w14:paraId="12E494E6">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PC端、移动端平台的主要功能均以模块化的形式体现，各个模块相互独立，使用者可以自由的针对双端平台的展示方案进行设计和调整，通过模板+卡片+部分个性化定制的方式，呈现面向不同对象，不同介质的统一门户页面</w:t>
                  </w:r>
                  <w:r>
                    <w:rPr>
                      <w:rFonts w:hint="eastAsia" w:ascii="Times New Roman" w:hAnsi="Times New Roman" w:cs="Times New Roman"/>
                      <w:color w:val="000000" w:themeColor="text1"/>
                      <w14:textFill>
                        <w14:solidFill>
                          <w14:schemeClr w14:val="tx1"/>
                        </w14:solidFill>
                      </w14:textFill>
                    </w:rPr>
                    <w:t>；（需要演示）</w:t>
                  </w:r>
                </w:p>
                <w:p w14:paraId="1D035CE6">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PC端、移动端页面模块管理、主题管理、卡片管理、标签管理。</w:t>
                  </w:r>
                </w:p>
                <w:p w14:paraId="1084E645">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定制PC端、移动端主题</w:t>
                  </w:r>
                  <w:r>
                    <w:rPr>
                      <w:rFonts w:hint="eastAsia" w:ascii="Times New Roman" w:hAnsi="Times New Roman" w:cs="Times New Roman"/>
                      <w:color w:val="000000" w:themeColor="text1"/>
                      <w14:textFill>
                        <w14:solidFill>
                          <w14:schemeClr w14:val="tx1"/>
                        </w14:solidFill>
                      </w14:textFill>
                    </w:rPr>
                    <w:t>；</w:t>
                  </w:r>
                </w:p>
                <w:p w14:paraId="73C2ED1D">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首页卡片弹窗，可设置卡片弹窗触发的规则及面向对象</w:t>
                  </w:r>
                  <w:r>
                    <w:rPr>
                      <w:rFonts w:hint="eastAsia" w:ascii="Times New Roman" w:hAnsi="Times New Roman" w:cs="Times New Roman"/>
                      <w:color w:val="000000" w:themeColor="text1"/>
                      <w14:textFill>
                        <w14:solidFill>
                          <w14:schemeClr w14:val="tx1"/>
                        </w14:solidFill>
                      </w14:textFill>
                    </w:rPr>
                    <w:t>。</w:t>
                  </w:r>
                </w:p>
                <w:p w14:paraId="4D45D8A6">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3.门户管理</w:t>
                  </w:r>
                </w:p>
                <w:p w14:paraId="613CDDEC">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查看、展示PC端、移动端的总体使用情况，提供门户访问分析、内容使用分析、用户行为分析进行可视化分析</w:t>
                  </w:r>
                  <w:r>
                    <w:rPr>
                      <w:rFonts w:hint="eastAsia" w:ascii="Times New Roman" w:hAnsi="Times New Roman" w:cs="Times New Roman"/>
                      <w:color w:val="000000" w:themeColor="text1"/>
                      <w14:textFill>
                        <w14:solidFill>
                          <w14:schemeClr w14:val="tx1"/>
                        </w14:solidFill>
                      </w14:textFill>
                    </w:rPr>
                    <w:t>；</w:t>
                  </w:r>
                </w:p>
                <w:p w14:paraId="34990A99">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第三方数据源配置，支持配置接入MySQL、SQLServer、PostgreSQL、Oracle、Kingbase8、达梦等数据库，支持数据在后台配置后即可作为卡片的接口，服务于门户前台卡片展示。</w:t>
                  </w:r>
                </w:p>
              </w:tc>
            </w:tr>
            <w:tr w14:paraId="164D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center"/>
                </w:tcPr>
                <w:p w14:paraId="4AF6465B">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个人数据聚合</w:t>
                  </w:r>
                </w:p>
              </w:tc>
              <w:tc>
                <w:tcPr>
                  <w:tcW w:w="4105" w:type="pct"/>
                  <w:vAlign w:val="center"/>
                </w:tcPr>
                <w:p w14:paraId="54F2D062">
                  <w:pPr>
                    <w:adjustRightIn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1.提供两套不同的主页，分别为教师主页、学生主页</w:t>
                  </w:r>
                  <w:r>
                    <w:rPr>
                      <w:rFonts w:hint="eastAsia" w:ascii="Times New Roman" w:hAnsi="Times New Roman" w:cs="Times New Roman"/>
                      <w:color w:val="000000" w:themeColor="text1"/>
                      <w14:textFill>
                        <w14:solidFill>
                          <w14:schemeClr w14:val="tx1"/>
                        </w14:solidFill>
                      </w14:textFill>
                    </w:rPr>
                    <w:t>；</w:t>
                  </w:r>
                </w:p>
                <w:p w14:paraId="30AE20E5">
                  <w:pPr>
                    <w:adjustRightInd w:val="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可调用其他平台个人数据，如消费信息、图书借阅信息等，在门户首页分类展示</w:t>
                  </w:r>
                  <w:r>
                    <w:rPr>
                      <w:rFonts w:hint="eastAsia" w:ascii="Times New Roman" w:hAnsi="Times New Roman" w:cs="Times New Roman"/>
                      <w:color w:val="000000" w:themeColor="text1"/>
                      <w14:textFill>
                        <w14:solidFill>
                          <w14:schemeClr w14:val="tx1"/>
                        </w14:solidFill>
                      </w14:textFill>
                    </w:rPr>
                    <w:t>；</w:t>
                  </w:r>
                </w:p>
                <w:p w14:paraId="26C29966">
                  <w:pPr>
                    <w:adjustRightIn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3.针对不同用户群体的信息获取或服务使用的差异，</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用户个性化管理页面，用户可对个人页面进行添加、编辑、删除、排序等操作。能够额外填个页面导航或重拍页面顺序。</w:t>
                  </w:r>
                </w:p>
              </w:tc>
            </w:tr>
            <w:tr w14:paraId="656D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center"/>
                </w:tcPr>
                <w:p w14:paraId="7089D922">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资讯聚合</w:t>
                  </w:r>
                </w:p>
              </w:tc>
              <w:tc>
                <w:tcPr>
                  <w:tcW w:w="4105" w:type="pct"/>
                  <w:vAlign w:val="center"/>
                </w:tcPr>
                <w:p w14:paraId="48DE03FA">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将学校官网、部门或二级学院网站中的通知公告、校内新闻、校历、校车信息等内容集成后分类展示</w:t>
                  </w:r>
                  <w:r>
                    <w:rPr>
                      <w:rFonts w:hint="eastAsia" w:ascii="Times New Roman" w:hAnsi="Times New Roman" w:cs="Times New Roman"/>
                      <w:color w:val="000000" w:themeColor="text1"/>
                      <w14:textFill>
                        <w14:solidFill>
                          <w14:schemeClr w14:val="tx1"/>
                        </w14:solidFill>
                      </w14:textFill>
                    </w:rPr>
                    <w:t>；</w:t>
                  </w:r>
                </w:p>
                <w:p w14:paraId="4B16DD52">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2.可手动添加频道并配置频道数据源，数据源抓取方式支持外部数据库、页面抓取、RSS</w:t>
                  </w:r>
                  <w:r>
                    <w:rPr>
                      <w:rFonts w:hint="eastAsia" w:ascii="Times New Roman" w:hAnsi="Times New Roman" w:cs="Times New Roman"/>
                      <w:color w:val="000000" w:themeColor="text1"/>
                      <w14:textFill>
                        <w14:solidFill>
                          <w14:schemeClr w14:val="tx1"/>
                        </w14:solidFill>
                      </w14:textFill>
                    </w:rPr>
                    <w:t>；</w:t>
                  </w:r>
                </w:p>
                <w:p w14:paraId="7C8BD3FC">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查看已添加的新闻站点列表，支持搜索、新增、编辑、删除站点，支持是否启用站点以及更新当前站点；</w:t>
                  </w:r>
                </w:p>
                <w:p w14:paraId="284F201E">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查看对应站点下已添加的栏目列表，浏览各栏目名称、抓取类型、资讯数量、启用状态以及最近更新时间，支持编辑、更新、删除栏目。</w:t>
                  </w:r>
                </w:p>
              </w:tc>
            </w:tr>
            <w:tr w14:paraId="04DF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center"/>
                </w:tcPr>
                <w:p w14:paraId="411B17BE">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服务、应用聚合</w:t>
                  </w:r>
                </w:p>
              </w:tc>
              <w:tc>
                <w:tcPr>
                  <w:tcW w:w="4105" w:type="pct"/>
                  <w:vAlign w:val="center"/>
                </w:tcPr>
                <w:p w14:paraId="717A1E65">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1.服务、应用接入</w:t>
                  </w:r>
                </w:p>
                <w:p w14:paraId="200F8BED">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（1）根据学校实际，把学校现有业务系统服务及应用接入至应用中心</w:t>
                  </w:r>
                  <w:r>
                    <w:rPr>
                      <w:rFonts w:hint="eastAsia" w:ascii="Times New Roman" w:hAnsi="Times New Roman" w:cs="Times New Roman"/>
                      <w:color w:val="000000" w:themeColor="text1"/>
                      <w14:textFill>
                        <w14:solidFill>
                          <w14:schemeClr w14:val="tx1"/>
                        </w14:solidFill>
                      </w14:textFill>
                    </w:rPr>
                    <w:t>；</w:t>
                  </w:r>
                </w:p>
                <w:p w14:paraId="14BA2823">
                  <w:pPr>
                    <w:adjustRightInd w:val="0"/>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（2）应用接入到系统后，可以进一步配置该应用所对接的认证协议参数，并进行应用授权</w:t>
                  </w:r>
                  <w:r>
                    <w:rPr>
                      <w:rFonts w:hint="eastAsia" w:ascii="Times New Roman" w:hAnsi="Times New Roman" w:cs="Times New Roman"/>
                      <w:color w:val="000000" w:themeColor="text1"/>
                      <w:szCs w:val="24"/>
                      <w14:textFill>
                        <w14:solidFill>
                          <w14:schemeClr w14:val="tx1"/>
                        </w14:solidFill>
                      </w14:textFill>
                    </w:rPr>
                    <w:t>；</w:t>
                  </w:r>
                </w:p>
                <w:p w14:paraId="6E99B8EB">
                  <w:pPr>
                    <w:adjustRightInd w:val="0"/>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（3）</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szCs w:val="24"/>
                      <w14:textFill>
                        <w14:solidFill>
                          <w14:schemeClr w14:val="tx1"/>
                        </w14:solidFill>
                      </w14:textFill>
                    </w:rPr>
                    <w:t>在应用中心集中展示所有应用数据，用户可对应用进行查询、收藏等操作，应用中心支持按学校部门、业务场景、服务类型等标签筛选。</w:t>
                  </w:r>
                </w:p>
                <w:p w14:paraId="46C15AFC">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2.公共服务中心</w:t>
                  </w:r>
                </w:p>
                <w:p w14:paraId="7B446DB0">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事务热度分享与推荐，有助于用户定位热门事务</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用户可一键发起事务办理</w:t>
                  </w:r>
                  <w:r>
                    <w:rPr>
                      <w:rFonts w:hint="eastAsia" w:ascii="Times New Roman" w:hAnsi="Times New Roman" w:cs="Times New Roman"/>
                      <w:color w:val="000000" w:themeColor="text1"/>
                      <w14:textFill>
                        <w14:solidFill>
                          <w14:schemeClr w14:val="tx1"/>
                        </w14:solidFill>
                      </w14:textFill>
                    </w:rPr>
                    <w:t>；</w:t>
                  </w:r>
                </w:p>
                <w:p w14:paraId="083BF9DC">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场景事务导航，可通过智能咨询，提供关键字、所属部门、事务分类、事务标签等开展智能事务推荐</w:t>
                  </w:r>
                  <w:r>
                    <w:rPr>
                      <w:rFonts w:hint="eastAsia" w:ascii="Times New Roman" w:hAnsi="Times New Roman" w:cs="Times New Roman"/>
                      <w:color w:val="000000" w:themeColor="text1"/>
                      <w14:textFill>
                        <w14:solidFill>
                          <w14:schemeClr w14:val="tx1"/>
                        </w14:solidFill>
                      </w14:textFill>
                    </w:rPr>
                    <w:t>；</w:t>
                  </w:r>
                </w:p>
                <w:p w14:paraId="42F0E5C0">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智能操作引导。智能操作引导具备简单引导和详细引导模式，并支持用户在查看引导操作过程中随时终止引导</w:t>
                  </w:r>
                  <w:r>
                    <w:rPr>
                      <w:rFonts w:hint="eastAsia" w:ascii="Times New Roman" w:hAnsi="Times New Roman" w:cs="Times New Roman"/>
                      <w:color w:val="000000" w:themeColor="text1"/>
                      <w14:textFill>
                        <w14:solidFill>
                          <w14:schemeClr w14:val="tx1"/>
                        </w14:solidFill>
                      </w14:textFill>
                    </w:rPr>
                    <w:t>；</w:t>
                  </w:r>
                </w:p>
                <w:p w14:paraId="280F8896">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搜索个人数据，包括用户在办事大厅的办事记录、日程记录及办事大厅为用户提供的服务信息等</w:t>
                  </w:r>
                  <w:r>
                    <w:rPr>
                      <w:rFonts w:hint="eastAsia" w:ascii="Times New Roman" w:hAnsi="Times New Roman" w:cs="Times New Roman"/>
                      <w:color w:val="000000" w:themeColor="text1"/>
                      <w14:textFill>
                        <w14:solidFill>
                          <w14:schemeClr w14:val="tx1"/>
                        </w14:solidFill>
                      </w14:textFill>
                    </w:rPr>
                    <w:t>；</w:t>
                  </w:r>
                </w:p>
                <w:p w14:paraId="2DFFD338">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通过智能化搜索与规范化数据分类，帮助用户快速定位查询内容。</w:t>
                  </w:r>
                </w:p>
                <w:p w14:paraId="281291D7">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（6）可以根据服务类型、使用频率等个性化显示，支持星标</w:t>
                  </w:r>
                  <w:r>
                    <w:rPr>
                      <w:rFonts w:hint="eastAsia" w:ascii="Times New Roman" w:hAnsi="Times New Roman" w:cs="Times New Roman"/>
                      <w:color w:val="000000" w:themeColor="text1"/>
                      <w14:textFill>
                        <w14:solidFill>
                          <w14:schemeClr w14:val="tx1"/>
                        </w14:solidFill>
                      </w14:textFill>
                    </w:rPr>
                    <w:t>；</w:t>
                  </w:r>
                </w:p>
                <w:p w14:paraId="63FA71C3">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各部门事务服务三张清单</w:t>
                  </w:r>
                  <w:r>
                    <w:rPr>
                      <w:rFonts w:hint="eastAsia" w:ascii="Times New Roman" w:hAnsi="Times New Roman" w:cs="Times New Roman"/>
                      <w:color w:val="000000" w:themeColor="text1"/>
                      <w14:textFill>
                        <w14:solidFill>
                          <w14:schemeClr w14:val="tx1"/>
                        </w14:solidFill>
                      </w14:textFill>
                    </w:rPr>
                    <w:t>展示</w:t>
                  </w:r>
                  <w:r>
                    <w:rPr>
                      <w:rFonts w:ascii="Times New Roman" w:hAnsi="Times New Roman" w:cs="Times New Roman"/>
                      <w:color w:val="000000" w:themeColor="text1"/>
                      <w14:textFill>
                        <w14:solidFill>
                          <w14:schemeClr w14:val="tx1"/>
                        </w14:solidFill>
                      </w14:textFill>
                    </w:rPr>
                    <w:t>，包括责任清单，服务清单和审批清单</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支持展示各部门基本信息，包括部门简介、办公地点、联系方式等信息；支持展示各部门责任清单，明确各部门的职责范围；支持展示各部门在办事大厅平台提供的服务清单，明确服务对象及服务类型；支持展示各部门在办事大厅平台需参与审批办理的审批清单，明确部门审批范围。</w:t>
                  </w:r>
                </w:p>
                <w:p w14:paraId="28C01A5E">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3.个人事务管理</w:t>
                  </w:r>
                </w:p>
                <w:p w14:paraId="4B4108F5">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集中展示待办、申请、关注、待阅、草稿等事项，能够看到申请事项的当前步骤与进度，时间点与状态等信息，点击相关事务可直接跳转</w:t>
                  </w:r>
                  <w:r>
                    <w:rPr>
                      <w:rFonts w:hint="eastAsia" w:ascii="Times New Roman" w:hAnsi="Times New Roman" w:cs="Times New Roman"/>
                      <w:color w:val="000000" w:themeColor="text1"/>
                      <w14:textFill>
                        <w14:solidFill>
                          <w14:schemeClr w14:val="tx1"/>
                        </w14:solidFill>
                      </w14:textFill>
                    </w:rPr>
                    <w:t>；</w:t>
                  </w:r>
                </w:p>
                <w:p w14:paraId="3AD38158">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（2）根据用户角色提供默认桌面卡片模板；用户也可以自定义卡片布局，进行个人主页卡片管理，也可以恢复默认</w:t>
                  </w:r>
                  <w:r>
                    <w:rPr>
                      <w:rFonts w:hint="eastAsia" w:ascii="Times New Roman" w:hAnsi="Times New Roman" w:cs="Times New Roman"/>
                      <w:color w:val="000000" w:themeColor="text1"/>
                      <w14:textFill>
                        <w14:solidFill>
                          <w14:schemeClr w14:val="tx1"/>
                        </w14:solidFill>
                      </w14:textFill>
                    </w:rPr>
                    <w:t>；</w:t>
                  </w:r>
                </w:p>
                <w:p w14:paraId="551A5674">
                  <w:pPr>
                    <w:widowControl/>
                    <w:adjustRightIn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个人事务统计，可通过年、月、周的统计维度，统计事务完成率，分析个人审批事务总数与个人事务耗时情况。</w:t>
                  </w:r>
                </w:p>
                <w:p w14:paraId="47BCFC72">
                  <w:pPr>
                    <w:widowControl/>
                    <w:adjustRightInd w:val="0"/>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4.服务配置管理</w:t>
                  </w:r>
                </w:p>
                <w:p w14:paraId="65F67A49">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（1）提供事务分类维护管理功能，实现学校业务域在事务上划分，提供基础的增删改查、停用/禁用等功能。根据事务属性提供类型划分，包括流程性事务及非流程性事务</w:t>
                  </w:r>
                  <w:r>
                    <w:rPr>
                      <w:rFonts w:hint="eastAsia" w:ascii="Times New Roman" w:hAnsi="Times New Roman" w:cs="Times New Roman"/>
                      <w:color w:val="000000" w:themeColor="text1"/>
                      <w14:textFill>
                        <w14:solidFill>
                          <w14:schemeClr w14:val="tx1"/>
                        </w14:solidFill>
                      </w14:textFill>
                    </w:rPr>
                    <w:t>；</w:t>
                  </w:r>
                </w:p>
                <w:p w14:paraId="3529FC81">
                  <w:pPr>
                    <w:widowControl/>
                    <w:adjustRightIn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（2）提供包括运营管理端、服务提供端、服务审核端、门户卡片端的相应内容，用于管理前台对应服务事项内容的维护</w:t>
                  </w:r>
                  <w:r>
                    <w:rPr>
                      <w:rFonts w:hint="eastAsia" w:ascii="Times New Roman" w:hAnsi="Times New Roman" w:cs="Times New Roman"/>
                      <w:color w:val="000000" w:themeColor="text1"/>
                      <w14:textFill>
                        <w14:solidFill>
                          <w14:schemeClr w14:val="tx1"/>
                        </w14:solidFill>
                      </w14:textFill>
                    </w:rPr>
                    <w:t>；</w:t>
                  </w:r>
                </w:p>
                <w:p w14:paraId="21F9AC03">
                  <w:pPr>
                    <w:widowControl/>
                    <w:adjustRightIn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（3）要为校内应用提供信息维护、发布注册、授权使用、统一协议配置、消息待办预与集成、应用内接口授权、应用下服务配置、应用访问日志等功能，能够统一发布管理，并打通PC门户、移动H5门户</w:t>
                  </w:r>
                  <w:r>
                    <w:rPr>
                      <w:rFonts w:hint="eastAsia" w:ascii="Times New Roman" w:hAnsi="Times New Roman" w:cs="Times New Roman"/>
                      <w:color w:val="000000" w:themeColor="text1"/>
                      <w14:textFill>
                        <w14:solidFill>
                          <w14:schemeClr w14:val="tx1"/>
                        </w14:solidFill>
                      </w14:textFill>
                    </w:rPr>
                    <w:t>；</w:t>
                  </w:r>
                </w:p>
                <w:p w14:paraId="2B4C46D5">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（4）具备任务中心、服务委派、操作记录查询、意见反馈、数据维护、批量审核、动态节点等必备功能。</w:t>
                  </w:r>
                </w:p>
              </w:tc>
            </w:tr>
            <w:tr w14:paraId="43DC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center"/>
                </w:tcPr>
                <w:p w14:paraId="6123A1E3">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14:textFill>
                        <w14:solidFill>
                          <w14:schemeClr w14:val="tx1"/>
                        </w14:solidFill>
                      </w14:textFill>
                    </w:rPr>
                    <w:t>流程服务构建引擎</w:t>
                  </w:r>
                </w:p>
              </w:tc>
              <w:tc>
                <w:tcPr>
                  <w:tcW w:w="4105" w:type="pct"/>
                  <w:vAlign w:val="center"/>
                </w:tcPr>
                <w:p w14:paraId="59298728">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1.流程服务构建中心</w:t>
                  </w:r>
                </w:p>
                <w:p w14:paraId="622A19C4">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（1）提供一套低代码的流程服务构建工具。使用市面主流标准参数实现流程设计、流程统计、流程干预、数据模型的构建</w:t>
                  </w:r>
                  <w:r>
                    <w:rPr>
                      <w:rFonts w:hint="eastAsia" w:ascii="Times New Roman" w:hAnsi="Times New Roman" w:cs="Times New Roman"/>
                      <w:color w:val="000000" w:themeColor="text1"/>
                      <w14:textFill>
                        <w14:solidFill>
                          <w14:schemeClr w14:val="tx1"/>
                        </w14:solidFill>
                      </w14:textFill>
                    </w:rPr>
                    <w:t>；</w:t>
                  </w:r>
                </w:p>
                <w:p w14:paraId="4AE0C5ED">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PC端网页表单、移动端H5网页表单、打印表单，PC端表单制作完成后，自动生成移动H5表单，无需重复制作表单</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不同的流程节点可关联不同的表单</w:t>
                  </w:r>
                  <w:r>
                    <w:rPr>
                      <w:rFonts w:hint="eastAsia" w:ascii="Times New Roman" w:hAnsi="Times New Roman" w:cs="Times New Roman"/>
                      <w:color w:val="000000" w:themeColor="text1"/>
                      <w14:textFill>
                        <w14:solidFill>
                          <w14:schemeClr w14:val="tx1"/>
                        </w14:solidFill>
                      </w14:textFill>
                    </w:rPr>
                    <w:t>；</w:t>
                  </w:r>
                </w:p>
                <w:p w14:paraId="50BDFA9B">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WEB方式可视化设计，提供拖拽式、所见即所得的图形化表单设计能力；简单便捷的表单制作，添加字段自动生成表格布局，不需要手工设置表单样式，可以对表单字段拖拽排序</w:t>
                  </w:r>
                  <w:r>
                    <w:rPr>
                      <w:rFonts w:hint="eastAsia" w:ascii="Times New Roman" w:hAnsi="Times New Roman" w:cs="Times New Roman"/>
                      <w:color w:val="000000" w:themeColor="text1"/>
                      <w14:textFill>
                        <w14:solidFill>
                          <w14:schemeClr w14:val="tx1"/>
                        </w14:solidFill>
                      </w14:textFill>
                    </w:rPr>
                    <w:t>；</w:t>
                  </w:r>
                </w:p>
                <w:p w14:paraId="50121FD2">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各类表单组件的增删改查，如业务字段组件、流程图组件、审核意见组件、栅格布局组件等均可以定制化配置</w:t>
                  </w:r>
                  <w:r>
                    <w:rPr>
                      <w:rFonts w:hint="eastAsia" w:ascii="Times New Roman" w:hAnsi="Times New Roman" w:cs="Times New Roman"/>
                      <w:color w:val="000000" w:themeColor="text1"/>
                      <w14:textFill>
                        <w14:solidFill>
                          <w14:schemeClr w14:val="tx1"/>
                        </w14:solidFill>
                      </w14:textFill>
                    </w:rPr>
                    <w:t>；</w:t>
                  </w:r>
                </w:p>
                <w:p w14:paraId="71155222">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（5）表单字段满足一定条件时，自动触发其他字段是否必填或自动拉取补充其他字段信息，实现数据联动、自动填写，还需支持表单公式或数据的自动计算，对填写的业务数据进行自动校验</w:t>
                  </w:r>
                  <w:r>
                    <w:rPr>
                      <w:rFonts w:hint="eastAsia" w:ascii="Times New Roman" w:hAnsi="Times New Roman" w:cs="Times New Roman"/>
                      <w:color w:val="000000" w:themeColor="text1"/>
                      <w14:textFill>
                        <w14:solidFill>
                          <w14:schemeClr w14:val="tx1"/>
                        </w14:solidFill>
                      </w14:textFill>
                    </w:rPr>
                    <w:t>；</w:t>
                  </w:r>
                </w:p>
                <w:p w14:paraId="5628432F">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提供</w:t>
                  </w:r>
                  <w:r>
                    <w:rPr>
                      <w:rFonts w:ascii="Times New Roman" w:hAnsi="Times New Roman" w:cs="Times New Roman"/>
                      <w:color w:val="000000" w:themeColor="text1"/>
                      <w14:textFill>
                        <w14:solidFill>
                          <w14:schemeClr w14:val="tx1"/>
                        </w14:solidFill>
                      </w14:textFill>
                    </w:rPr>
                    <w:t>自适应的表单打印模板，支持流程预览、流程模板管理和导出word、excel、pdf文件</w:t>
                  </w:r>
                  <w:r>
                    <w:rPr>
                      <w:rFonts w:hint="eastAsia" w:ascii="Times New Roman" w:hAnsi="Times New Roman" w:cs="Times New Roman"/>
                      <w:color w:val="000000" w:themeColor="text1"/>
                      <w14:textFill>
                        <w14:solidFill>
                          <w14:schemeClr w14:val="tx1"/>
                        </w14:solidFill>
                      </w14:textFill>
                    </w:rPr>
                    <w:t>；</w:t>
                  </w:r>
                </w:p>
                <w:p w14:paraId="225C42AB">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（7）提供报表引擎，构建的微服务支持按照表单字段生成数据报表</w:t>
                  </w:r>
                  <w:r>
                    <w:rPr>
                      <w:rFonts w:hint="eastAsia" w:ascii="Times New Roman" w:hAnsi="Times New Roman" w:cs="Times New Roman"/>
                      <w:color w:val="000000" w:themeColor="text1"/>
                      <w14:textFill>
                        <w14:solidFill>
                          <w14:schemeClr w14:val="tx1"/>
                        </w14:solidFill>
                      </w14:textFill>
                    </w:rPr>
                    <w:t>；</w:t>
                  </w:r>
                </w:p>
                <w:p w14:paraId="673B79B8">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w:t>
                  </w:r>
                  <w:r>
                    <w:rPr>
                      <w:rFonts w:hint="eastAsia" w:ascii="Times New Roman" w:hAnsi="Times New Roman" w:cs="Times New Roman"/>
                      <w:color w:val="000000" w:themeColor="text1"/>
                      <w:szCs w:val="24"/>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根据不同的需求构建不同的列表页面，如审核列表页、查询列表页、数据管理页面等，并支持搜索、增删查改、字段统计等功能</w:t>
                  </w:r>
                  <w:r>
                    <w:rPr>
                      <w:rFonts w:hint="eastAsia" w:ascii="Times New Roman" w:hAnsi="Times New Roman" w:cs="Times New Roman"/>
                      <w:color w:val="000000" w:themeColor="text1"/>
                      <w14:textFill>
                        <w14:solidFill>
                          <w14:schemeClr w14:val="tx1"/>
                        </w14:solidFill>
                      </w14:textFill>
                    </w:rPr>
                    <w:t>；</w:t>
                  </w:r>
                </w:p>
                <w:p w14:paraId="7D5E812A">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（9）提供流程流转需要的师生信息和任职人员管理模块，支持流程环节上处理人配置相应的组织任职人员；通过组织任职，可以根据组织找到对应的审核人员</w:t>
                  </w:r>
                  <w:r>
                    <w:rPr>
                      <w:rFonts w:hint="eastAsia" w:ascii="Times New Roman" w:hAnsi="Times New Roman" w:cs="Times New Roman"/>
                      <w:color w:val="000000" w:themeColor="text1"/>
                      <w14:textFill>
                        <w14:solidFill>
                          <w14:schemeClr w14:val="tx1"/>
                        </w14:solidFill>
                      </w14:textFill>
                    </w:rPr>
                    <w:t>；</w:t>
                  </w:r>
                </w:p>
                <w:p w14:paraId="6DA021F2">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要求</w:t>
                  </w:r>
                  <w:r>
                    <w:rPr>
                      <w:rFonts w:ascii="Times New Roman" w:hAnsi="Times New Roman" w:cs="Times New Roman"/>
                      <w:color w:val="000000" w:themeColor="text1"/>
                      <w14:textFill>
                        <w14:solidFill>
                          <w14:schemeClr w14:val="tx1"/>
                        </w14:solidFill>
                      </w14:textFill>
                    </w:rPr>
                    <w:t>流程引擎所能构建的服务数量无数量限制。</w:t>
                  </w:r>
                </w:p>
                <w:p w14:paraId="5941B01E">
                  <w:pPr>
                    <w:adjustRightIn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2.微服务配置</w:t>
                  </w:r>
                </w:p>
                <w:p w14:paraId="0F3DC055">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（1）采用可视化配置方式设计流程服务的功能菜单。菜单链接地址可以选择已设计完成的数据管理页面、表单页面、连接至其他应用程序URL</w:t>
                  </w:r>
                  <w:r>
                    <w:rPr>
                      <w:rFonts w:hint="eastAsia" w:ascii="Times New Roman" w:hAnsi="Times New Roman" w:cs="Times New Roman"/>
                      <w:color w:val="000000" w:themeColor="text1"/>
                      <w14:textFill>
                        <w14:solidFill>
                          <w14:schemeClr w14:val="tx1"/>
                        </w14:solidFill>
                      </w14:textFill>
                    </w:rPr>
                    <w:t>；</w:t>
                  </w:r>
                </w:p>
                <w:p w14:paraId="2DEB8B38">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（2）系统</w:t>
                  </w:r>
                  <w:r>
                    <w:rPr>
                      <w:rFonts w:hint="eastAsia" w:ascii="Times New Roman" w:hAnsi="Times New Roman" w:cs="Times New Roman"/>
                      <w:color w:val="000000" w:themeColor="text1"/>
                      <w14:textFill>
                        <w14:solidFill>
                          <w14:schemeClr w14:val="tx1"/>
                        </w14:solidFill>
                      </w14:textFill>
                    </w:rPr>
                    <w:t>应</w:t>
                  </w:r>
                  <w:r>
                    <w:rPr>
                      <w:rFonts w:ascii="Times New Roman" w:hAnsi="Times New Roman" w:cs="Times New Roman"/>
                      <w:color w:val="000000" w:themeColor="text1"/>
                      <w14:textFill>
                        <w14:solidFill>
                          <w14:schemeClr w14:val="tx1"/>
                        </w14:solidFill>
                      </w14:textFill>
                    </w:rPr>
                    <w:t>内置批次管理、权限管理、服务帮助、申请须知、统计分析、任职管理、消息发送模块，不同的微服务可根据实际需求选择使用</w:t>
                  </w:r>
                  <w:r>
                    <w:rPr>
                      <w:rFonts w:hint="eastAsia" w:ascii="Times New Roman" w:hAnsi="Times New Roman" w:cs="Times New Roman"/>
                      <w:color w:val="000000" w:themeColor="text1"/>
                      <w14:textFill>
                        <w14:solidFill>
                          <w14:schemeClr w14:val="tx1"/>
                        </w14:solidFill>
                      </w14:textFill>
                    </w:rPr>
                    <w:t>；</w:t>
                  </w:r>
                </w:p>
                <w:p w14:paraId="0B412F45">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（3）配置的菜单支持分角色授权，给不同的角色人员分配不同的菜单权限，权限颗粒度到功能按钮</w:t>
                  </w:r>
                  <w:r>
                    <w:rPr>
                      <w:rFonts w:hint="eastAsia" w:ascii="Times New Roman" w:hAnsi="Times New Roman" w:cs="Times New Roman"/>
                      <w:color w:val="000000" w:themeColor="text1"/>
                      <w14:textFill>
                        <w14:solidFill>
                          <w14:schemeClr w14:val="tx1"/>
                        </w14:solidFill>
                      </w14:textFill>
                    </w:rPr>
                    <w:t>；</w:t>
                  </w:r>
                </w:p>
                <w:p w14:paraId="2C8A424C">
                  <w:pPr>
                    <w:adjustRightIn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（4）构建的微服务在业务上要完整闭环，从业务完整性设计，既要满足师生用户的办事需求，也要满足管理者的业务管理需求。采用业务闭环的微型</w:t>
                  </w:r>
                  <w:r>
                    <w:rPr>
                      <w:rFonts w:hint="eastAsia" w:ascii="Times New Roman" w:hAnsi="Times New Roman" w:cs="Times New Roman"/>
                      <w:color w:val="000000" w:themeColor="text1"/>
                      <w14:textFill>
                        <w14:solidFill>
                          <w14:schemeClr w14:val="tx1"/>
                        </w14:solidFill>
                      </w14:textFill>
                    </w:rPr>
                    <w:t>信息管理系统</w:t>
                  </w:r>
                  <w:r>
                    <w:rPr>
                      <w:rFonts w:ascii="Times New Roman" w:hAnsi="Times New Roman" w:cs="Times New Roman"/>
                      <w:color w:val="000000" w:themeColor="text1"/>
                      <w14:textFill>
                        <w14:solidFill>
                          <w14:schemeClr w14:val="tx1"/>
                        </w14:solidFill>
                      </w14:textFill>
                    </w:rPr>
                    <w:t>方式构建，每个微服务都独立包含申请、审核、查询、统计分析、数据管理、流程配置、授权管理模块、以及其他业务管理模块。</w:t>
                  </w:r>
                  <w:r>
                    <w:rPr>
                      <w:rFonts w:hint="eastAsia" w:ascii="Times New Roman" w:hAnsi="Times New Roman" w:cs="Times New Roman"/>
                      <w:color w:val="000000" w:themeColor="text1"/>
                      <w14:textFill>
                        <w14:solidFill>
                          <w14:schemeClr w14:val="tx1"/>
                        </w14:solidFill>
                      </w14:textFill>
                    </w:rPr>
                    <w:t>（需要演示）</w:t>
                  </w:r>
                </w:p>
              </w:tc>
            </w:tr>
            <w:tr w14:paraId="6221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center"/>
                </w:tcPr>
                <w:p w14:paraId="3CE64BEB">
                  <w:pPr>
                    <w:adjustRightInd w:val="0"/>
                    <w:snapToGrid w:val="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统一消息</w:t>
                  </w:r>
                  <w:r>
                    <w:rPr>
                      <w:rFonts w:hint="eastAsia" w:ascii="Times New Roman" w:hAnsi="Times New Roman" w:cs="Times New Roman"/>
                      <w:color w:val="000000" w:themeColor="text1"/>
                      <w14:textFill>
                        <w14:solidFill>
                          <w14:schemeClr w14:val="tx1"/>
                        </w14:solidFill>
                      </w14:textFill>
                    </w:rPr>
                    <w:t>、待办及日程</w:t>
                  </w:r>
                  <w:r>
                    <w:rPr>
                      <w:rFonts w:ascii="Times New Roman" w:hAnsi="Times New Roman" w:cs="Times New Roman"/>
                      <w:color w:val="000000" w:themeColor="text1"/>
                      <w14:textFill>
                        <w14:solidFill>
                          <w14:schemeClr w14:val="tx1"/>
                        </w14:solidFill>
                      </w14:textFill>
                    </w:rPr>
                    <w:t>管理</w:t>
                  </w:r>
                </w:p>
              </w:tc>
              <w:tc>
                <w:tcPr>
                  <w:tcW w:w="4105" w:type="pct"/>
                  <w:vAlign w:val="center"/>
                </w:tcPr>
                <w:p w14:paraId="0546A940">
                  <w:pPr>
                    <w:widowControl/>
                    <w:adjustRightInd w:val="0"/>
                    <w:jc w:val="left"/>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1.消息运行管理</w:t>
                  </w:r>
                </w:p>
                <w:p w14:paraId="37A0E1BD">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（1）实现对校内各系统业务消息的统一发送和监管，要求所有应用系统都通过消息管理中心的接口进行消息推送，实现统一的消息提醒和发布机制</w:t>
                  </w:r>
                  <w:r>
                    <w:rPr>
                      <w:rFonts w:hint="eastAsia" w:ascii="Times New Roman" w:hAnsi="Times New Roman" w:cs="Times New Roman"/>
                      <w:color w:val="000000" w:themeColor="text1"/>
                      <w14:textFill>
                        <w14:solidFill>
                          <w14:schemeClr w14:val="tx1"/>
                        </w14:solidFill>
                      </w14:textFill>
                    </w:rPr>
                    <w:t>；</w:t>
                  </w:r>
                </w:p>
                <w:p w14:paraId="70272CEB">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（2）门户提供前端消息展现卡片，支持查看、搜索、类型过滤所有消息，并可设置全部已读或对重要消息标旗。此外，不能忽略或隐藏必读消息。应</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必读消息提醒</w:t>
                  </w:r>
                  <w:r>
                    <w:rPr>
                      <w:rFonts w:hint="eastAsia" w:ascii="Times New Roman" w:hAnsi="Times New Roman" w:cs="Times New Roman"/>
                      <w:color w:val="000000" w:themeColor="text1"/>
                      <w14:textFill>
                        <w14:solidFill>
                          <w14:schemeClr w14:val="tx1"/>
                        </w14:solidFill>
                      </w14:textFill>
                    </w:rPr>
                    <w:t>能力；</w:t>
                  </w:r>
                </w:p>
                <w:p w14:paraId="6487A5F0">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消息统计，包含统计总览、发送情况分析</w:t>
                  </w:r>
                  <w:r>
                    <w:rPr>
                      <w:rFonts w:hint="eastAsia" w:ascii="Times New Roman" w:hAnsi="Times New Roman" w:cs="Times New Roman"/>
                      <w:color w:val="000000" w:themeColor="text1"/>
                      <w14:textFill>
                        <w14:solidFill>
                          <w14:schemeClr w14:val="tx1"/>
                        </w14:solidFill>
                      </w14:textFill>
                    </w:rPr>
                    <w:t>；</w:t>
                  </w:r>
                </w:p>
                <w:p w14:paraId="404EFF26">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对新增应用进行设置，包括基本信息、消息类型、</w:t>
                  </w:r>
                  <w:r>
                    <w:rPr>
                      <w:rFonts w:hint="eastAsia" w:ascii="Times New Roman" w:hAnsi="Times New Roman" w:cs="Times New Roman"/>
                      <w:color w:val="000000" w:themeColor="text1"/>
                      <w14:textFill>
                        <w14:solidFill>
                          <w14:schemeClr w14:val="tx1"/>
                        </w14:solidFill>
                      </w14:textFill>
                    </w:rPr>
                    <w:t>消息</w:t>
                  </w:r>
                  <w:r>
                    <w:rPr>
                      <w:rFonts w:ascii="Times New Roman" w:hAnsi="Times New Roman" w:cs="Times New Roman"/>
                      <w:color w:val="000000" w:themeColor="text1"/>
                      <w14:textFill>
                        <w14:solidFill>
                          <w14:schemeClr w14:val="tx1"/>
                        </w14:solidFill>
                      </w14:textFill>
                    </w:rPr>
                    <w:t>渠道授权、接口授权、</w:t>
                  </w:r>
                  <w:r>
                    <w:rPr>
                      <w:rFonts w:hint="eastAsia" w:ascii="Times New Roman" w:hAnsi="Times New Roman" w:cs="Times New Roman"/>
                      <w:color w:val="000000" w:themeColor="text1"/>
                      <w14:textFill>
                        <w14:solidFill>
                          <w14:schemeClr w14:val="tx1"/>
                        </w14:solidFill>
                      </w14:textFill>
                    </w:rPr>
                    <w:t>消息</w:t>
                  </w:r>
                  <w:r>
                    <w:rPr>
                      <w:rFonts w:ascii="Times New Roman" w:hAnsi="Times New Roman" w:cs="Times New Roman"/>
                      <w:color w:val="000000" w:themeColor="text1"/>
                      <w14:textFill>
                        <w14:solidFill>
                          <w14:schemeClr w14:val="tx1"/>
                        </w14:solidFill>
                      </w14:textFill>
                    </w:rPr>
                    <w:t>应用模板</w:t>
                  </w:r>
                  <w:r>
                    <w:rPr>
                      <w:rFonts w:hint="eastAsia" w:ascii="Times New Roman" w:hAnsi="Times New Roman" w:cs="Times New Roman"/>
                      <w:color w:val="000000" w:themeColor="text1"/>
                      <w14:textFill>
                        <w14:solidFill>
                          <w14:schemeClr w14:val="tx1"/>
                        </w14:solidFill>
                      </w14:textFill>
                    </w:rPr>
                    <w:t>；</w:t>
                  </w:r>
                </w:p>
                <w:p w14:paraId="169DD4D9">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消息的参数管理和维护，如消息推送渠道（短信、站内信、企业微信等）、消息数量的限制、接收渠道、干预权限等</w:t>
                  </w:r>
                  <w:r>
                    <w:rPr>
                      <w:rFonts w:hint="eastAsia" w:ascii="Times New Roman" w:hAnsi="Times New Roman" w:cs="Times New Roman"/>
                      <w:color w:val="000000" w:themeColor="text1"/>
                      <w14:textFill>
                        <w14:solidFill>
                          <w14:schemeClr w14:val="tx1"/>
                        </w14:solidFill>
                      </w14:textFill>
                    </w:rPr>
                    <w:t>；</w:t>
                  </w:r>
                </w:p>
                <w:p w14:paraId="32021E1C">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消息的监控预警规则，支持安全策略新增、规则修改、启用、禁用和删除</w:t>
                  </w:r>
                  <w:r>
                    <w:rPr>
                      <w:rFonts w:hint="eastAsia" w:ascii="Times New Roman" w:hAnsi="Times New Roman" w:cs="Times New Roman"/>
                      <w:color w:val="000000" w:themeColor="text1"/>
                      <w14:textFill>
                        <w14:solidFill>
                          <w14:schemeClr w14:val="tx1"/>
                        </w14:solidFill>
                      </w14:textFill>
                    </w:rPr>
                    <w:t>；</w:t>
                  </w:r>
                </w:p>
                <w:p w14:paraId="10482109">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对消息的运行情况分析。如查看消息发送概况、应用消息和通道消息发送情况及发送时间段分析，以及消息阅读和应用使用情况分析</w:t>
                  </w:r>
                  <w:r>
                    <w:rPr>
                      <w:rFonts w:hint="eastAsia" w:ascii="Times New Roman" w:hAnsi="Times New Roman" w:cs="Times New Roman"/>
                      <w:color w:val="000000" w:themeColor="text1"/>
                      <w14:textFill>
                        <w14:solidFill>
                          <w14:schemeClr w14:val="tx1"/>
                        </w14:solidFill>
                      </w14:textFill>
                    </w:rPr>
                    <w:t>；</w:t>
                  </w:r>
                </w:p>
                <w:p w14:paraId="1F59F400">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编辑、配置临时消息推送策略</w:t>
                  </w:r>
                  <w:r>
                    <w:rPr>
                      <w:rFonts w:hint="eastAsia" w:ascii="Times New Roman" w:hAnsi="Times New Roman" w:cs="Times New Roman"/>
                      <w:color w:val="000000" w:themeColor="text1"/>
                      <w14:textFill>
                        <w14:solidFill>
                          <w14:schemeClr w14:val="tx1"/>
                        </w14:solidFill>
                      </w14:textFill>
                    </w:rPr>
                    <w:t>；</w:t>
                  </w:r>
                </w:p>
                <w:p w14:paraId="66E2EE94">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消息短信管理，支持选择组织机构内部门，对部门每月短信发送数量限额进行设置，支持限额修改、删除。支持通过部门编号、名称查询。</w:t>
                  </w:r>
                </w:p>
                <w:p w14:paraId="626BE697">
                  <w:pPr>
                    <w:widowControl/>
                    <w:adjustRightInd w:val="0"/>
                    <w:jc w:val="left"/>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2.待办管理</w:t>
                  </w:r>
                </w:p>
                <w:p w14:paraId="4C990003">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（1）能够集成和聚合其他业务系统中的待办业务，并集中展示，并支持流程查看以及任务处理等功能</w:t>
                  </w:r>
                  <w:r>
                    <w:rPr>
                      <w:rFonts w:hint="eastAsia" w:ascii="Times New Roman" w:hAnsi="Times New Roman" w:cs="Times New Roman"/>
                      <w:color w:val="000000" w:themeColor="text1"/>
                      <w14:textFill>
                        <w14:solidFill>
                          <w14:schemeClr w14:val="tx1"/>
                        </w14:solidFill>
                      </w14:textFill>
                    </w:rPr>
                    <w:t>；</w:t>
                  </w:r>
                </w:p>
                <w:p w14:paraId="7796D43B">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（2）任务中心需</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查看所有待办和已办任务数据，列表展示内容包括待办标题、所属应用、业务场景、任务状态、发起人、待处理人、接收时间及过期时间</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同时</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待办任务搜索功能</w:t>
                  </w:r>
                  <w:r>
                    <w:rPr>
                      <w:rFonts w:hint="eastAsia" w:ascii="Times New Roman" w:hAnsi="Times New Roman" w:cs="Times New Roman"/>
                      <w:color w:val="000000" w:themeColor="text1"/>
                      <w14:textFill>
                        <w14:solidFill>
                          <w14:schemeClr w14:val="tx1"/>
                        </w14:solidFill>
                      </w14:textFill>
                    </w:rPr>
                    <w:t>；</w:t>
                  </w:r>
                </w:p>
                <w:p w14:paraId="621215C7">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待办推送到企业微信/钉钉/微信小程序等,通过配置企业微信/钉钉/微信小程序等实现待办消息的推送</w:t>
                  </w:r>
                  <w:r>
                    <w:rPr>
                      <w:rFonts w:hint="eastAsia" w:ascii="Times New Roman" w:hAnsi="Times New Roman" w:cs="Times New Roman"/>
                      <w:color w:val="000000" w:themeColor="text1"/>
                      <w14:textFill>
                        <w14:solidFill>
                          <w14:schemeClr w14:val="tx1"/>
                        </w14:solidFill>
                      </w14:textFill>
                    </w:rPr>
                    <w:t>。</w:t>
                  </w:r>
                </w:p>
                <w:p w14:paraId="2682059C">
                  <w:pPr>
                    <w:widowControl/>
                    <w:adjustRightInd w:val="0"/>
                    <w:jc w:val="left"/>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3.日程管理</w:t>
                  </w:r>
                </w:p>
                <w:p w14:paraId="615B26BE">
                  <w:pPr>
                    <w:widowControl/>
                    <w:adjustRightIn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（1）提供日程聚合功能，以聚合展示学校课表、会议信息、活动信息等公共日历事件信息，以及个人日程事件信息</w:t>
                  </w:r>
                  <w:r>
                    <w:rPr>
                      <w:rFonts w:hint="eastAsia" w:ascii="Times New Roman" w:hAnsi="Times New Roman" w:cs="Times New Roman"/>
                      <w:color w:val="000000" w:themeColor="text1"/>
                      <w14:textFill>
                        <w14:solidFill>
                          <w14:schemeClr w14:val="tx1"/>
                        </w14:solidFill>
                      </w14:textFill>
                    </w:rPr>
                    <w:t>；</w:t>
                  </w:r>
                </w:p>
                <w:p w14:paraId="00D6C2FB">
                  <w:pPr>
                    <w:adjustRightInd w:val="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公共日历、个人日历和群组日历的集中管理，并支持通过外部数据库和插件类方式聚合日程信息。</w:t>
                  </w:r>
                </w:p>
              </w:tc>
            </w:tr>
          </w:tbl>
          <w:p w14:paraId="0ED0C80F">
            <w:pPr>
              <w:pStyle w:val="4"/>
              <w:widowControl/>
              <w:spacing w:beforeAutospacing="0" w:afterAutospacing="0" w:line="360" w:lineRule="auto"/>
              <w:jc w:val="both"/>
              <w:rPr>
                <w:rFonts w:hint="eastAsia" w:ascii="仿宋_GB2312" w:hAnsi="宋体" w:eastAsia="仿宋_GB2312" w:cs="宋体"/>
                <w:b/>
                <w:bCs/>
                <w:color w:val="000000" w:themeColor="text1"/>
                <w:sz w:val="28"/>
                <w:szCs w:val="28"/>
                <w:shd w:val="clear" w:color="auto" w:fill="FFFFFF"/>
                <w14:textFill>
                  <w14:solidFill>
                    <w14:schemeClr w14:val="tx1"/>
                  </w14:solidFill>
                </w14:textFill>
              </w:rPr>
            </w:pPr>
            <w:r>
              <w:rPr>
                <w:rFonts w:hint="eastAsia" w:ascii="仿宋_GB2312" w:hAnsi="宋体" w:eastAsia="仿宋_GB2312" w:cs="宋体"/>
                <w:b/>
                <w:bCs/>
                <w:color w:val="000000" w:themeColor="text1"/>
                <w:sz w:val="28"/>
                <w:szCs w:val="28"/>
                <w:shd w:val="clear" w:color="auto" w:fill="FFFFFF"/>
                <w14:textFill>
                  <w14:solidFill>
                    <w14:schemeClr w14:val="tx1"/>
                  </w14:solidFill>
                </w14:textFill>
              </w:rPr>
              <w:t>（2）统一身份认证平台</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4951"/>
            </w:tblGrid>
            <w:tr w14:paraId="7BD1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2" w:type="pct"/>
                  <w:vAlign w:val="center"/>
                </w:tcPr>
                <w:p w14:paraId="5633CCA4">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采购内容</w:t>
                  </w:r>
                </w:p>
              </w:tc>
              <w:tc>
                <w:tcPr>
                  <w:tcW w:w="4098" w:type="pct"/>
                  <w:vAlign w:val="center"/>
                </w:tcPr>
                <w:p w14:paraId="247F3282">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需求描述</w:t>
                  </w:r>
                </w:p>
              </w:tc>
            </w:tr>
            <w:tr w14:paraId="6390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vAlign w:val="center"/>
                </w:tcPr>
                <w:p w14:paraId="24F1BF25">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用户登陆、认证中心</w:t>
                  </w:r>
                </w:p>
              </w:tc>
              <w:tc>
                <w:tcPr>
                  <w:tcW w:w="4098" w:type="pct"/>
                  <w:vAlign w:val="center"/>
                </w:tcPr>
                <w:p w14:paraId="38254F99">
                  <w:pPr>
                    <w:widowControl/>
                    <w:adjustRightInd w:val="0"/>
                    <w:snapToGrid w:val="0"/>
                    <w:jc w:val="left"/>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1.用户中心</w:t>
                  </w:r>
                </w:p>
                <w:p w14:paraId="6E97FFFD">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▲（1）要满足身份认证基础服务，实现单点登录，登陆方式需与当前主流应用登陆方式一致，如指纹登陆、扫码登陆、短信动态登录、刷脸登陆等；支持QQ、微信、支付宝、企业微信授权登录等</w:t>
                  </w:r>
                  <w:r>
                    <w:rPr>
                      <w:rFonts w:hint="eastAsia" w:ascii="Times New Roman" w:hAnsi="Times New Roman" w:cs="Times New Roman"/>
                      <w:color w:val="000000" w:themeColor="text1"/>
                      <w14:textFill>
                        <w14:solidFill>
                          <w14:schemeClr w14:val="tx1"/>
                        </w14:solidFill>
                      </w14:textFill>
                    </w:rPr>
                    <w:t>；</w:t>
                  </w:r>
                </w:p>
                <w:p w14:paraId="76C75B35">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用户自助账号激活及账号发放功能，支持激活认证信息如身份证号码、学工号等信息的核验</w:t>
                  </w:r>
                  <w:r>
                    <w:rPr>
                      <w:rFonts w:hint="eastAsia" w:ascii="Times New Roman" w:hAnsi="Times New Roman" w:cs="Times New Roman"/>
                      <w:color w:val="000000" w:themeColor="text1"/>
                      <w14:textFill>
                        <w14:solidFill>
                          <w14:schemeClr w14:val="tx1"/>
                        </w14:solidFill>
                      </w14:textFill>
                    </w:rPr>
                    <w:t>；</w:t>
                  </w:r>
                </w:p>
                <w:p w14:paraId="0A90DEEA">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丰富的密码找回功能，如用户可以通过手机号、邮箱、安全问题、微信验证等方式找回密码</w:t>
                  </w:r>
                  <w:r>
                    <w:rPr>
                      <w:rFonts w:hint="eastAsia" w:ascii="Times New Roman" w:hAnsi="Times New Roman" w:cs="Times New Roman"/>
                      <w:color w:val="000000" w:themeColor="text1"/>
                      <w14:textFill>
                        <w14:solidFill>
                          <w14:schemeClr w14:val="tx1"/>
                        </w14:solidFill>
                      </w14:textFill>
                    </w:rPr>
                    <w:t>；</w:t>
                  </w:r>
                </w:p>
                <w:p w14:paraId="4FD76F08">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账号申诉功能，如出现冻结、信息不全等原因导致无法正常登陆，可以通过提交申诉资料进行解冻，申诉资料可以推送至管理员</w:t>
                  </w:r>
                  <w:r>
                    <w:rPr>
                      <w:rFonts w:hint="eastAsia" w:ascii="Times New Roman" w:hAnsi="Times New Roman" w:cs="Times New Roman"/>
                      <w:color w:val="000000" w:themeColor="text1"/>
                      <w14:textFill>
                        <w14:solidFill>
                          <w14:schemeClr w14:val="tx1"/>
                        </w14:solidFill>
                      </w14:textFill>
                    </w:rPr>
                    <w:t>；</w:t>
                  </w:r>
                </w:p>
                <w:p w14:paraId="574E64D1">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自主设置、修改关于账户的各类相关信息，绑定第三方账户信息等</w:t>
                  </w:r>
                  <w:r>
                    <w:rPr>
                      <w:rFonts w:hint="eastAsia" w:ascii="Times New Roman" w:hAnsi="Times New Roman" w:cs="Times New Roman"/>
                      <w:color w:val="000000" w:themeColor="text1"/>
                      <w14:textFill>
                        <w14:solidFill>
                          <w14:schemeClr w14:val="tx1"/>
                        </w14:solidFill>
                      </w14:textFill>
                    </w:rPr>
                    <w:t>；</w:t>
                  </w:r>
                </w:p>
                <w:p w14:paraId="69DAB90F">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用户查阅自己的相关操作，包括：当前登录记录、账号认证记录、密码维护记录、账号维护记录以及应用访问记录</w:t>
                  </w:r>
                  <w:r>
                    <w:rPr>
                      <w:rFonts w:hint="eastAsia" w:ascii="Times New Roman" w:hAnsi="Times New Roman" w:cs="Times New Roman"/>
                      <w:color w:val="000000" w:themeColor="text1"/>
                      <w14:textFill>
                        <w14:solidFill>
                          <w14:schemeClr w14:val="tx1"/>
                        </w14:solidFill>
                      </w14:textFill>
                    </w:rPr>
                    <w:t>；</w:t>
                  </w:r>
                </w:p>
                <w:p w14:paraId="676B27FA">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个性化主题切换、提示语提醒、帮助文档等服务</w:t>
                  </w:r>
                  <w:r>
                    <w:rPr>
                      <w:rFonts w:hint="eastAsia" w:ascii="Times New Roman" w:hAnsi="Times New Roman" w:cs="Times New Roman"/>
                      <w:color w:val="000000" w:themeColor="text1"/>
                      <w14:textFill>
                        <w14:solidFill>
                          <w14:schemeClr w14:val="tx1"/>
                        </w14:solidFill>
                      </w14:textFill>
                    </w:rPr>
                    <w:t>；</w:t>
                  </w:r>
                </w:p>
                <w:p w14:paraId="2FC5A34E">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（8）实现</w:t>
                  </w:r>
                  <w:r>
                    <w:rPr>
                      <w:rFonts w:ascii="Times New Roman" w:hAnsi="Times New Roman" w:cs="Times New Roman"/>
                      <w:color w:val="000000" w:themeColor="text1"/>
                      <w14:textFill>
                        <w14:solidFill>
                          <w14:schemeClr w14:val="tx1"/>
                        </w14:solidFill>
                      </w14:textFill>
                    </w:rPr>
                    <w:t>中英文</w:t>
                  </w:r>
                  <w:r>
                    <w:rPr>
                      <w:rFonts w:hint="eastAsia" w:ascii="Times New Roman" w:hAnsi="Times New Roman" w:cs="Times New Roman"/>
                      <w:color w:val="000000" w:themeColor="text1"/>
                      <w14:textFill>
                        <w14:solidFill>
                          <w14:schemeClr w14:val="tx1"/>
                        </w14:solidFill>
                      </w14:textFill>
                    </w:rPr>
                    <w:t>界面</w:t>
                  </w:r>
                  <w:r>
                    <w:rPr>
                      <w:rFonts w:ascii="Times New Roman" w:hAnsi="Times New Roman" w:cs="Times New Roman"/>
                      <w:color w:val="000000" w:themeColor="text1"/>
                      <w14:textFill>
                        <w14:solidFill>
                          <w14:schemeClr w14:val="tx1"/>
                        </w14:solidFill>
                      </w14:textFill>
                    </w:rPr>
                    <w:t>切换</w:t>
                  </w:r>
                  <w:r>
                    <w:rPr>
                      <w:rFonts w:hint="eastAsia" w:ascii="Times New Roman" w:hAnsi="Times New Roman" w:cs="Times New Roman"/>
                      <w:color w:val="000000" w:themeColor="text1"/>
                      <w14:textFill>
                        <w14:solidFill>
                          <w14:schemeClr w14:val="tx1"/>
                        </w14:solidFill>
                      </w14:textFill>
                    </w:rPr>
                    <w:t>。</w:t>
                  </w:r>
                </w:p>
                <w:p w14:paraId="538D36DC">
                  <w:p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2.管理中心</w:t>
                  </w:r>
                </w:p>
                <w:p w14:paraId="52E89F8C">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访问统计功能，能够实时查看用户登陆账户、修改密码、登录总次数、接入应用总数等内容，并且能够可视化呈现结果</w:t>
                  </w:r>
                  <w:r>
                    <w:rPr>
                      <w:rFonts w:hint="eastAsia" w:ascii="Times New Roman" w:hAnsi="Times New Roman" w:cs="Times New Roman"/>
                      <w:color w:val="000000" w:themeColor="text1"/>
                      <w14:textFill>
                        <w14:solidFill>
                          <w14:schemeClr w14:val="tx1"/>
                        </w14:solidFill>
                      </w14:textFill>
                    </w:rPr>
                    <w:t>；</w:t>
                  </w:r>
                </w:p>
                <w:p w14:paraId="76175510">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管理员对账户权限、状态的查询与操作</w:t>
                  </w:r>
                  <w:r>
                    <w:rPr>
                      <w:rFonts w:hint="eastAsia" w:ascii="Times New Roman" w:hAnsi="Times New Roman" w:cs="Times New Roman"/>
                      <w:color w:val="000000" w:themeColor="text1"/>
                      <w14:textFill>
                        <w14:solidFill>
                          <w14:schemeClr w14:val="tx1"/>
                        </w14:solidFill>
                      </w14:textFill>
                    </w:rPr>
                    <w:t>；</w:t>
                  </w:r>
                </w:p>
                <w:p w14:paraId="1E0463B3">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（3）提供用户数据模型，支持按照学校特点和应用现状设计用户、组、权限等模型，并按照模型设计完成数据存储。针对不同群体账号生命周期的分组、分类管理，可以单独或批量设置其权限状态</w:t>
                  </w:r>
                  <w:r>
                    <w:rPr>
                      <w:rFonts w:hint="eastAsia" w:ascii="Times New Roman" w:hAnsi="Times New Roman" w:cs="Times New Roman"/>
                      <w:color w:val="000000" w:themeColor="text1"/>
                      <w14:textFill>
                        <w14:solidFill>
                          <w14:schemeClr w14:val="tx1"/>
                        </w14:solidFill>
                      </w14:textFill>
                    </w:rPr>
                    <w:t>；</w:t>
                  </w:r>
                </w:p>
                <w:p w14:paraId="58AC99C0">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多种人员身份的标签管理，对校内各类人员标签信息进行梳理，建设全面、动态、精准、可持续的校级标签信息库</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p>
                <w:p w14:paraId="102935E9">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系统管理员对用户标签信息进行新建、删除、修改、查询、导出、启用/停用管理</w:t>
                  </w:r>
                  <w:r>
                    <w:rPr>
                      <w:rFonts w:hint="eastAsia" w:ascii="Times New Roman" w:hAnsi="Times New Roman" w:cs="Times New Roman"/>
                      <w:color w:val="000000" w:themeColor="text1"/>
                      <w14:textFill>
                        <w14:solidFill>
                          <w14:schemeClr w14:val="tx1"/>
                        </w14:solidFill>
                      </w14:textFill>
                    </w:rPr>
                    <w:t>；</w:t>
                  </w:r>
                </w:p>
                <w:p w14:paraId="49A5D300">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对各类参数如显示参数、登录参数、消息管理参数、账号同步参数等配置</w:t>
                  </w:r>
                  <w:r>
                    <w:rPr>
                      <w:rFonts w:hint="eastAsia" w:ascii="Times New Roman" w:hAnsi="Times New Roman" w:cs="Times New Roman"/>
                      <w:color w:val="000000" w:themeColor="text1"/>
                      <w14:textFill>
                        <w14:solidFill>
                          <w14:schemeClr w14:val="tx1"/>
                        </w14:solidFill>
                      </w14:textFill>
                    </w:rPr>
                    <w:t>；</w:t>
                  </w:r>
                </w:p>
                <w:p w14:paraId="01DA5131">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存放</w:t>
                  </w:r>
                  <w:r>
                    <w:rPr>
                      <w:rFonts w:ascii="Times New Roman" w:hAnsi="Times New Roman" w:cs="Times New Roman"/>
                      <w:color w:val="000000" w:themeColor="text1"/>
                      <w14:textFill>
                        <w14:solidFill>
                          <w14:schemeClr w14:val="tx1"/>
                        </w14:solidFill>
                      </w14:textFill>
                    </w:rPr>
                    <w:t>用户信息</w:t>
                  </w:r>
                  <w:r>
                    <w:rPr>
                      <w:rFonts w:hint="eastAsia" w:ascii="Times New Roman" w:hAnsi="Times New Roman" w:cs="Times New Roman"/>
                      <w:color w:val="000000" w:themeColor="text1"/>
                      <w14:textFill>
                        <w14:solidFill>
                          <w14:schemeClr w14:val="tx1"/>
                        </w14:solidFill>
                      </w14:textFill>
                    </w:rPr>
                    <w:t>的数据目录和数据库，实现与校级数据中心对接及按需</w:t>
                  </w:r>
                  <w:r>
                    <w:rPr>
                      <w:rFonts w:ascii="Times New Roman" w:hAnsi="Times New Roman" w:cs="Times New Roman"/>
                      <w:color w:val="000000" w:themeColor="text1"/>
                      <w14:textFill>
                        <w14:solidFill>
                          <w14:schemeClr w14:val="tx1"/>
                        </w14:solidFill>
                      </w14:textFill>
                    </w:rPr>
                    <w:t>实时同步，保证身份数据的一致性、及时性和完整性，为校园各类应用提供一致的用户信息访问。</w:t>
                  </w:r>
                </w:p>
                <w:p w14:paraId="1026E516">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3.安全</w:t>
                  </w:r>
                  <w:r>
                    <w:rPr>
                      <w:rFonts w:hint="eastAsia" w:ascii="Times New Roman" w:hAnsi="Times New Roman" w:cs="Times New Roman"/>
                      <w:b/>
                      <w:bCs/>
                      <w:color w:val="000000" w:themeColor="text1"/>
                      <w14:textFill>
                        <w14:solidFill>
                          <w14:schemeClr w14:val="tx1"/>
                        </w14:solidFill>
                      </w14:textFill>
                    </w:rPr>
                    <w:t>管理</w:t>
                  </w:r>
                </w:p>
                <w:p w14:paraId="7C803849">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账号审计与登陆日志审计功能。对长期未登录、弱密码用户、登陆IP异常等类型账户，支持一键查看与冻结等处理</w:t>
                  </w:r>
                  <w:r>
                    <w:rPr>
                      <w:rFonts w:hint="eastAsia" w:ascii="Times New Roman" w:hAnsi="Times New Roman" w:cs="Times New Roman"/>
                      <w:color w:val="000000" w:themeColor="text1"/>
                      <w14:textFill>
                        <w14:solidFill>
                          <w14:schemeClr w14:val="tx1"/>
                        </w14:solidFill>
                      </w14:textFill>
                    </w:rPr>
                    <w:t>；</w:t>
                  </w:r>
                </w:p>
                <w:p w14:paraId="71B04BE9">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帐号安全管理需求，系统应提供主动防御功能，对于常见的恶意登录或暴力破解，可自动冻结账号直至解冻。提供异常会话管理、休眠账号管理、恶意登录管理、冻结帐号管理、异常应用管理等相关功能。为满足用户安全访问系统的需求，提供二次认证、多因子登录的功能</w:t>
                  </w:r>
                  <w:r>
                    <w:rPr>
                      <w:rFonts w:hint="eastAsia" w:ascii="Times New Roman" w:hAnsi="Times New Roman" w:cs="Times New Roman"/>
                      <w:color w:val="000000" w:themeColor="text1"/>
                      <w14:textFill>
                        <w14:solidFill>
                          <w14:schemeClr w14:val="tx1"/>
                        </w14:solidFill>
                      </w14:textFill>
                    </w:rPr>
                    <w:t>；</w:t>
                  </w:r>
                </w:p>
                <w:p w14:paraId="6360F2DA">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密码黑名单功能，支持通过勾选的方式指定密码中不可包含的字符类型</w:t>
                  </w:r>
                  <w:r>
                    <w:rPr>
                      <w:rFonts w:hint="eastAsia" w:ascii="Times New Roman" w:hAnsi="Times New Roman" w:cs="Times New Roman"/>
                      <w:color w:val="000000" w:themeColor="text1"/>
                      <w14:textFill>
                        <w14:solidFill>
                          <w14:schemeClr w14:val="tx1"/>
                        </w14:solidFill>
                      </w14:textFill>
                    </w:rPr>
                    <w:t>；</w:t>
                  </w:r>
                </w:p>
                <w:p w14:paraId="099B5709">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（4）支持外部协议拓展，如第三方实人认证配置、WEBVPN无感登录、联合认证管理、数字证书CA认证等。 </w:t>
                  </w:r>
                </w:p>
                <w:p w14:paraId="0700C4F1">
                  <w:pPr>
                    <w:widowControl/>
                    <w:adjustRightInd w:val="0"/>
                    <w:snapToGrid w:val="0"/>
                    <w:jc w:val="left"/>
                    <w:textAlignment w:val="center"/>
                    <w:rPr>
                      <w:rFonts w:ascii="Times New Roman" w:hAnsi="Times New Roman" w:cs="Times New Roman"/>
                      <w:b/>
                      <w:bCs/>
                      <w:color w:val="000000" w:themeColor="text1"/>
                      <w14:textFill>
                        <w14:solidFill>
                          <w14:schemeClr w14:val="tx1"/>
                        </w14:solidFill>
                      </w14:textFill>
                    </w:rPr>
                  </w:pPr>
                </w:p>
              </w:tc>
            </w:tr>
          </w:tbl>
          <w:p w14:paraId="1A16BCC2">
            <w:pPr>
              <w:pStyle w:val="4"/>
              <w:widowControl/>
              <w:spacing w:beforeAutospacing="0" w:afterAutospacing="0" w:line="360" w:lineRule="auto"/>
              <w:jc w:val="both"/>
              <w:rPr>
                <w:rFonts w:hint="eastAsia" w:ascii="仿宋_GB2312" w:hAnsi="宋体" w:eastAsia="仿宋_GB2312" w:cs="宋体"/>
                <w:b/>
                <w:bCs/>
                <w:color w:val="000000" w:themeColor="text1"/>
                <w:sz w:val="28"/>
                <w:szCs w:val="28"/>
                <w:shd w:val="clear" w:color="auto" w:fill="FFFFFF"/>
                <w14:textFill>
                  <w14:solidFill>
                    <w14:schemeClr w14:val="tx1"/>
                  </w14:solidFill>
                </w14:textFill>
              </w:rPr>
            </w:pPr>
            <w:r>
              <w:rPr>
                <w:rFonts w:hint="eastAsia" w:ascii="仿宋_GB2312" w:hAnsi="宋体" w:eastAsia="仿宋_GB2312" w:cs="宋体"/>
                <w:b/>
                <w:bCs/>
                <w:color w:val="000000" w:themeColor="text1"/>
                <w:sz w:val="28"/>
                <w:szCs w:val="28"/>
                <w:shd w:val="clear" w:color="auto" w:fill="FFFFFF"/>
                <w14:textFill>
                  <w14:solidFill>
                    <w14:schemeClr w14:val="tx1"/>
                  </w14:solidFill>
                </w14:textFill>
              </w:rPr>
              <w:t>（3）数据中台</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4810"/>
            </w:tblGrid>
            <w:tr w14:paraId="4C5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1F1A10C8">
                  <w:pPr>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采购内容</w:t>
                  </w:r>
                </w:p>
              </w:tc>
              <w:tc>
                <w:tcPr>
                  <w:tcW w:w="3981" w:type="pct"/>
                </w:tcPr>
                <w:p w14:paraId="345A2A68">
                  <w:pPr>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需求描述</w:t>
                  </w:r>
                </w:p>
              </w:tc>
            </w:tr>
            <w:tr w14:paraId="432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9" w:type="pct"/>
                  <w:vAlign w:val="center"/>
                </w:tcPr>
                <w:p w14:paraId="5EE0E772">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元数据管理</w:t>
                  </w:r>
                </w:p>
              </w:tc>
              <w:tc>
                <w:tcPr>
                  <w:tcW w:w="3981" w:type="pct"/>
                </w:tcPr>
                <w:p w14:paraId="4372F292">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1.元模型管理</w:t>
                  </w:r>
                </w:p>
                <w:p w14:paraId="55D1D7B8">
                  <w:pPr>
                    <w:widowControl/>
                    <w:numPr>
                      <w:ilvl w:val="0"/>
                      <w:numId w:val="1"/>
                    </w:numPr>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实现内置关系型数据包、大数据包、文件系统包等常见元模型包，数据源、表、字段、视图、主键、外键、索引等常见元数据类型，并支持新增自定义的元模型与元数据属性；</w:t>
                  </w:r>
                </w:p>
                <w:p w14:paraId="6F3608CA">
                  <w:pPr>
                    <w:widowControl/>
                    <w:numPr>
                      <w:ilvl w:val="0"/>
                      <w:numId w:val="1"/>
                    </w:numPr>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实现在页面可视化管理元模型架构，包含关系型数据库元模型架构、任务元模型架构和仪表板元模型三种架构，支持元模型的新增、编辑、删除、查询等管理功能；</w:t>
                  </w:r>
                </w:p>
                <w:p w14:paraId="6C08D5B2">
                  <w:pPr>
                    <w:widowControl/>
                    <w:numPr>
                      <w:ilvl w:val="0"/>
                      <w:numId w:val="1"/>
                    </w:numPr>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支持查看元模型架构实例下展示包含的各级元数据的信息。</w:t>
                  </w:r>
                </w:p>
                <w:p w14:paraId="1B63C936">
                  <w:pPr>
                    <w:widowControl/>
                    <w:tabs>
                      <w:tab w:val="left" w:pos="312"/>
                    </w:tabs>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2.元数据采集</w:t>
                  </w:r>
                </w:p>
                <w:p w14:paraId="6E78DF64">
                  <w:pPr>
                    <w:widowControl/>
                    <w:numPr>
                      <w:ilvl w:val="0"/>
                      <w:numId w:val="2"/>
                    </w:numPr>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实现元数据采集，包括新增、删除和修改数据源，支持根据不同的数据源类型选择基本模式或URL模式登记数据源，绑定业务系统，并可以进行连接测试；</w:t>
                  </w:r>
                </w:p>
                <w:p w14:paraId="33E3F0B3">
                  <w:pPr>
                    <w:widowControl/>
                    <w:numPr>
                      <w:ilvl w:val="0"/>
                      <w:numId w:val="2"/>
                    </w:numPr>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新增、修改各种数据源类型适配器，支持内置常见的各种数据源类型适配器，如关系型系统数据库（MYSQL、POSTGRESQL、SQLSERVER、ORACLE）、国产数据库（达梦、人大金仓）、NoSQL（MongoDB、Redis、Elasticsearch）、大数据存储（Hive、openAPI）、MPP存储（AnalyticDB、Greenplum）、消息系统（Kafka）、文件系统（FTP、SFTP）等数据源；</w:t>
                  </w:r>
                </w:p>
                <w:p w14:paraId="6BD2159C">
                  <w:pPr>
                    <w:widowControl/>
                    <w:numPr>
                      <w:ilvl w:val="0"/>
                      <w:numId w:val="2"/>
                    </w:numPr>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实现元数据采集任务的配置功能，包括调度周期、采集名单和入库策略，支持定时或手动执行采集任务；</w:t>
                  </w:r>
                </w:p>
                <w:p w14:paraId="5198A783">
                  <w:pPr>
                    <w:widowControl/>
                    <w:numPr>
                      <w:ilvl w:val="0"/>
                      <w:numId w:val="2"/>
                    </w:numPr>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实现查询历史采集任务日志及详情。</w:t>
                  </w:r>
                </w:p>
                <w:p w14:paraId="5FC06280">
                  <w:pPr>
                    <w:widowControl/>
                    <w:tabs>
                      <w:tab w:val="left" w:pos="312"/>
                    </w:tabs>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3.元数据管理</w:t>
                  </w:r>
                </w:p>
                <w:p w14:paraId="4C556BA7">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元数据查询：</w:t>
                  </w:r>
                  <w:r>
                    <w:rPr>
                      <w:rFonts w:ascii="Times New Roman" w:hAnsi="Times New Roman" w:cs="Times New Roman"/>
                      <w:color w:val="000000" w:themeColor="text1"/>
                      <w14:textFill>
                        <w14:solidFill>
                          <w14:schemeClr w14:val="tx1"/>
                        </w14:solidFill>
                      </w14:textFill>
                    </w:rPr>
                    <w:t>实现在元数据中查看贴源层、标准层、主题层三层元数据，能以数据源-目录-表-字段的层级结构下钻查看每一级别、类型的元数据信息；实现百度式全局搜索所有的元数据，支持根据关键字搜索元数据；实现按照元数据类型、元数据来源、元数据版本等条件检索元数据；实现按照相关度与时间对搜索结果进行排序，下钻定位到详情页面。</w:t>
                  </w:r>
                </w:p>
                <w:p w14:paraId="6728732B">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版本管理：</w:t>
                  </w:r>
                  <w:r>
                    <w:rPr>
                      <w:rFonts w:ascii="Times New Roman" w:hAnsi="Times New Roman" w:cs="Times New Roman"/>
                      <w:color w:val="000000" w:themeColor="text1"/>
                      <w14:textFill>
                        <w14:solidFill>
                          <w14:schemeClr w14:val="tx1"/>
                        </w14:solidFill>
                      </w14:textFill>
                    </w:rPr>
                    <w:t>实现将贴源层、标准层、主题层的三层元数据作为一个整体进行发版操作，作为一个定版元数据保留历史记录，并自动更新一个版本号；实现查看元数据变更详情，查看具体表或视图的元数据新增、修改、删除的情况；实现查看元数据变更统计情况，以时间轴方式查看最近的变更历史；实现将不同版本元数据进行比对，以表格的形式展示不同版本之间不同元数据层次与类型的数量差距。</w:t>
                  </w:r>
                </w:p>
                <w:p w14:paraId="4BF2080A">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数据对标和代码对标：</w:t>
                  </w:r>
                  <w:r>
                    <w:rPr>
                      <w:rFonts w:ascii="Times New Roman" w:hAnsi="Times New Roman" w:cs="Times New Roman"/>
                      <w:color w:val="000000" w:themeColor="text1"/>
                      <w14:textFill>
                        <w14:solidFill>
                          <w14:schemeClr w14:val="tx1"/>
                        </w14:solidFill>
                      </w14:textFill>
                    </w:rPr>
                    <w:t>实现可视化数据对标方式，建立字段级别的映射关系；实现可视化代码对标方式，将源代码表与代码标准的字段建立映射关系；支持在对标的过程中进行扩标。</w:t>
                  </w:r>
                  <w:r>
                    <w:rPr>
                      <w:rFonts w:hint="eastAsia" w:ascii="Times New Roman" w:hAnsi="Times New Roman" w:cs="Times New Roman"/>
                      <w:color w:val="000000" w:themeColor="text1"/>
                      <w14:textFill>
                        <w14:solidFill>
                          <w14:schemeClr w14:val="tx1"/>
                        </w14:solidFill>
                      </w14:textFill>
                    </w:rPr>
                    <w:t>（需要演示）</w:t>
                  </w:r>
                </w:p>
                <w:p w14:paraId="06B9A53F">
                  <w:pPr>
                    <w:widowControl/>
                    <w:tabs>
                      <w:tab w:val="left" w:pos="312"/>
                    </w:tabs>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4.元数据分析：</w:t>
                  </w:r>
                  <w:r>
                    <w:rPr>
                      <w:rFonts w:ascii="Times New Roman" w:hAnsi="Times New Roman" w:cs="Times New Roman"/>
                      <w:color w:val="000000" w:themeColor="text1"/>
                      <w14:textFill>
                        <w14:solidFill>
                          <w14:schemeClr w14:val="tx1"/>
                        </w14:solidFill>
                      </w14:textFill>
                    </w:rPr>
                    <w:t>实现可视化图形方式查看元数据的上下游链路情况；实现全链路分析、影响分析和血缘分析，按照表级别或字段级别显示链路，支持定位到某一个张表某一具体的字段找到它的上下游字段。</w:t>
                  </w:r>
                  <w:r>
                    <w:rPr>
                      <w:rFonts w:hint="eastAsia" w:ascii="Times New Roman" w:hAnsi="Times New Roman" w:cs="Times New Roman"/>
                      <w:color w:val="000000" w:themeColor="text1"/>
                      <w14:textFill>
                        <w14:solidFill>
                          <w14:schemeClr w14:val="tx1"/>
                        </w14:solidFill>
                      </w14:textFill>
                    </w:rPr>
                    <w:t>（需要演示）</w:t>
                  </w:r>
                </w:p>
              </w:tc>
            </w:tr>
            <w:tr w14:paraId="2396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9" w:type="pct"/>
                  <w:vAlign w:val="center"/>
                </w:tcPr>
                <w:p w14:paraId="3F0D548E">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数据标准管理</w:t>
                  </w:r>
                </w:p>
              </w:tc>
              <w:tc>
                <w:tcPr>
                  <w:tcW w:w="3981" w:type="pct"/>
                </w:tcPr>
                <w:p w14:paraId="66BBF78B">
                  <w:p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1.基本要求</w:t>
                  </w:r>
                </w:p>
                <w:p w14:paraId="5FF0D6FE">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根据国家标准、教育部标准和行业标准，并结合我校数据特点进行归纳整理，建设一套符合学校实际的数据标准和标准代码，提供执行标准和参照标准两套标准，需实现对数据标准和标准代码的管理。</w:t>
                  </w:r>
                </w:p>
                <w:p w14:paraId="7F2B615F">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b/>
                      <w:bCs/>
                      <w:color w:val="000000" w:themeColor="text1"/>
                      <w:sz w:val="21"/>
                      <w14:textFill>
                        <w14:solidFill>
                          <w14:schemeClr w14:val="tx1"/>
                        </w14:solidFill>
                      </w14:textFill>
                    </w:rPr>
                    <w:t>2.数据标准管理</w:t>
                  </w:r>
                </w:p>
                <w:p w14:paraId="7FFF5202">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w:t>
                  </w:r>
                  <w:r>
                    <w:rPr>
                      <w:rFonts w:hint="eastAsia" w:ascii="Times New Roman" w:hAnsi="Times New Roman" w:cs="Times New Roman"/>
                      <w:color w:val="000000" w:themeColor="text1"/>
                      <w:sz w:val="21"/>
                      <w14:textFill>
                        <w14:solidFill>
                          <w14:schemeClr w14:val="tx1"/>
                        </w14:solidFill>
                      </w14:textFill>
                    </w:rPr>
                    <w:t>（1）</w:t>
                  </w:r>
                  <w:r>
                    <w:rPr>
                      <w:rFonts w:ascii="Times New Roman" w:hAnsi="Times New Roman" w:cs="Times New Roman"/>
                      <w:color w:val="000000" w:themeColor="text1"/>
                      <w:sz w:val="21"/>
                      <w14:textFill>
                        <w14:solidFill>
                          <w14:schemeClr w14:val="tx1"/>
                        </w14:solidFill>
                      </w14:textFill>
                    </w:rPr>
                    <w:t>数据元素属性包含业务属性、技术属性、管理属性等；数据元素的业务属性需包含数据元素分类、标识符、数据元素名称、汉语简拼、定义等；数据元素的技术属性包含数据类型、长度、精度、值域；数据元素的管理属性包含标准级别、标准引用来源、批准日期、版本等；</w:t>
                  </w:r>
                </w:p>
                <w:p w14:paraId="2AA47EFF">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（2）</w:t>
                  </w:r>
                  <w:r>
                    <w:rPr>
                      <w:rFonts w:ascii="Times New Roman" w:hAnsi="Times New Roman" w:cs="Times New Roman"/>
                      <w:color w:val="000000" w:themeColor="text1"/>
                      <w:sz w:val="21"/>
                      <w:lang w:eastAsia="zh-Hans"/>
                      <w14:textFill>
                        <w14:solidFill>
                          <w14:schemeClr w14:val="tx1"/>
                        </w14:solidFill>
                      </w14:textFill>
                    </w:rPr>
                    <w:t>实现批量导入数据元素</w:t>
                  </w:r>
                  <w:r>
                    <w:rPr>
                      <w:rFonts w:ascii="Times New Roman" w:hAnsi="Times New Roman" w:cs="Times New Roman"/>
                      <w:color w:val="000000" w:themeColor="text1"/>
                      <w:sz w:val="21"/>
                      <w14:textFill>
                        <w14:solidFill>
                          <w14:schemeClr w14:val="tx1"/>
                        </w14:solidFill>
                      </w14:textFill>
                    </w:rPr>
                    <w:t>标准；</w:t>
                  </w:r>
                </w:p>
                <w:p w14:paraId="0045A566">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（3）</w:t>
                  </w: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管理维护数据标准字段，包括字段名称、字段注释、字段类型长度、是否为空、是否主键等；</w:t>
                  </w:r>
                </w:p>
                <w:p w14:paraId="7927BC27">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（4）</w:t>
                  </w: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对数据标准版本变更进行管理，同一个数据元素的多个版本，仅能有一个版本处于标准状态；</w:t>
                  </w:r>
                </w:p>
                <w:p w14:paraId="50C507F1">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（5）</w:t>
                  </w: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对数据元素进行查询、新增、注册、标准落实、变更、废止等管理功能；</w:t>
                  </w:r>
                </w:p>
                <w:p w14:paraId="4CAA5DE5">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（6）</w:t>
                  </w: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将标准数据元素与代码表、编码规则、安全级别进行绑定；</w:t>
                  </w:r>
                </w:p>
                <w:p w14:paraId="5D472410">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（7）</w:t>
                  </w:r>
                  <w:r>
                    <w:rPr>
                      <w:rFonts w:ascii="Times New Roman" w:hAnsi="Times New Roman" w:cs="Times New Roman"/>
                      <w:color w:val="000000" w:themeColor="text1"/>
                      <w:sz w:val="21"/>
                      <w14:textFill>
                        <w14:solidFill>
                          <w14:schemeClr w14:val="tx1"/>
                        </w14:solidFill>
                      </w14:textFill>
                    </w:rPr>
                    <w:t>标准落实时，支持自动匹配数据中心内哪些字段与数据元素一致，</w:t>
                  </w: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批量选择进行标准落实，保证字段定义的标准化。</w:t>
                  </w:r>
                  <w:r>
                    <w:rPr>
                      <w:rFonts w:hint="eastAsia" w:ascii="Times New Roman" w:hAnsi="Times New Roman" w:cs="Times New Roman"/>
                      <w:color w:val="000000" w:themeColor="text1"/>
                      <w:sz w:val="21"/>
                      <w14:textFill>
                        <w14:solidFill>
                          <w14:schemeClr w14:val="tx1"/>
                        </w14:solidFill>
                      </w14:textFill>
                    </w:rPr>
                    <w:t>（需要演示）</w:t>
                  </w:r>
                </w:p>
                <w:p w14:paraId="098F69F0">
                  <w:pPr>
                    <w:pStyle w:val="2"/>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b/>
                      <w:bCs/>
                      <w:color w:val="000000" w:themeColor="text1"/>
                      <w:sz w:val="21"/>
                      <w14:textFill>
                        <w14:solidFill>
                          <w14:schemeClr w14:val="tx1"/>
                        </w14:solidFill>
                      </w14:textFill>
                    </w:rPr>
                    <w:t>3.标准代码管理</w:t>
                  </w:r>
                </w:p>
                <w:p w14:paraId="4FAE3EF7">
                  <w:pPr>
                    <w:pStyle w:val="2"/>
                    <w:numPr>
                      <w:ilvl w:val="0"/>
                      <w:numId w:val="3"/>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批量导入标准代码；</w:t>
                  </w:r>
                </w:p>
                <w:p w14:paraId="4B7D87C0">
                  <w:pPr>
                    <w:pStyle w:val="2"/>
                    <w:numPr>
                      <w:ilvl w:val="0"/>
                      <w:numId w:val="3"/>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可在线管理标准代码表，定义代码表的英文名、中文注释、代码项、代码值；</w:t>
                  </w:r>
                </w:p>
                <w:p w14:paraId="72C444E6">
                  <w:pPr>
                    <w:pStyle w:val="2"/>
                    <w:numPr>
                      <w:ilvl w:val="0"/>
                      <w:numId w:val="3"/>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标准代码分类的管理，包括新增、编辑、删除功能；</w:t>
                  </w:r>
                </w:p>
                <w:p w14:paraId="16A815C2">
                  <w:pPr>
                    <w:pStyle w:val="2"/>
                    <w:numPr>
                      <w:ilvl w:val="0"/>
                      <w:numId w:val="3"/>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将标准代码表与标准数据元素进行绑定，可查看所有引用了该代码表的表名称和字段名；</w:t>
                  </w:r>
                </w:p>
                <w:p w14:paraId="0CD38EB5">
                  <w:pPr>
                    <w:pStyle w:val="2"/>
                    <w:numPr>
                      <w:ilvl w:val="0"/>
                      <w:numId w:val="3"/>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对单个代码表的内容变化进行版本跟踪，每当内容发生变化时，自动生成新的版本，并留存历史版本的内容；</w:t>
                  </w:r>
                </w:p>
                <w:p w14:paraId="70BC06F7">
                  <w:pPr>
                    <w:pStyle w:val="2"/>
                    <w:numPr>
                      <w:ilvl w:val="0"/>
                      <w:numId w:val="3"/>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对标准代码表的集合进行版本管理，指定主版本作为生效版本；</w:t>
                  </w:r>
                </w:p>
                <w:p w14:paraId="21B764EC">
                  <w:pPr>
                    <w:pStyle w:val="2"/>
                    <w:numPr>
                      <w:ilvl w:val="0"/>
                      <w:numId w:val="3"/>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可对标准代码的不同版本进行内容差异比对，比对后可显示存在差异的详细信息。</w:t>
                  </w:r>
                </w:p>
                <w:p w14:paraId="6666162C">
                  <w:pPr>
                    <w:pStyle w:val="2"/>
                    <w:numPr>
                      <w:ilvl w:val="0"/>
                      <w:numId w:val="4"/>
                    </w:numPr>
                    <w:spacing w:line="240" w:lineRule="auto"/>
                    <w:ind w:firstLine="0" w:firstLineChars="0"/>
                    <w:rPr>
                      <w:rFonts w:ascii="Times New Roman" w:hAnsi="Times New Roman" w:cs="Times New Roman"/>
                      <w:b/>
                      <w:bCs/>
                      <w:color w:val="000000" w:themeColor="text1"/>
                      <w:sz w:val="21"/>
                      <w14:textFill>
                        <w14:solidFill>
                          <w14:schemeClr w14:val="tx1"/>
                        </w14:solidFill>
                      </w14:textFill>
                    </w:rPr>
                  </w:pPr>
                  <w:r>
                    <w:rPr>
                      <w:rFonts w:ascii="Times New Roman" w:hAnsi="Times New Roman" w:cs="Times New Roman"/>
                      <w:b/>
                      <w:bCs/>
                      <w:color w:val="000000" w:themeColor="text1"/>
                      <w:sz w:val="21"/>
                      <w14:textFill>
                        <w14:solidFill>
                          <w14:schemeClr w14:val="tx1"/>
                        </w14:solidFill>
                      </w14:textFill>
                    </w:rPr>
                    <w:t>标准发布</w:t>
                  </w:r>
                </w:p>
                <w:p w14:paraId="4428DEBE">
                  <w:pPr>
                    <w:pStyle w:val="2"/>
                    <w:numPr>
                      <w:ilvl w:val="0"/>
                      <w:numId w:val="5"/>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代码标准、数据元素标准、编码规范生成</w:t>
                  </w:r>
                  <w:r>
                    <w:rPr>
                      <w:rFonts w:ascii="Times New Roman" w:hAnsi="Times New Roman" w:cs="Times New Roman"/>
                      <w:color w:val="000000" w:themeColor="text1"/>
                      <w:sz w:val="21"/>
                      <w:lang w:eastAsia="zh-Hans"/>
                      <w14:textFill>
                        <w14:solidFill>
                          <w14:schemeClr w14:val="tx1"/>
                        </w14:solidFill>
                      </w14:textFill>
                    </w:rPr>
                    <w:t>或导入</w:t>
                  </w:r>
                  <w:r>
                    <w:rPr>
                      <w:rFonts w:ascii="Times New Roman" w:hAnsi="Times New Roman" w:cs="Times New Roman"/>
                      <w:color w:val="000000" w:themeColor="text1"/>
                      <w:sz w:val="21"/>
                      <w14:textFill>
                        <w14:solidFill>
                          <w14:schemeClr w14:val="tx1"/>
                        </w14:solidFill>
                      </w14:textFill>
                    </w:rPr>
                    <w:t>、发布</w:t>
                  </w:r>
                  <w:r>
                    <w:rPr>
                      <w:rFonts w:ascii="Times New Roman" w:hAnsi="Times New Roman" w:cs="Times New Roman"/>
                      <w:color w:val="000000" w:themeColor="text1"/>
                      <w:sz w:val="21"/>
                      <w:lang w:eastAsia="zh-Hans"/>
                      <w14:textFill>
                        <w14:solidFill>
                          <w14:schemeClr w14:val="tx1"/>
                        </w14:solidFill>
                      </w14:textFill>
                    </w:rPr>
                    <w:t>申请</w:t>
                  </w:r>
                  <w:r>
                    <w:rPr>
                      <w:rFonts w:ascii="Times New Roman" w:hAnsi="Times New Roman" w:cs="Times New Roman"/>
                      <w:color w:val="000000" w:themeColor="text1"/>
                      <w:sz w:val="21"/>
                      <w14:textFill>
                        <w14:solidFill>
                          <w14:schemeClr w14:val="tx1"/>
                        </w14:solidFill>
                      </w14:textFill>
                    </w:rPr>
                    <w:t>、</w:t>
                  </w:r>
                  <w:r>
                    <w:rPr>
                      <w:rFonts w:ascii="Times New Roman" w:hAnsi="Times New Roman" w:cs="Times New Roman"/>
                      <w:color w:val="000000" w:themeColor="text1"/>
                      <w:sz w:val="21"/>
                      <w:lang w:eastAsia="zh-Hans"/>
                      <w14:textFill>
                        <w14:solidFill>
                          <w14:schemeClr w14:val="tx1"/>
                        </w14:solidFill>
                      </w14:textFill>
                    </w:rPr>
                    <w:t>发布审核流程管理，支持查询、</w:t>
                  </w:r>
                  <w:r>
                    <w:rPr>
                      <w:rFonts w:ascii="Times New Roman" w:hAnsi="Times New Roman" w:cs="Times New Roman"/>
                      <w:color w:val="000000" w:themeColor="text1"/>
                      <w:sz w:val="21"/>
                      <w14:textFill>
                        <w14:solidFill>
                          <w14:schemeClr w14:val="tx1"/>
                        </w14:solidFill>
                      </w14:textFill>
                    </w:rPr>
                    <w:t>作废、删除、门户可见、门户隐藏</w:t>
                  </w:r>
                  <w:r>
                    <w:rPr>
                      <w:rFonts w:ascii="Times New Roman" w:hAnsi="Times New Roman" w:cs="Times New Roman"/>
                      <w:color w:val="000000" w:themeColor="text1"/>
                      <w:sz w:val="21"/>
                      <w:lang w:eastAsia="zh-Hans"/>
                      <w14:textFill>
                        <w14:solidFill>
                          <w14:schemeClr w14:val="tx1"/>
                        </w14:solidFill>
                      </w14:textFill>
                    </w:rPr>
                    <w:t>等操作</w:t>
                  </w:r>
                  <w:r>
                    <w:rPr>
                      <w:rFonts w:ascii="Times New Roman" w:hAnsi="Times New Roman" w:cs="Times New Roman"/>
                      <w:color w:val="000000" w:themeColor="text1"/>
                      <w:sz w:val="21"/>
                      <w14:textFill>
                        <w14:solidFill>
                          <w14:schemeClr w14:val="tx1"/>
                        </w14:solidFill>
                      </w14:textFill>
                    </w:rPr>
                    <w:t>；</w:t>
                  </w:r>
                </w:p>
                <w:p w14:paraId="41A2E7F5">
                  <w:pPr>
                    <w:pStyle w:val="2"/>
                    <w:numPr>
                      <w:ilvl w:val="0"/>
                      <w:numId w:val="5"/>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编码规范文件上传管理，支持pdf、doc、docx、png、jpg、jpeg、xls、xlsx、zip等文件格式；</w:t>
                  </w:r>
                </w:p>
                <w:p w14:paraId="11D0312C">
                  <w:pPr>
                    <w:pStyle w:val="2"/>
                    <w:numPr>
                      <w:ilvl w:val="0"/>
                      <w:numId w:val="5"/>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代码标准、数据元素标准、编码规范发布时</w:t>
                  </w:r>
                  <w:r>
                    <w:rPr>
                      <w:rFonts w:ascii="Times New Roman" w:hAnsi="Times New Roman" w:cs="Times New Roman"/>
                      <w:color w:val="000000" w:themeColor="text1"/>
                      <w:sz w:val="21"/>
                      <w:lang w:eastAsia="zh-Hans"/>
                      <w14:textFill>
                        <w14:solidFill>
                          <w14:schemeClr w14:val="tx1"/>
                        </w14:solidFill>
                      </w14:textFill>
                    </w:rPr>
                    <w:t>实现设置</w:t>
                  </w:r>
                  <w:r>
                    <w:rPr>
                      <w:rFonts w:ascii="Times New Roman" w:hAnsi="Times New Roman" w:cs="Times New Roman"/>
                      <w:color w:val="000000" w:themeColor="text1"/>
                      <w:sz w:val="21"/>
                      <w14:textFill>
                        <w14:solidFill>
                          <w14:schemeClr w14:val="tx1"/>
                        </w14:solidFill>
                      </w14:textFill>
                    </w:rPr>
                    <w:t>标准号、实施日期、替代标准；</w:t>
                  </w:r>
                </w:p>
                <w:p w14:paraId="2B1DEA98">
                  <w:pPr>
                    <w:pStyle w:val="2"/>
                    <w:numPr>
                      <w:ilvl w:val="0"/>
                      <w:numId w:val="5"/>
                    </w:numPr>
                    <w:spacing w:line="240" w:lineRule="auto"/>
                    <w:ind w:firstLine="0" w:firstLineChars="0"/>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代码标准</w:t>
                  </w:r>
                  <w:r>
                    <w:rPr>
                      <w:rFonts w:ascii="Times New Roman" w:hAnsi="Times New Roman" w:cs="Times New Roman"/>
                      <w:color w:val="000000" w:themeColor="text1"/>
                      <w:sz w:val="21"/>
                      <w:lang w:eastAsia="zh-Hans"/>
                      <w14:textFill>
                        <w14:solidFill>
                          <w14:schemeClr w14:val="tx1"/>
                        </w14:solidFill>
                      </w14:textFill>
                    </w:rPr>
                    <w:t>和</w:t>
                  </w:r>
                  <w:r>
                    <w:rPr>
                      <w:rFonts w:ascii="Times New Roman" w:hAnsi="Times New Roman" w:cs="Times New Roman"/>
                      <w:color w:val="000000" w:themeColor="text1"/>
                      <w:sz w:val="21"/>
                      <w14:textFill>
                        <w14:solidFill>
                          <w14:schemeClr w14:val="tx1"/>
                        </w14:solidFill>
                      </w14:textFill>
                    </w:rPr>
                    <w:t>数据元素标准</w:t>
                  </w:r>
                  <w:r>
                    <w:rPr>
                      <w:rFonts w:ascii="Times New Roman" w:hAnsi="Times New Roman" w:cs="Times New Roman"/>
                      <w:color w:val="000000" w:themeColor="text1"/>
                      <w:sz w:val="21"/>
                      <w:lang w:eastAsia="zh-Hans"/>
                      <w14:textFill>
                        <w14:solidFill>
                          <w14:schemeClr w14:val="tx1"/>
                        </w14:solidFill>
                      </w14:textFill>
                    </w:rPr>
                    <w:t>实现</w:t>
                  </w:r>
                  <w:r>
                    <w:rPr>
                      <w:rFonts w:ascii="Times New Roman" w:hAnsi="Times New Roman" w:cs="Times New Roman"/>
                      <w:color w:val="000000" w:themeColor="text1"/>
                      <w:sz w:val="21"/>
                      <w14:textFill>
                        <w14:solidFill>
                          <w14:schemeClr w14:val="tx1"/>
                        </w14:solidFill>
                      </w14:textFill>
                    </w:rPr>
                    <w:t>PDF文件下载及预览。</w:t>
                  </w:r>
                </w:p>
              </w:tc>
            </w:tr>
            <w:tr w14:paraId="535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16F24DD1">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数据集成管理</w:t>
                  </w:r>
                </w:p>
              </w:tc>
              <w:tc>
                <w:tcPr>
                  <w:tcW w:w="3981" w:type="pct"/>
                </w:tcPr>
                <w:p w14:paraId="6D84AC52">
                  <w:pPr>
                    <w:numPr>
                      <w:ilvl w:val="0"/>
                      <w:numId w:val="6"/>
                    </w:numPr>
                    <w:adjustRightInd w:val="0"/>
                    <w:snapToGrid w:val="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数据集成</w:t>
                  </w:r>
                </w:p>
                <w:p w14:paraId="7892F241">
                  <w:pPr>
                    <w:numPr>
                      <w:ilvl w:val="0"/>
                      <w:numId w:val="7"/>
                    </w:numPr>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提供外部数据源管理，可按来源库与目标库的维度对数据源进行分类管理，支持添加数据源标识与责任单位；</w:t>
                  </w:r>
                </w:p>
                <w:p w14:paraId="7F34A30B">
                  <w:pPr>
                    <w:numPr>
                      <w:ilvl w:val="0"/>
                      <w:numId w:val="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对所有数据集成的数据源做统一化管理，提供数据源登记、修改和删除功能。</w:t>
                  </w:r>
                  <w:r>
                    <w:rPr>
                      <w:rFonts w:hint="eastAsia" w:ascii="Times New Roman" w:hAnsi="Times New Roman" w:cs="Times New Roman"/>
                      <w:color w:val="000000" w:themeColor="text1"/>
                      <w14:textFill>
                        <w14:solidFill>
                          <w14:schemeClr w14:val="tx1"/>
                        </w14:solidFill>
                      </w14:textFill>
                    </w:rPr>
                    <w:t>支持</w:t>
                  </w:r>
                  <w:r>
                    <w:rPr>
                      <w:rFonts w:ascii="Times New Roman" w:hAnsi="Times New Roman" w:cs="Times New Roman"/>
                      <w:color w:val="000000" w:themeColor="text1"/>
                      <w14:textFill>
                        <w14:solidFill>
                          <w14:schemeClr w14:val="tx1"/>
                        </w14:solidFill>
                      </w14:textFill>
                    </w:rPr>
                    <w:t>关系型系统数据库（MYSQL、POSTGRESQL、SQLSERVER、ORACLE）、国产数据库（达梦、人大金仓）、NoSQL（MongoDB、Redis、Elasticsearch）、大数据存储（Hive、openAPI）、MPP存储（AnalyticDB、Greenplum）、消息系统（Kafka）、文件系统（FTP、SFTP）</w:t>
                  </w:r>
                  <w:r>
                    <w:rPr>
                      <w:rFonts w:hint="eastAsia" w:ascii="Times New Roman" w:hAnsi="Times New Roman" w:cs="Times New Roman"/>
                      <w:color w:val="000000" w:themeColor="text1"/>
                      <w14:textFill>
                        <w14:solidFill>
                          <w14:schemeClr w14:val="tx1"/>
                        </w14:solidFill>
                      </w14:textFill>
                    </w:rPr>
                    <w:t>。</w:t>
                  </w:r>
                </w:p>
                <w:p w14:paraId="1F27E2A5">
                  <w:pPr>
                    <w:numPr>
                      <w:ilvl w:val="0"/>
                      <w:numId w:val="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对学校的各类中间库进行统一的管理和配置详情的查看、连接状态的测试；</w:t>
                  </w:r>
                </w:p>
                <w:p w14:paraId="1EF78A21">
                  <w:pPr>
                    <w:numPr>
                      <w:ilvl w:val="0"/>
                      <w:numId w:val="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对线下电子表格数据进行采集入库、标准化处理、线上化维护的能力；</w:t>
                  </w:r>
                  <w:r>
                    <w:rPr>
                      <w:rFonts w:hint="eastAsia" w:ascii="Times New Roman" w:hAnsi="Times New Roman" w:cs="Times New Roman"/>
                      <w:color w:val="000000" w:themeColor="text1"/>
                      <w14:textFill>
                        <w14:solidFill>
                          <w14:schemeClr w14:val="tx1"/>
                        </w14:solidFill>
                      </w14:textFill>
                    </w:rPr>
                    <w:t>（需要演示）</w:t>
                  </w:r>
                </w:p>
                <w:p w14:paraId="034F2BBC">
                  <w:pPr>
                    <w:numPr>
                      <w:ilvl w:val="0"/>
                      <w:numId w:val="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对集成任务的管理，包括任务的新增、删除、修改、查询和执行；</w:t>
                  </w:r>
                </w:p>
                <w:p w14:paraId="4A157612">
                  <w:pPr>
                    <w:numPr>
                      <w:ilvl w:val="0"/>
                      <w:numId w:val="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可视化、低代码的数据集成方式，支持管理所有数据同步任务，并提供离线数据集成和实时数据集成的能力</w:t>
                  </w:r>
                  <w:r>
                    <w:rPr>
                      <w:rFonts w:hint="eastAsia" w:ascii="Times New Roman" w:hAnsi="Times New Roman" w:cs="Times New Roman"/>
                      <w:color w:val="000000" w:themeColor="text1"/>
                      <w14:textFill>
                        <w14:solidFill>
                          <w14:schemeClr w14:val="tx1"/>
                        </w14:solidFill>
                      </w14:textFill>
                    </w:rPr>
                    <w:t>；（需要演示）</w:t>
                  </w:r>
                </w:p>
                <w:p w14:paraId="1672546A">
                  <w:pPr>
                    <w:numPr>
                      <w:ilvl w:val="0"/>
                      <w:numId w:val="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离线同步支持常见MySQL、Oracle、SQLServer、PostgreSQL、人大金仓、达梦等关系型数据库以及MongoDB、ElasticSearch等NoSQL数据库的离线集成；实时同步支持MySQL、Oracle、SQLServer、PostgreSQL、Kafka等多种数据源类型的实时集成</w:t>
                  </w:r>
                  <w:r>
                    <w:rPr>
                      <w:rFonts w:hint="eastAsia" w:ascii="Times New Roman" w:hAnsi="Times New Roman" w:cs="Times New Roman"/>
                      <w:color w:val="000000" w:themeColor="text1"/>
                      <w14:textFill>
                        <w14:solidFill>
                          <w14:schemeClr w14:val="tx1"/>
                        </w14:solidFill>
                      </w14:textFill>
                    </w:rPr>
                    <w:t>；</w:t>
                  </w:r>
                </w:p>
                <w:p w14:paraId="009232D5">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（8）</w:t>
                  </w: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数据过滤和增量同步，自动记录上一次数据同步位置，实现数据自动增量同步；</w:t>
                  </w:r>
                </w:p>
                <w:p w14:paraId="773A8C3F">
                  <w:pPr>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（9）</w:t>
                  </w: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断点续传，可从任务失败的地方开始继续同步，针对长时间同步任务，避免失败后数据得全量重新同步。；</w:t>
                  </w:r>
                </w:p>
                <w:p w14:paraId="5D6A1FBE">
                  <w:pPr>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提供向导式配置整库同步任务，选择来源数据源和去向数据源，可配置是否自动建目标表，</w:t>
                  </w: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直接写入或清空目标表后写入两种写入规则。可对整库同步任务进行上下线、手动执行操作，可查看整库下各表的数据同步情况。</w:t>
                  </w:r>
                </w:p>
                <w:p w14:paraId="3A75EC0F">
                  <w:pPr>
                    <w:tabs>
                      <w:tab w:val="left" w:pos="312"/>
                    </w:tabs>
                    <w:adjustRightInd w:val="0"/>
                    <w:snapToGrid w:val="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2.文件集成</w:t>
                  </w:r>
                </w:p>
                <w:p w14:paraId="373AAAE5">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线下非结构化文档的归集和数据解析</w:t>
                  </w:r>
                  <w:r>
                    <w:rPr>
                      <w:rFonts w:hint="eastAsia" w:ascii="Times New Roman" w:hAnsi="Times New Roman" w:cs="Times New Roman"/>
                      <w:color w:val="000000" w:themeColor="text1"/>
                      <w14:textFill>
                        <w14:solidFill>
                          <w14:schemeClr w14:val="tx1"/>
                        </w14:solidFill>
                      </w14:textFill>
                    </w:rPr>
                    <w:t>；（需要演示）</w:t>
                  </w:r>
                </w:p>
                <w:p w14:paraId="2FD8F83A">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可对各种半结构化数据进行解析</w:t>
                  </w:r>
                  <w:r>
                    <w:rPr>
                      <w:rFonts w:hint="eastAsia" w:ascii="Times New Roman" w:hAnsi="Times New Roman" w:cs="Times New Roman"/>
                      <w:color w:val="000000" w:themeColor="text1"/>
                      <w14:textFill>
                        <w14:solidFill>
                          <w14:schemeClr w14:val="tx1"/>
                        </w14:solidFill>
                      </w14:textFill>
                    </w:rPr>
                    <w:t>入库</w:t>
                  </w:r>
                  <w:r>
                    <w:rPr>
                      <w:rFonts w:ascii="Times New Roman" w:hAnsi="Times New Roman" w:cs="Times New Roman"/>
                      <w:color w:val="000000" w:themeColor="text1"/>
                      <w14:textFill>
                        <w14:solidFill>
                          <w14:schemeClr w14:val="tx1"/>
                        </w14:solidFill>
                      </w14:textFill>
                    </w:rPr>
                    <w:t>，支持文件解析类型包括csv、txt、excel、xml、json等；</w:t>
                  </w:r>
                </w:p>
                <w:p w14:paraId="60C9DD7C">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管理所有文件集成任务，可查看集成任务运行详情和运行日志。</w:t>
                  </w:r>
                </w:p>
                <w:p w14:paraId="0B05CF78">
                  <w:pPr>
                    <w:tabs>
                      <w:tab w:val="left" w:pos="312"/>
                    </w:tabs>
                    <w:adjustRightInd w:val="0"/>
                    <w:snapToGrid w:val="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3.日志集成</w:t>
                  </w:r>
                </w:p>
                <w:p w14:paraId="2F941A2A">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日志数据的实时采集与解析，提供向导式配置日志集成任务。</w:t>
                  </w:r>
                  <w:r>
                    <w:rPr>
                      <w:rFonts w:hint="eastAsia" w:ascii="Times New Roman" w:hAnsi="Times New Roman" w:cs="Times New Roman"/>
                      <w:color w:val="000000" w:themeColor="text1"/>
                      <w14:textFill>
                        <w14:solidFill>
                          <w14:schemeClr w14:val="tx1"/>
                        </w14:solidFill>
                      </w14:textFill>
                    </w:rPr>
                    <w:t>（需要演示）</w:t>
                  </w:r>
                </w:p>
                <w:p w14:paraId="53D88644">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内置多种日志集成解析模板，包括网络设备类、系统类、安全类、网络行为类等日志集成模版。</w:t>
                  </w:r>
                </w:p>
                <w:p w14:paraId="1CA57545">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所有可部署采集器的服务器的登记注册管理。</w:t>
                  </w:r>
                </w:p>
              </w:tc>
            </w:tr>
            <w:tr w14:paraId="56D9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16849D13">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数据仓库管理</w:t>
                  </w:r>
                </w:p>
              </w:tc>
              <w:tc>
                <w:tcPr>
                  <w:tcW w:w="3981" w:type="pct"/>
                </w:tcPr>
                <w:p w14:paraId="06F38223">
                  <w:pPr>
                    <w:numPr>
                      <w:ilvl w:val="0"/>
                      <w:numId w:val="8"/>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贴源层管理</w:t>
                  </w:r>
                </w:p>
                <w:p w14:paraId="5060508A">
                  <w:pPr>
                    <w:numPr>
                      <w:ilvl w:val="0"/>
                      <w:numId w:val="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贴源层</w:t>
                  </w:r>
                  <w:r>
                    <w:rPr>
                      <w:rFonts w:ascii="Times New Roman" w:hAnsi="Times New Roman" w:cs="Times New Roman"/>
                      <w:color w:val="000000" w:themeColor="text1"/>
                      <w:lang w:eastAsia="zh-Hans"/>
                      <w14:textFill>
                        <w14:solidFill>
                          <w14:schemeClr w14:val="tx1"/>
                        </w14:solidFill>
                      </w14:textFill>
                    </w:rPr>
                    <w:t>实现批量</w:t>
                  </w:r>
                  <w:r>
                    <w:rPr>
                      <w:rFonts w:ascii="Times New Roman" w:hAnsi="Times New Roman" w:cs="Times New Roman"/>
                      <w:color w:val="000000" w:themeColor="text1"/>
                      <w14:textFill>
                        <w14:solidFill>
                          <w14:schemeClr w14:val="tx1"/>
                        </w14:solidFill>
                      </w14:textFill>
                    </w:rPr>
                    <w:t>将外部数据源中的表和数据采集到贴源层，</w:t>
                  </w:r>
                  <w:r>
                    <w:rPr>
                      <w:rFonts w:ascii="Times New Roman" w:hAnsi="Times New Roman" w:cs="Times New Roman"/>
                      <w:color w:val="000000" w:themeColor="text1"/>
                      <w:lang w:eastAsia="zh-Hans"/>
                      <w14:textFill>
                        <w14:solidFill>
                          <w14:schemeClr w14:val="tx1"/>
                        </w14:solidFill>
                      </w14:textFill>
                    </w:rPr>
                    <w:t>采集时支持</w:t>
                  </w:r>
                  <w:r>
                    <w:rPr>
                      <w:rFonts w:ascii="Times New Roman" w:hAnsi="Times New Roman" w:cs="Times New Roman"/>
                      <w:color w:val="000000" w:themeColor="text1"/>
                      <w14:textFill>
                        <w14:solidFill>
                          <w14:schemeClr w14:val="tx1"/>
                        </w14:solidFill>
                      </w14:textFill>
                    </w:rPr>
                    <w:t>全量或增量</w:t>
                  </w:r>
                  <w:r>
                    <w:rPr>
                      <w:rFonts w:ascii="Times New Roman" w:hAnsi="Times New Roman" w:cs="Times New Roman"/>
                      <w:color w:val="000000" w:themeColor="text1"/>
                      <w:lang w:eastAsia="zh-Hans"/>
                      <w14:textFill>
                        <w14:solidFill>
                          <w14:schemeClr w14:val="tx1"/>
                        </w14:solidFill>
                      </w14:textFill>
                    </w:rPr>
                    <w:t>采集</w:t>
                  </w:r>
                  <w:r>
                    <w:rPr>
                      <w:rFonts w:ascii="Times New Roman" w:hAnsi="Times New Roman" w:cs="Times New Roman"/>
                      <w:color w:val="000000" w:themeColor="text1"/>
                      <w14:textFill>
                        <w14:solidFill>
                          <w14:schemeClr w14:val="tx1"/>
                        </w14:solidFill>
                      </w14:textFill>
                    </w:rPr>
                    <w:t>；</w:t>
                  </w:r>
                </w:p>
                <w:p w14:paraId="66178287">
                  <w:pPr>
                    <w:numPr>
                      <w:ilvl w:val="0"/>
                      <w:numId w:val="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为方便对贴源层中数据表的管理，实现将贴源层的表按照贴源表和贴源代码进行分类管理；</w:t>
                  </w:r>
                </w:p>
                <w:p w14:paraId="687DAFCE">
                  <w:pPr>
                    <w:numPr>
                      <w:ilvl w:val="0"/>
                      <w:numId w:val="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贴源代码值自动映射功能，支持贴源代码表与标准</w:t>
                  </w:r>
                  <w:r>
                    <w:rPr>
                      <w:rFonts w:ascii="Times New Roman" w:hAnsi="Times New Roman" w:cs="Times New Roman"/>
                      <w:color w:val="000000" w:themeColor="text1"/>
                      <w:lang w:eastAsia="zh-Hans"/>
                      <w14:textFill>
                        <w14:solidFill>
                          <w14:schemeClr w14:val="tx1"/>
                        </w14:solidFill>
                      </w14:textFill>
                    </w:rPr>
                    <w:t>代码</w:t>
                  </w:r>
                  <w:r>
                    <w:rPr>
                      <w:rFonts w:ascii="Times New Roman" w:hAnsi="Times New Roman" w:cs="Times New Roman"/>
                      <w:color w:val="000000" w:themeColor="text1"/>
                      <w14:textFill>
                        <w14:solidFill>
                          <w14:schemeClr w14:val="tx1"/>
                        </w14:solidFill>
                      </w14:textFill>
                    </w:rPr>
                    <w:t>匹配映射关系；</w:t>
                  </w:r>
                </w:p>
                <w:p w14:paraId="758EDFF7">
                  <w:pPr>
                    <w:numPr>
                      <w:ilvl w:val="0"/>
                      <w:numId w:val="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查看贴源表的详情概览，展示源头表信息与本表信息；</w:t>
                  </w:r>
                </w:p>
                <w:p w14:paraId="4D42A486">
                  <w:pPr>
                    <w:numPr>
                      <w:ilvl w:val="0"/>
                      <w:numId w:val="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自定义数据清洗规则过滤脏数据，过滤的数据归集为黑名单数据，支持对黑名单数据进行查询；</w:t>
                  </w:r>
                </w:p>
                <w:p w14:paraId="3361A581">
                  <w:pPr>
                    <w:numPr>
                      <w:ilvl w:val="0"/>
                      <w:numId w:val="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贴源表、标准表的数据血缘关系管理，以外部数据源、贴源层、标准层、主题层等节点查看数据的上游与下游数据流转关系。</w:t>
                  </w:r>
                </w:p>
                <w:p w14:paraId="61862601">
                  <w:pPr>
                    <w:numPr>
                      <w:ilvl w:val="0"/>
                      <w:numId w:val="8"/>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标准层管理</w:t>
                  </w:r>
                </w:p>
                <w:p w14:paraId="228CE9B7">
                  <w:pPr>
                    <w:numPr>
                      <w:ilvl w:val="0"/>
                      <w:numId w:val="1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按业务域、业务子域和业务单元三级对标准层数据模型进行分类管理；</w:t>
                  </w:r>
                </w:p>
                <w:p w14:paraId="360209D4">
                  <w:pPr>
                    <w:numPr>
                      <w:ilvl w:val="0"/>
                      <w:numId w:val="1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实现批量导入</w:t>
                  </w:r>
                  <w:r>
                    <w:rPr>
                      <w:rFonts w:ascii="Times New Roman" w:hAnsi="Times New Roman" w:cs="Times New Roman"/>
                      <w:color w:val="000000" w:themeColor="text1"/>
                      <w14:textFill>
                        <w14:solidFill>
                          <w14:schemeClr w14:val="tx1"/>
                        </w14:solidFill>
                      </w14:textFill>
                    </w:rPr>
                    <w:t>标准</w:t>
                  </w:r>
                  <w:r>
                    <w:rPr>
                      <w:rFonts w:ascii="Times New Roman" w:hAnsi="Times New Roman" w:cs="Times New Roman"/>
                      <w:color w:val="000000" w:themeColor="text1"/>
                      <w:lang w:eastAsia="zh-Hans"/>
                      <w14:textFill>
                        <w14:solidFill>
                          <w14:schemeClr w14:val="tx1"/>
                        </w14:solidFill>
                      </w14:textFill>
                    </w:rPr>
                    <w:t>层数据模型</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eastAsia="zh-Hans"/>
                      <w14:textFill>
                        <w14:solidFill>
                          <w14:schemeClr w14:val="tx1"/>
                        </w14:solidFill>
                      </w14:textFill>
                    </w:rPr>
                    <w:t>导入</w:t>
                  </w:r>
                  <w:r>
                    <w:rPr>
                      <w:rFonts w:ascii="Times New Roman" w:hAnsi="Times New Roman" w:cs="Times New Roman"/>
                      <w:color w:val="000000" w:themeColor="text1"/>
                      <w14:textFill>
                        <w14:solidFill>
                          <w14:schemeClr w14:val="tx1"/>
                        </w14:solidFill>
                      </w14:textFill>
                    </w:rPr>
                    <w:t>时支持对相关</w:t>
                  </w:r>
                  <w:r>
                    <w:rPr>
                      <w:rFonts w:ascii="Times New Roman" w:hAnsi="Times New Roman" w:cs="Times New Roman"/>
                      <w:color w:val="000000" w:themeColor="text1"/>
                      <w:lang w:eastAsia="zh-Hans"/>
                      <w14:textFill>
                        <w14:solidFill>
                          <w14:schemeClr w14:val="tx1"/>
                        </w14:solidFill>
                      </w14:textFill>
                    </w:rPr>
                    <w:t>引用</w:t>
                  </w:r>
                  <w:r>
                    <w:rPr>
                      <w:rFonts w:ascii="Times New Roman" w:hAnsi="Times New Roman" w:cs="Times New Roman"/>
                      <w:color w:val="000000" w:themeColor="text1"/>
                      <w14:textFill>
                        <w14:solidFill>
                          <w14:schemeClr w14:val="tx1"/>
                        </w14:solidFill>
                      </w14:textFill>
                    </w:rPr>
                    <w:t>表、</w:t>
                  </w:r>
                  <w:r>
                    <w:rPr>
                      <w:rFonts w:ascii="Times New Roman" w:hAnsi="Times New Roman" w:cs="Times New Roman"/>
                      <w:color w:val="000000" w:themeColor="text1"/>
                      <w:lang w:eastAsia="zh-Hans"/>
                      <w14:textFill>
                        <w14:solidFill>
                          <w14:schemeClr w14:val="tx1"/>
                        </w14:solidFill>
                      </w14:textFill>
                    </w:rPr>
                    <w:t>引用代码表</w:t>
                  </w:r>
                  <w:r>
                    <w:rPr>
                      <w:rFonts w:ascii="Times New Roman" w:hAnsi="Times New Roman" w:cs="Times New Roman"/>
                      <w:color w:val="000000" w:themeColor="text1"/>
                      <w14:textFill>
                        <w14:solidFill>
                          <w14:schemeClr w14:val="tx1"/>
                        </w14:solidFill>
                      </w14:textFill>
                    </w:rPr>
                    <w:t>进行同步</w:t>
                  </w:r>
                  <w:r>
                    <w:rPr>
                      <w:rFonts w:ascii="Times New Roman" w:hAnsi="Times New Roman" w:cs="Times New Roman"/>
                      <w:color w:val="000000" w:themeColor="text1"/>
                      <w:lang w:eastAsia="zh-Hans"/>
                      <w14:textFill>
                        <w14:solidFill>
                          <w14:schemeClr w14:val="tx1"/>
                        </w14:solidFill>
                      </w14:textFill>
                    </w:rPr>
                    <w:t>导入</w:t>
                  </w:r>
                  <w:r>
                    <w:rPr>
                      <w:rFonts w:ascii="Times New Roman" w:hAnsi="Times New Roman" w:cs="Times New Roman"/>
                      <w:color w:val="000000" w:themeColor="text1"/>
                      <w14:textFill>
                        <w14:solidFill>
                          <w14:schemeClr w14:val="tx1"/>
                        </w14:solidFill>
                      </w14:textFill>
                    </w:rPr>
                    <w:t>；</w:t>
                  </w:r>
                </w:p>
                <w:p w14:paraId="0FBAD473">
                  <w:pPr>
                    <w:numPr>
                      <w:ilvl w:val="0"/>
                      <w:numId w:val="1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标准表的数据明细查询，支持查看数据的变更记录，能检测标准表内字段与数据元素之间差异，并自动进行标准落实以实现和数据元素标准保持一致；</w:t>
                  </w:r>
                </w:p>
                <w:p w14:paraId="379697EC">
                  <w:pPr>
                    <w:numPr>
                      <w:ilvl w:val="0"/>
                      <w:numId w:val="1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新增和查看与标准表相关的清洗转换任务，数据清洗转化任务支持通过</w:t>
                  </w:r>
                  <w:r>
                    <w:rPr>
                      <w:rFonts w:hint="eastAsia" w:ascii="Times New Roman" w:hAnsi="Times New Roman" w:cs="Times New Roman"/>
                      <w:color w:val="000000" w:themeColor="text1"/>
                      <w14:textFill>
                        <w14:solidFill>
                          <w14:schemeClr w14:val="tx1"/>
                        </w14:solidFill>
                      </w14:textFill>
                    </w:rPr>
                    <w:t>低</w:t>
                  </w:r>
                  <w:r>
                    <w:rPr>
                      <w:rFonts w:ascii="Times New Roman" w:hAnsi="Times New Roman" w:cs="Times New Roman"/>
                      <w:color w:val="000000" w:themeColor="text1"/>
                      <w14:textFill>
                        <w14:solidFill>
                          <w14:schemeClr w14:val="tx1"/>
                        </w14:solidFill>
                      </w14:textFill>
                    </w:rPr>
                    <w:t>代码配置，支持可视化配置数据输入、左右关联、过滤、计算字段、字段映射、数据输出等属性来完成。</w:t>
                  </w:r>
                  <w:r>
                    <w:rPr>
                      <w:rFonts w:hint="eastAsia" w:ascii="Times New Roman" w:hAnsi="Times New Roman" w:cs="Times New Roman"/>
                      <w:color w:val="000000" w:themeColor="text1"/>
                      <w14:textFill>
                        <w14:solidFill>
                          <w14:schemeClr w14:val="tx1"/>
                        </w14:solidFill>
                      </w14:textFill>
                    </w:rPr>
                    <w:t>（需要演示）</w:t>
                  </w:r>
                </w:p>
                <w:p w14:paraId="77DC3AB2">
                  <w:pPr>
                    <w:numPr>
                      <w:ilvl w:val="0"/>
                      <w:numId w:val="8"/>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主题层管理</w:t>
                  </w:r>
                </w:p>
                <w:p w14:paraId="5066BB25">
                  <w:pPr>
                    <w:numPr>
                      <w:ilvl w:val="0"/>
                      <w:numId w:val="1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主题层数据模型实现</w:t>
                  </w:r>
                  <w:r>
                    <w:rPr>
                      <w:rFonts w:ascii="Times New Roman" w:hAnsi="Times New Roman" w:cs="Times New Roman"/>
                      <w:color w:val="000000" w:themeColor="text1"/>
                      <w14:textFill>
                        <w14:solidFill>
                          <w14:schemeClr w14:val="tx1"/>
                        </w14:solidFill>
                      </w14:textFill>
                    </w:rPr>
                    <w:t>面向业务对象和面向业务过程</w:t>
                  </w:r>
                  <w:r>
                    <w:rPr>
                      <w:rFonts w:ascii="Times New Roman" w:hAnsi="Times New Roman" w:cs="Times New Roman"/>
                      <w:color w:val="000000" w:themeColor="text1"/>
                      <w:lang w:eastAsia="zh-Hans"/>
                      <w14:textFill>
                        <w14:solidFill>
                          <w14:schemeClr w14:val="tx1"/>
                        </w14:solidFill>
                      </w14:textFill>
                    </w:rPr>
                    <w:t>进行分类管理</w:t>
                  </w:r>
                  <w:r>
                    <w:rPr>
                      <w:rFonts w:ascii="Times New Roman" w:hAnsi="Times New Roman" w:cs="Times New Roman"/>
                      <w:color w:val="000000" w:themeColor="text1"/>
                      <w14:textFill>
                        <w14:solidFill>
                          <w14:schemeClr w14:val="tx1"/>
                        </w14:solidFill>
                      </w14:textFill>
                    </w:rPr>
                    <w:t>；</w:t>
                  </w:r>
                </w:p>
                <w:p w14:paraId="1381EFE2">
                  <w:pPr>
                    <w:numPr>
                      <w:ilvl w:val="0"/>
                      <w:numId w:val="1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主题层事实</w:t>
                  </w:r>
                  <w:r>
                    <w:rPr>
                      <w:rFonts w:ascii="Times New Roman" w:hAnsi="Times New Roman" w:cs="Times New Roman"/>
                      <w:color w:val="000000" w:themeColor="text1"/>
                      <w:lang w:eastAsia="zh-Hans"/>
                      <w14:textFill>
                        <w14:solidFill>
                          <w14:schemeClr w14:val="tx1"/>
                        </w14:solidFill>
                      </w14:textFill>
                    </w:rPr>
                    <w:t>模型</w:t>
                  </w:r>
                  <w:r>
                    <w:rPr>
                      <w:rFonts w:ascii="Times New Roman" w:hAnsi="Times New Roman" w:cs="Times New Roman"/>
                      <w:color w:val="000000" w:themeColor="text1"/>
                      <w14:textFill>
                        <w14:solidFill>
                          <w14:schemeClr w14:val="tx1"/>
                        </w14:solidFill>
                      </w14:textFill>
                    </w:rPr>
                    <w:t>结构支持以实体关系图的方式呈现事实表以及关联</w:t>
                  </w:r>
                  <w:r>
                    <w:rPr>
                      <w:rFonts w:ascii="Times New Roman" w:hAnsi="Times New Roman" w:cs="Times New Roman"/>
                      <w:color w:val="000000" w:themeColor="text1"/>
                      <w:lang w:eastAsia="zh-Hans"/>
                      <w14:textFill>
                        <w14:solidFill>
                          <w14:schemeClr w14:val="tx1"/>
                        </w14:solidFill>
                      </w14:textFill>
                    </w:rPr>
                    <w:t>维度</w:t>
                  </w:r>
                  <w:r>
                    <w:rPr>
                      <w:rFonts w:ascii="Times New Roman" w:hAnsi="Times New Roman" w:cs="Times New Roman"/>
                      <w:color w:val="000000" w:themeColor="text1"/>
                      <w14:textFill>
                        <w14:solidFill>
                          <w14:schemeClr w14:val="tx1"/>
                        </w14:solidFill>
                      </w14:textFill>
                    </w:rPr>
                    <w:t>。</w:t>
                  </w:r>
                </w:p>
                <w:p w14:paraId="24DD599D">
                  <w:pPr>
                    <w:numPr>
                      <w:ilvl w:val="0"/>
                      <w:numId w:val="1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实现查看事实表的概览信息，展示事实名称、引用模型、事实类型、事务事实、维度数量、度量数量、数据量、数据上次更新、集成情况等信息。</w:t>
                  </w:r>
                </w:p>
                <w:p w14:paraId="636C444E">
                  <w:pPr>
                    <w:numPr>
                      <w:ilvl w:val="0"/>
                      <w:numId w:val="8"/>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数据存储管理</w:t>
                  </w:r>
                </w:p>
                <w:p w14:paraId="75422DCF">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具备分布式存储架构，具有高扩展性，可以支持1000个以上的集群，确保线性扩展性能和容量，管理的数据规模从TB级到PB级，满足学校数据规模增长需求；</w:t>
                  </w:r>
                </w:p>
                <w:p w14:paraId="32058178">
                  <w:pPr>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提供高效的资源管理机制，主要包括对并发查询数量的限制，查询执行时内存、CPU资源使用的限制等。</w:t>
                  </w:r>
                </w:p>
              </w:tc>
            </w:tr>
            <w:tr w14:paraId="3CD7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03DD1555">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数据运行监测</w:t>
                  </w:r>
                </w:p>
              </w:tc>
              <w:tc>
                <w:tcPr>
                  <w:tcW w:w="3981" w:type="pct"/>
                </w:tcPr>
                <w:p w14:paraId="2F382234">
                  <w:pPr>
                    <w:numPr>
                      <w:ilvl w:val="0"/>
                      <w:numId w:val="12"/>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实现对数据集成任务运行情况进行监控，能通过健康度指标来反映任务在近期运行中的稳定程度；</w:t>
                  </w:r>
                </w:p>
                <w:p w14:paraId="138F1EC6">
                  <w:pPr>
                    <w:numPr>
                      <w:ilvl w:val="0"/>
                      <w:numId w:val="12"/>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提供数据集成监控大屏，包括离线数据集成监控和实时数据集成监控，支持总览视角查看所有流程的综合情况，包括今日运行良好率、今日运行数/计划运行数、今日失败流程数/实例数、今日同步数据量、流程总数和已接入数据源统计；</w:t>
                  </w:r>
                </w:p>
                <w:p w14:paraId="787D58DE">
                  <w:pPr>
                    <w:numPr>
                      <w:ilvl w:val="0"/>
                      <w:numId w:val="12"/>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实现各类排名统计，包括运行失败排名、高耗时排名、调度延迟排名、大数据量流程排名；</w:t>
                  </w:r>
                </w:p>
                <w:p w14:paraId="796BAFC8">
                  <w:pPr>
                    <w:numPr>
                      <w:ilvl w:val="0"/>
                      <w:numId w:val="12"/>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提供</w:t>
                  </w:r>
                  <w:r>
                    <w:rPr>
                      <w:rFonts w:ascii="Times New Roman" w:hAnsi="Times New Roman" w:eastAsia="Segoe UI" w:cs="Times New Roman"/>
                      <w:color w:val="000000" w:themeColor="text1"/>
                      <w:shd w:val="clear" w:color="auto" w:fill="FFFFFF"/>
                      <w14:textFill>
                        <w14:solidFill>
                          <w14:schemeClr w14:val="tx1"/>
                        </w14:solidFill>
                      </w14:textFill>
                    </w:rPr>
                    <w:t>数据看板直观呈现数据采集、共享交换与API调用的情况，辅助系统操作员评估数据治理成效并识别潜在问题</w:t>
                  </w:r>
                  <w:r>
                    <w:rPr>
                      <w:rFonts w:ascii="Times New Roman" w:hAnsi="Times New Roman" w:eastAsia="微软雅黑" w:cs="Times New Roman"/>
                      <w:color w:val="000000" w:themeColor="text1"/>
                      <w:shd w:val="clear" w:color="auto" w:fill="FFFFFF"/>
                      <w14:textFill>
                        <w14:solidFill>
                          <w14:schemeClr w14:val="tx1"/>
                        </w14:solidFill>
                      </w14:textFill>
                    </w:rPr>
                    <w:t>；</w:t>
                  </w:r>
                </w:p>
                <w:p w14:paraId="1D530022">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实现智能监控告警，提供设置监控规则的功能，用户可以设置监控规则对流程任务运行异常情况作监控告警，支持实时告警和定期简报；</w:t>
                  </w:r>
                </w:p>
                <w:p w14:paraId="63BEB13F">
                  <w:pPr>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实现管理员通过可视化界面的简易操作形式完成监测任务调度排布，支持串行、并行执行的任务调度形式；</w:t>
                  </w:r>
                </w:p>
                <w:p w14:paraId="3DF3858E">
                  <w:pPr>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展示平台任务运行情况，包括调度监控、数据源监控、任务运行监控、设备监控等信息等。</w:t>
                  </w:r>
                </w:p>
              </w:tc>
            </w:tr>
            <w:tr w14:paraId="7235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5D025641">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数据质量管理</w:t>
                  </w:r>
                </w:p>
              </w:tc>
              <w:tc>
                <w:tcPr>
                  <w:tcW w:w="3981" w:type="pct"/>
                </w:tcPr>
                <w:p w14:paraId="3769AB29">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1.数据质量概览</w:t>
                  </w:r>
                </w:p>
                <w:p w14:paraId="0C99F2E5">
                  <w:pPr>
                    <w:numPr>
                      <w:ilvl w:val="0"/>
                      <w:numId w:val="13"/>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实现概览性展示贴源层、标准层和主题层三层最新数据质量情况，包含质量核验趋势、质量改进动态、质量规则异常率排名情况等；</w:t>
                  </w:r>
                </w:p>
                <w:p w14:paraId="048AC2DD">
                  <w:pPr>
                    <w:numPr>
                      <w:ilvl w:val="0"/>
                      <w:numId w:val="13"/>
                    </w:numPr>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实现查看各部门数据质量概览，展示各个业务部门的数据质量情况以及所有质量问题的表的情况。</w:t>
                  </w:r>
                </w:p>
                <w:p w14:paraId="57DA4A29">
                  <w:pPr>
                    <w:tabs>
                      <w:tab w:val="left" w:pos="312"/>
                    </w:tabs>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2.数据质量稽核</w:t>
                  </w:r>
                </w:p>
                <w:p w14:paraId="2A5E9873">
                  <w:pPr>
                    <w:numPr>
                      <w:ilvl w:val="0"/>
                      <w:numId w:val="14"/>
                    </w:numPr>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实现质量库对质量规则进行统一管理，包括新增、删除、编辑质量规则；</w:t>
                  </w:r>
                </w:p>
                <w:p w14:paraId="1B844693">
                  <w:pPr>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质量规则包括内置规则、通用规则、自定义规则三个维度进行规则扩展，从完整性、规范性、一致性、准确性、时效性、唯一性等多维度定义规则，规则库需至少包含非空检查、值域检查、规范检查、唯一性检查、引用完整性检查、逻辑检查等类型的检测规则；</w:t>
                  </w:r>
                </w:p>
                <w:p w14:paraId="518B170B">
                  <w:pPr>
                    <w:adjustRightInd w:val="0"/>
                    <w:snapToGrid w:val="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实现配置质量核验方案，包括</w:t>
                  </w:r>
                  <w:r>
                    <w:rPr>
                      <w:rFonts w:ascii="Times New Roman" w:hAnsi="Times New Roman" w:cs="Times New Roman"/>
                      <w:color w:val="000000" w:themeColor="text1"/>
                      <w:lang w:eastAsia="zh-Hans"/>
                      <w14:textFill>
                        <w14:solidFill>
                          <w14:schemeClr w14:val="tx1"/>
                        </w14:solidFill>
                      </w14:textFill>
                    </w:rPr>
                    <w:t>执行周期</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eastAsia="zh-Hans"/>
                      <w14:textFill>
                        <w14:solidFill>
                          <w14:schemeClr w14:val="tx1"/>
                        </w14:solidFill>
                      </w14:textFill>
                    </w:rPr>
                    <w:t>预警规则</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eastAsia="zh-Hans"/>
                      <w14:textFill>
                        <w14:solidFill>
                          <w14:schemeClr w14:val="tx1"/>
                        </w14:solidFill>
                      </w14:textFill>
                    </w:rPr>
                    <w:t>质检报告发送策略和发送人员</w:t>
                  </w:r>
                  <w:r>
                    <w:rPr>
                      <w:rFonts w:ascii="Times New Roman" w:hAnsi="Times New Roman" w:cs="Times New Roman"/>
                      <w:color w:val="000000" w:themeColor="text1"/>
                      <w14:textFill>
                        <w14:solidFill>
                          <w14:schemeClr w14:val="tx1"/>
                        </w14:solidFill>
                      </w14:textFill>
                    </w:rPr>
                    <w:t>等；</w:t>
                  </w:r>
                </w:p>
                <w:p w14:paraId="4B66BCEA">
                  <w:pPr>
                    <w:adjustRightInd w:val="0"/>
                    <w:snapToGrid w:val="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实现设置定时调度任务或手动执行质检方案，支持自定义保留最近检测次数的质检结果，而质检方案汇总数据将永久保存；</w:t>
                  </w:r>
                </w:p>
                <w:p w14:paraId="49349089">
                  <w:pPr>
                    <w:adjustRightInd w:val="0"/>
                    <w:snapToGrid w:val="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实现查看核验日志，保留核验记录详情；</w:t>
                  </w:r>
                </w:p>
                <w:p w14:paraId="3CF6D5CF">
                  <w:pPr>
                    <w:adjustRightInd w:val="0"/>
                    <w:snapToGrid w:val="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实现对各维度质量得分进行权重分配，从而进一步调整总质量得分计算的模块。</w:t>
                  </w:r>
                </w:p>
                <w:p w14:paraId="75731B5B">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3.数据质量报告</w:t>
                  </w:r>
                </w:p>
                <w:p w14:paraId="267522EE">
                  <w:pPr>
                    <w:numPr>
                      <w:ilvl w:val="0"/>
                      <w:numId w:val="15"/>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实现从部门维度和专题维度查看数据质量报告，报</w:t>
                  </w:r>
                  <w:r>
                    <w:rPr>
                      <w:rFonts w:ascii="Times New Roman" w:hAnsi="Times New Roman" w:cs="Times New Roman"/>
                      <w:color w:val="000000" w:themeColor="text1"/>
                      <w:lang w:eastAsia="zh-Hans"/>
                      <w14:textFill>
                        <w14:solidFill>
                          <w14:schemeClr w14:val="tx1"/>
                        </w14:solidFill>
                      </w14:textFill>
                    </w:rPr>
                    <w:t>告内容</w:t>
                  </w:r>
                  <w:r>
                    <w:rPr>
                      <w:rFonts w:ascii="Times New Roman" w:hAnsi="Times New Roman" w:cs="Times New Roman"/>
                      <w:color w:val="000000" w:themeColor="text1"/>
                      <w14:textFill>
                        <w14:solidFill>
                          <w14:schemeClr w14:val="tx1"/>
                        </w14:solidFill>
                      </w14:textFill>
                    </w:rPr>
                    <w:t>包含数据质检综合评分、质检评分历史趋势、质检结果分析、评估概况、数据表质检明细、各部门质检明细等内容；</w:t>
                  </w:r>
                </w:p>
                <w:p w14:paraId="1CD4B725">
                  <w:pPr>
                    <w:numPr>
                      <w:ilvl w:val="0"/>
                      <w:numId w:val="15"/>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实现质量报告的下载、转发等操作；</w:t>
                  </w:r>
                </w:p>
                <w:p w14:paraId="3DD01B44">
                  <w:pPr>
                    <w:numPr>
                      <w:ilvl w:val="0"/>
                      <w:numId w:val="15"/>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实现数据治理报告的多渠道推送，包括消息、短信、企业微信、微信等方式。</w:t>
                  </w:r>
                </w:p>
                <w:p w14:paraId="0EEBBD5B">
                  <w:pPr>
                    <w:tabs>
                      <w:tab w:val="left" w:pos="312"/>
                    </w:tabs>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4.数据质量改进</w:t>
                  </w:r>
                </w:p>
                <w:p w14:paraId="78081AA1">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（1）提供数据质量改进的管理渠道，展示所有用户在统一资产服务平台提交的数据质量问题反馈单；</w:t>
                  </w:r>
                </w:p>
                <w:p w14:paraId="2DA644D9">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（2）实现查看数据质量改进工单，根据问题类型的不同分为业务工单或专题工单，下发给业务单位或实施人员进行处理，并全程监控处理状态；</w:t>
                  </w:r>
                </w:p>
                <w:p w14:paraId="1C92DDB7">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（3）实现以可视化方式概览数据质量改进情况，包括反馈单问题类型统计、数据表反馈单数据排名、各部门工单情况、各部门处理工单时间等；</w:t>
                  </w:r>
                </w:p>
                <w:p w14:paraId="1E52F138">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（4）实现查看、维护全校各部门的问题清单，并下发工单。</w:t>
                  </w:r>
                </w:p>
              </w:tc>
            </w:tr>
            <w:tr w14:paraId="489A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47B1D600">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数据资产管理</w:t>
                  </w:r>
                </w:p>
              </w:tc>
              <w:tc>
                <w:tcPr>
                  <w:tcW w:w="3981" w:type="pct"/>
                </w:tcPr>
                <w:p w14:paraId="2B917886">
                  <w:pPr>
                    <w:numPr>
                      <w:ilvl w:val="0"/>
                      <w:numId w:val="16"/>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数据资产编目</w:t>
                  </w:r>
                </w:p>
                <w:p w14:paraId="30C2CEE0">
                  <w:pPr>
                    <w:numPr>
                      <w:ilvl w:val="0"/>
                      <w:numId w:val="1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实现对全校数据资产进行编目，根据数据范围构建不同的数据资源目录，可以单个新增资产，也可以从元数据中批量新增、修改、删除数据资产；</w:t>
                  </w:r>
                </w:p>
                <w:p w14:paraId="69F42F08">
                  <w:pPr>
                    <w:numPr>
                      <w:ilvl w:val="0"/>
                      <w:numId w:val="1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支持自定义数据资产目录，可以无限往下级分组，在分组下新增资产；</w:t>
                  </w:r>
                </w:p>
                <w:p w14:paraId="506EED4F">
                  <w:pPr>
                    <w:numPr>
                      <w:ilvl w:val="0"/>
                      <w:numId w:val="17"/>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支持批量设置来源部门、来源系统、共享等级、安全等级等资产属性。</w:t>
                  </w:r>
                </w:p>
                <w:p w14:paraId="3AE50DD4">
                  <w:pPr>
                    <w:numPr>
                      <w:ilvl w:val="0"/>
                      <w:numId w:val="16"/>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资产确源确权</w:t>
                  </w:r>
                </w:p>
                <w:p w14:paraId="07AB699C">
                  <w:pPr>
                    <w:numPr>
                      <w:ilvl w:val="0"/>
                      <w:numId w:val="18"/>
                    </w:num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实现可视化查看各部门或各业务系统确源确权的数据资产情况；</w:t>
                  </w:r>
                </w:p>
                <w:p w14:paraId="32C67CC8">
                  <w:pPr>
                    <w:numPr>
                      <w:ilvl w:val="0"/>
                      <w:numId w:val="18"/>
                    </w:num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实现各部门线上、线下确源确权的管理；</w:t>
                  </w:r>
                </w:p>
                <w:p w14:paraId="0E936B68">
                  <w:pPr>
                    <w:numPr>
                      <w:ilvl w:val="0"/>
                      <w:numId w:val="18"/>
                    </w:num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对于有争议的或没有确认来源部门的字段，支持进行线上或线下确认。</w:t>
                  </w:r>
                </w:p>
                <w:p w14:paraId="2EBCE71F">
                  <w:pPr>
                    <w:numPr>
                      <w:ilvl w:val="0"/>
                      <w:numId w:val="16"/>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资产开放运营管理：</w:t>
                  </w:r>
                </w:p>
                <w:p w14:paraId="56D15A6A">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实现对数据资产发布、查看详情等操作；</w:t>
                  </w:r>
                </w:p>
                <w:p w14:paraId="6CA80D12">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多种数据资产开放服务类型，针对结构化数据资源，提供API接口、数据库、ETL、离线表格、在线查看等数据服务方式，针对非结构化数据资源，提供文本、OFFICE文档、PDF文档、图片、音视频媒体、压缩包、XML等不同类型的文件资源；</w:t>
                  </w:r>
                </w:p>
                <w:p w14:paraId="7E01CF3D">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数据资源已发布为API接口并被使用后，在当前API接口正常运行的情况下，可实现对数据发布的范围进行再次编辑，如增加字段、注释更改等操作，编辑过程中，要求API接口服务不中断，下游应用无感知；</w:t>
                  </w:r>
                </w:p>
                <w:p w14:paraId="0D0D5567">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提供可视化流程构建工具，支持构建数据资产的审批流程；</w:t>
                  </w:r>
                </w:p>
                <w:p w14:paraId="3040252F">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实现以表格形式查看数据资产的供需情况，提供UC矩阵图；</w:t>
                  </w:r>
                </w:p>
                <w:p w14:paraId="59FB56D3">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实现查看数据资产服务平台上用户反馈的数据需求建议并进行处理；</w:t>
                  </w:r>
                </w:p>
                <w:p w14:paraId="1AB85F51">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实现查看各部门提交的编目申请、变更申请、下架申请、上架申请，进行处理；</w:t>
                  </w:r>
                </w:p>
                <w:p w14:paraId="6863A2FC">
                  <w:pPr>
                    <w:numPr>
                      <w:ilvl w:val="0"/>
                      <w:numId w:val="19"/>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实现查看统一资产服务平台用户对数据资产、数据标准的所有评分与评价。</w:t>
                  </w:r>
                </w:p>
              </w:tc>
            </w:tr>
            <w:tr w14:paraId="3AB9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093AD8F0">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统一API管理</w:t>
                  </w:r>
                </w:p>
              </w:tc>
              <w:tc>
                <w:tcPr>
                  <w:tcW w:w="3981" w:type="pct"/>
                </w:tcPr>
                <w:p w14:paraId="4BA57DBB">
                  <w:pPr>
                    <w:numPr>
                      <w:ilvl w:val="0"/>
                      <w:numId w:val="2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实现新增、编辑或删除数据集成API，支持配置接口属性和字段信息；</w:t>
                  </w:r>
                </w:p>
                <w:p w14:paraId="25257897">
                  <w:pPr>
                    <w:numPr>
                      <w:ilvl w:val="0"/>
                      <w:numId w:val="20"/>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实现只允许特定IP才能访问接口，保证接口安全；</w:t>
                  </w:r>
                </w:p>
                <w:p w14:paraId="13A3D57E">
                  <w:pPr>
                    <w:numPr>
                      <w:ilvl w:val="0"/>
                      <w:numId w:val="2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实现用户将集成API授权给应用，授权属性包括：授权API、授权应用、授权有效期、使用限制。</w:t>
                  </w:r>
                </w:p>
                <w:p w14:paraId="007CBF72">
                  <w:pPr>
                    <w:numPr>
                      <w:ilvl w:val="0"/>
                      <w:numId w:val="2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实现用户禁用或启用API授权状态，禁用后该应用将无法调用授权API，需通过启用恢复；</w:t>
                  </w:r>
                </w:p>
                <w:p w14:paraId="527B023E">
                  <w:pPr>
                    <w:numPr>
                      <w:ilvl w:val="0"/>
                      <w:numId w:val="20"/>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实现查看数据集成API的调用日志信息，包括：应用名称、APP ID、接口名称、接口路径、请求时间、请求方式、调用者IP、执行时间、响应时间、调用结果、调用数据量；</w:t>
                  </w:r>
                </w:p>
                <w:p w14:paraId="36357904">
                  <w:p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6.提供自动测试功能，以低代码的方式即可完成API接口测试工作，支持查看应用下所有接口的测试的详细结果。</w:t>
                  </w:r>
                  <w:r>
                    <w:rPr>
                      <w:rFonts w:hint="eastAsia" w:ascii="Times New Roman" w:hAnsi="Times New Roman" w:cs="Times New Roman"/>
                      <w:color w:val="000000" w:themeColor="text1"/>
                      <w14:textFill>
                        <w14:solidFill>
                          <w14:schemeClr w14:val="tx1"/>
                        </w14:solidFill>
                      </w14:textFill>
                    </w:rPr>
                    <w:t>（需要演示）</w:t>
                  </w:r>
                </w:p>
              </w:tc>
            </w:tr>
            <w:tr w14:paraId="1DE6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6171595F">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数据开放平台</w:t>
                  </w:r>
                </w:p>
              </w:tc>
              <w:tc>
                <w:tcPr>
                  <w:tcW w:w="3981" w:type="pct"/>
                </w:tcPr>
                <w:p w14:paraId="0EF07605">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1.数据标准展示</w:t>
                  </w:r>
                </w:p>
                <w:p w14:paraId="5D187ADB">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实现以卡片的形式查看学校所有的数据元素标准和标准代码。可以根据标准目录的业务域、标准类型、评分等对标准表过滤，根据关键字进行搜索，可以根据浏览量、下载量、更新时间、评分等信息对查询结果进行排序。</w:t>
                  </w:r>
                </w:p>
                <w:p w14:paraId="23FD6463">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（2）实现查看数据元素标准和标准代码的详细信息；</w:t>
                  </w:r>
                </w:p>
                <w:p w14:paraId="7438A39B">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（3）实现数据元素标准和标准代码的直接下载和批量下载。</w:t>
                  </w:r>
                </w:p>
                <w:p w14:paraId="30B35CF1">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2.数据资产目录</w:t>
                  </w:r>
                </w:p>
                <w:p w14:paraId="79C05D3F">
                  <w:pPr>
                    <w:numPr>
                      <w:ilvl w:val="0"/>
                      <w:numId w:val="2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实现查看全校所有已上架数据资产及数据资产详情；</w:t>
                  </w:r>
                </w:p>
                <w:p w14:paraId="22C87370">
                  <w:pPr>
                    <w:numPr>
                      <w:ilvl w:val="0"/>
                      <w:numId w:val="2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实现通过目录树、来源部门、共享等级、资产类型、服务类型等筛选条件查询所需资产，可以根据申请量、浏览量、调用量、上架时间、评分等信息对查询结果进行排序。</w:t>
                  </w:r>
                </w:p>
                <w:p w14:paraId="6B957A23">
                  <w:pPr>
                    <w:numPr>
                      <w:ilvl w:val="0"/>
                      <w:numId w:val="2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实现按照不同的数据资源目录展示数据资源，用户可在分类树上切换数据资源目录，可以通过百度式进行全局检索；</w:t>
                  </w:r>
                </w:p>
                <w:p w14:paraId="0278E7CD">
                  <w:pPr>
                    <w:numPr>
                      <w:ilvl w:val="0"/>
                      <w:numId w:val="2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实现通过数据资源分类维度、使用方式、责任单位快速筛选定位相关的数据资源；</w:t>
                  </w:r>
                </w:p>
                <w:p w14:paraId="50543835">
                  <w:pPr>
                    <w:numPr>
                      <w:ilvl w:val="0"/>
                      <w:numId w:val="21"/>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实现数据资产的申请，支持单独或批量发起数据申请，填写个人信息、数据使用用途，选择申请字段与服务类型，支持暂存为草稿或直接提交申请。</w:t>
                  </w:r>
                </w:p>
                <w:p w14:paraId="35D9A76C">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3.部门资产中心</w:t>
                  </w:r>
                </w:p>
                <w:p w14:paraId="72A9CE0E">
                  <w:pPr>
                    <w:numPr>
                      <w:ilvl w:val="0"/>
                      <w:numId w:val="22"/>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实现查看部门数据资产概览，包括已确源资产数、已上架资产数、资产审批单数，质量工单数，资产供需情况，部门供给资产排名信息、部门申请资产排名信息等；</w:t>
                  </w:r>
                </w:p>
                <w:p w14:paraId="198DDA34">
                  <w:pPr>
                    <w:numPr>
                      <w:ilvl w:val="0"/>
                      <w:numId w:val="22"/>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实现查看本部门申请其他部门资产的概况与明细信息，支持查看需要经过业务部门审核节点的资产申请单，对于待审批申请，可以逐一审批或批量通过申请，对于已审批申请，可以查看详情。</w:t>
                  </w:r>
                </w:p>
                <w:p w14:paraId="10495029">
                  <w:pPr>
                    <w:numPr>
                      <w:ilvl w:val="0"/>
                      <w:numId w:val="22"/>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实现查看本部门数据质量报告和收到的质量改进工单，并批量分配处理人，下放给具体的执行人去处理工单；</w:t>
                  </w:r>
                </w:p>
                <w:p w14:paraId="624D3F6A">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4.个人资产中心</w:t>
                  </w:r>
                </w:p>
                <w:p w14:paraId="59CD7E20">
                  <w:pPr>
                    <w:numPr>
                      <w:ilvl w:val="0"/>
                      <w:numId w:val="23"/>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实现查看登录用户的统计信息概览，包括反馈数、评价数、审批数、工单数、申请数，已授权资产数以及各种服务类型的数量等；</w:t>
                  </w:r>
                </w:p>
                <w:p w14:paraId="283C8F25">
                  <w:pPr>
                    <w:numPr>
                      <w:ilvl w:val="0"/>
                      <w:numId w:val="23"/>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用户的资产申请任务，支持在待审批中单个和批量通过申请，支持在已审批中查看申请，支持查看用户申请资产通过后获得的各种资产类型和各种服务类型的数据，包括API、excel、ETL、中间表、在线查询、文件下载等服务的详情信息；</w:t>
                  </w:r>
                </w:p>
                <w:p w14:paraId="296CA5CB">
                  <w:pPr>
                    <w:numPr>
                      <w:ilvl w:val="0"/>
                      <w:numId w:val="23"/>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实现对获得授权的API进行在线调试，支持查看用户所有申请过的资产以及后续的状态与环节；</w:t>
                  </w:r>
                </w:p>
                <w:p w14:paraId="77B91658">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5.数据资产开放统计</w:t>
                  </w:r>
                </w:p>
                <w:p w14:paraId="4CD895D5">
                  <w:pPr>
                    <w:numPr>
                      <w:ilvl w:val="0"/>
                      <w:numId w:val="24"/>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查看统一数据资产服务平台的统计信息，包括公布信息集，公布标准代码集，开放数据表，开放数据项，开放数据量，开放文件数，开放API，开放部门数，服务部门数，服务应用数，总申请数，总调用数，总反馈数，总评价数，各部门开放/申请资产数量，资产浏览排名、资产申请排名、数据下载排名、API调用排名、各领域开放排行、资产共享等级分布、数据更新趋势等信息；</w:t>
                  </w:r>
                </w:p>
                <w:p w14:paraId="4F9AD75B">
                  <w:pPr>
                    <w:numPr>
                      <w:ilvl w:val="0"/>
                      <w:numId w:val="24"/>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提供数据运营看板，可对数据资源使用情况实时监测。</w:t>
                  </w:r>
                </w:p>
              </w:tc>
            </w:tr>
            <w:tr w14:paraId="4599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7400D879">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数据安全管理</w:t>
                  </w:r>
                </w:p>
              </w:tc>
              <w:tc>
                <w:tcPr>
                  <w:tcW w:w="3981" w:type="pct"/>
                </w:tcPr>
                <w:p w14:paraId="100AC23E">
                  <w:p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1.数据脱敏</w:t>
                  </w:r>
                </w:p>
                <w:p w14:paraId="614A1579">
                  <w:pPr>
                    <w:numPr>
                      <w:ilvl w:val="0"/>
                      <w:numId w:val="25"/>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实现建立脱敏规则，支持哈希脱敏、字符掩码、取整脱敏几种方式，其中算法支持SHA256、SHA512、MD5、SM3、保留前m位和后n位、保留第m-n位、遮盖前m位和后n位、遮盖第m-n位、特殊字符前遮盖、特殊字符后遮盖等；</w:t>
                  </w:r>
                </w:p>
                <w:p w14:paraId="181B75E3">
                  <w:pPr>
                    <w:numPr>
                      <w:ilvl w:val="0"/>
                      <w:numId w:val="25"/>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实现新建和管理数据脱敏策略</w:t>
                  </w:r>
                  <w:r>
                    <w:rPr>
                      <w:rFonts w:hint="eastAsia" w:ascii="Times New Roman" w:hAnsi="Times New Roman" w:cs="Times New Roman"/>
                      <w:color w:val="000000" w:themeColor="text1"/>
                      <w14:textFill>
                        <w14:solidFill>
                          <w14:schemeClr w14:val="tx1"/>
                        </w14:solidFill>
                      </w14:textFill>
                    </w:rPr>
                    <w:t>；（需要演示）</w:t>
                  </w:r>
                </w:p>
                <w:p w14:paraId="11519DE4">
                  <w:pPr>
                    <w:numPr>
                      <w:ilvl w:val="0"/>
                      <w:numId w:val="25"/>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脱敏策略可以绑定具体的数据字段以及它的上下游字段，并对不同用户设置脱敏权限；</w:t>
                  </w:r>
                </w:p>
                <w:p w14:paraId="53B67D2F">
                  <w:pPr>
                    <w:numPr>
                      <w:ilvl w:val="0"/>
                      <w:numId w:val="25"/>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实现按照数据资源名称或脱敏规则名称自动匹配生成数据资源项对应的脱敏规则。</w:t>
                  </w:r>
                </w:p>
                <w:p w14:paraId="0475CAD4">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2.数据加密：</w:t>
                  </w:r>
                  <w:r>
                    <w:rPr>
                      <w:rFonts w:ascii="Times New Roman" w:hAnsi="Times New Roman" w:cs="Times New Roman"/>
                      <w:color w:val="000000" w:themeColor="text1"/>
                      <w14:textFill>
                        <w14:solidFill>
                          <w14:schemeClr w14:val="tx1"/>
                        </w14:solidFill>
                      </w14:textFill>
                    </w:rPr>
                    <w:t>提供SM4、SM2、RSA等算法进行数据加密，并配置数据加密策略，支持数据字段存储、API传输加密，支持在数据共享交换时为单个数据项选择数据加密策略。</w:t>
                  </w:r>
                </w:p>
                <w:p w14:paraId="58634BCE">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3.数据水印：</w:t>
                  </w:r>
                  <w:r>
                    <w:rPr>
                      <w:rFonts w:ascii="Times New Roman" w:hAnsi="Times New Roman" w:cs="Times New Roman"/>
                      <w:color w:val="000000" w:themeColor="text1"/>
                      <w14:textFill>
                        <w14:solidFill>
                          <w14:schemeClr w14:val="tx1"/>
                        </w14:solidFill>
                      </w14:textFill>
                    </w:rPr>
                    <w:t>实现对数据水印内容进行配置，包括文字组合、行数、大小、应用场景等配置项；支持通过数据水印解析，追踪和验证数据的来源和完整性。</w:t>
                  </w:r>
                </w:p>
                <w:p w14:paraId="07CB28DB">
                  <w:pPr>
                    <w:tabs>
                      <w:tab w:val="left" w:pos="312"/>
                    </w:tabs>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4.数据访问</w:t>
                  </w:r>
                </w:p>
                <w:p w14:paraId="408365EA">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（1）实现通过认证和授权机制，控制对数据的访问权限；</w:t>
                  </w:r>
                </w:p>
                <w:p w14:paraId="42B81A87">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（2）实现通过共享等级控制数据的外部共享开放，不同的共享等级遵循不同的申请审批流程，分为不予共享、有条件共享、普遍共享三个级别，支持查看与查询所有资产的共享等级。</w:t>
                  </w:r>
                </w:p>
                <w:p w14:paraId="137600CF">
                  <w:pPr>
                    <w:tabs>
                      <w:tab w:val="left" w:pos="312"/>
                    </w:tabs>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5.数据备份</w:t>
                  </w:r>
                </w:p>
                <w:p w14:paraId="3B2843F6">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▲（1）实现通过新建备份策略，将数据库保存在备用服务器中，预防数据意外丢失；</w:t>
                  </w:r>
                </w:p>
                <w:p w14:paraId="06401BBA">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（2）实现通过EXP或EXPDB的方式备份数据仓库中的数据；</w:t>
                  </w:r>
                </w:p>
                <w:p w14:paraId="26E61086">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（3）实现记录每一备份的详情历史记录，包括备份任务名称、数据源类型、方式、备份时间、备份耗时、备份状态，还支持下载备份文件。</w:t>
                  </w:r>
                </w:p>
                <w:p w14:paraId="05AF26AC">
                  <w:pPr>
                    <w:tabs>
                      <w:tab w:val="left" w:pos="312"/>
                    </w:tabs>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6.安全审计</w:t>
                  </w:r>
                </w:p>
                <w:p w14:paraId="6ED5FDB6">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（1）实现对数据访问和使用进行监控和审计；</w:t>
                  </w:r>
                </w:p>
                <w:p w14:paraId="2A4801E2">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（2）实现查看系统记录的所有安全审计事件。</w:t>
                  </w:r>
                </w:p>
                <w:p w14:paraId="76AF16DA">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7.Https证书管理：</w:t>
                  </w:r>
                  <w:r>
                    <w:rPr>
                      <w:rFonts w:ascii="Times New Roman" w:hAnsi="Times New Roman" w:cs="Times New Roman"/>
                      <w:color w:val="000000" w:themeColor="text1"/>
                      <w14:textFill>
                        <w14:solidFill>
                          <w14:schemeClr w14:val="tx1"/>
                        </w14:solidFill>
                      </w14:textFill>
                    </w:rPr>
                    <w:t>支持动态Https证书管理。</w:t>
                  </w:r>
                </w:p>
              </w:tc>
            </w:tr>
            <w:tr w14:paraId="39AE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78AEB4D7">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数据概览服务</w:t>
                  </w:r>
                </w:p>
              </w:tc>
              <w:tc>
                <w:tcPr>
                  <w:tcW w:w="3981" w:type="pct"/>
                </w:tcPr>
                <w:p w14:paraId="1D775D6F">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▲1.数据概览界面：</w:t>
                  </w:r>
                  <w:r>
                    <w:rPr>
                      <w:rFonts w:ascii="Times New Roman" w:hAnsi="Times New Roman" w:cs="Times New Roman"/>
                      <w:color w:val="000000" w:themeColor="text1"/>
                      <w14:textFill>
                        <w14:solidFill>
                          <w14:schemeClr w14:val="tx1"/>
                        </w14:solidFill>
                      </w14:textFill>
                    </w:rPr>
                    <w:t>提供个人和学院的数据概览界面，分别展示师生和学院的基本信息、人事信息、教学信息、科研信息、财务信息、资产信息、校园生活等。</w:t>
                  </w:r>
                </w:p>
                <w:p w14:paraId="4374E607">
                  <w:pPr>
                    <w:numPr>
                      <w:ilvl w:val="0"/>
                      <w:numId w:val="6"/>
                    </w:num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数据纠错功能：</w:t>
                  </w:r>
                </w:p>
                <w:p w14:paraId="4EFF9525">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（1）实现师生发现个人数据质量问题时，发起数据纠错申请，并填写本人联系方式及上传相关证明材料；</w:t>
                  </w:r>
                </w:p>
                <w:p w14:paraId="547D9D6C">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（2）实现查看本人数据纠错申请和历史记录，能分类查看待办理和已办理的纠错申请；</w:t>
                  </w:r>
                </w:p>
                <w:p w14:paraId="1B64A495">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（3）实现管理员查看用户提交的数据纠错申请单，支持选择直接办理、拒绝或转办，转办时能根据数据源头选择转办人员；</w:t>
                  </w:r>
                </w:p>
                <w:p w14:paraId="7EEEFBAB">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（4）实现可视化、低代码的方式构建用户数据纠错申请的多级审批机制。</w:t>
                  </w:r>
                </w:p>
              </w:tc>
            </w:tr>
          </w:tbl>
          <w:p w14:paraId="371BF4C4">
            <w:pPr>
              <w:pStyle w:val="4"/>
              <w:widowControl/>
              <w:spacing w:beforeAutospacing="0" w:afterAutospacing="0" w:line="360" w:lineRule="auto"/>
              <w:jc w:val="both"/>
              <w:rPr>
                <w:rFonts w:hint="eastAsia" w:ascii="仿宋_GB2312" w:hAnsi="宋体" w:eastAsia="仿宋_GB2312" w:cs="宋体"/>
                <w:b/>
                <w:bCs/>
                <w:color w:val="000000" w:themeColor="text1"/>
                <w:sz w:val="28"/>
                <w:szCs w:val="28"/>
                <w:shd w:val="clear" w:color="auto" w:fill="FFFFFF"/>
                <w14:textFill>
                  <w14:solidFill>
                    <w14:schemeClr w14:val="tx1"/>
                  </w14:solidFill>
                </w14:textFill>
              </w:rPr>
            </w:pPr>
            <w:r>
              <w:rPr>
                <w:rFonts w:hint="eastAsia" w:ascii="仿宋_GB2312" w:hAnsi="宋体" w:eastAsia="仿宋_GB2312" w:cs="宋体"/>
                <w:b/>
                <w:bCs/>
                <w:color w:val="000000" w:themeColor="text1"/>
                <w:sz w:val="28"/>
                <w:szCs w:val="28"/>
                <w:shd w:val="clear" w:color="auto" w:fill="FFFFFF"/>
                <w14:textFill>
                  <w14:solidFill>
                    <w14:schemeClr w14:val="tx1"/>
                  </w14:solidFill>
                </w14:textFill>
              </w:rPr>
              <w:t>（4）一表通</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4810"/>
            </w:tblGrid>
            <w:tr w14:paraId="1D21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0CF19BA5">
                  <w:pPr>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数据填报</w:t>
                  </w:r>
                  <w:r>
                    <w:rPr>
                      <w:rFonts w:hint="eastAsia" w:ascii="Times New Roman" w:hAnsi="Times New Roman" w:cs="Times New Roman"/>
                      <w:color w:val="000000" w:themeColor="text1"/>
                      <w14:textFill>
                        <w14:solidFill>
                          <w14:schemeClr w14:val="tx1"/>
                        </w14:solidFill>
                      </w14:textFill>
                    </w:rPr>
                    <w:t>一表通</w:t>
                  </w:r>
                  <w:r>
                    <w:rPr>
                      <w:rFonts w:ascii="Times New Roman" w:hAnsi="Times New Roman" w:cs="Times New Roman"/>
                      <w:color w:val="000000" w:themeColor="text1"/>
                      <w14:textFill>
                        <w14:solidFill>
                          <w14:schemeClr w14:val="tx1"/>
                        </w14:solidFill>
                      </w14:textFill>
                    </w:rPr>
                    <w:t>管理</w:t>
                  </w:r>
                </w:p>
              </w:tc>
              <w:tc>
                <w:tcPr>
                  <w:tcW w:w="3981" w:type="pct"/>
                </w:tcPr>
                <w:p w14:paraId="0079D3CF">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1.填报服务设计工具：</w:t>
                  </w:r>
                  <w:r>
                    <w:rPr>
                      <w:rFonts w:ascii="Times New Roman" w:hAnsi="Times New Roman" w:cs="Times New Roman"/>
                      <w:color w:val="000000" w:themeColor="text1"/>
                      <w14:textFill>
                        <w14:solidFill>
                          <w14:schemeClr w14:val="tx1"/>
                        </w14:solidFill>
                      </w14:textFill>
                    </w:rPr>
                    <w:t>提供一套填报服务设计工具，包括基本设置，页面设计，流程设计，报表设计和发布设置，</w:t>
                  </w:r>
                  <w:r>
                    <w:rPr>
                      <w:rFonts w:hint="eastAsia" w:ascii="Times New Roman" w:hAnsi="Times New Roman" w:cs="Times New Roman"/>
                      <w:color w:val="000000" w:themeColor="text1"/>
                      <w14:textFill>
                        <w14:solidFill>
                          <w14:schemeClr w14:val="tx1"/>
                        </w14:solidFill>
                      </w14:textFill>
                    </w:rPr>
                    <w:t>具备</w:t>
                  </w:r>
                  <w:r>
                    <w:rPr>
                      <w:rFonts w:ascii="Times New Roman" w:hAnsi="Times New Roman" w:cs="Times New Roman"/>
                      <w:color w:val="000000" w:themeColor="text1"/>
                      <w14:textFill>
                        <w14:solidFill>
                          <w14:schemeClr w14:val="tx1"/>
                        </w14:solidFill>
                      </w14:textFill>
                    </w:rPr>
                    <w:t>可视化配置能力。</w:t>
                  </w:r>
                </w:p>
                <w:p w14:paraId="13435E37">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基本设置和发布设置：</w:t>
                  </w:r>
                  <w:r>
                    <w:rPr>
                      <w:rFonts w:ascii="Times New Roman" w:hAnsi="Times New Roman" w:cs="Times New Roman"/>
                      <w:color w:val="000000" w:themeColor="text1"/>
                      <w14:textFill>
                        <w14:solidFill>
                          <w14:schemeClr w14:val="tx1"/>
                        </w14:solidFill>
                      </w14:textFill>
                    </w:rPr>
                    <w:t>设置填报服务的基本信息，包括名称</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图标</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说明</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管理权限</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使用权限</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使用期限等</w:t>
                  </w:r>
                  <w:r>
                    <w:rPr>
                      <w:rFonts w:hint="eastAsia" w:ascii="Times New Roman" w:hAnsi="Times New Roman" w:cs="Times New Roman"/>
                      <w:color w:val="000000" w:themeColor="text1"/>
                      <w14:textFill>
                        <w14:solidFill>
                          <w14:schemeClr w14:val="tx1"/>
                        </w14:solidFill>
                      </w14:textFill>
                    </w:rPr>
                    <w:t>。</w:t>
                  </w:r>
                </w:p>
                <w:p w14:paraId="2C89524E">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页面设计</w:t>
                  </w:r>
                  <w:r>
                    <w:rPr>
                      <w:rFonts w:hint="eastAsia" w:ascii="Times New Roman" w:hAnsi="Times New Roman" w:cs="Times New Roman"/>
                      <w:b/>
                      <w:bCs/>
                      <w:color w:val="000000" w:themeColor="text1"/>
                      <w14:textFill>
                        <w14:solidFill>
                          <w14:schemeClr w14:val="tx1"/>
                        </w14:solidFill>
                      </w14:textFill>
                    </w:rPr>
                    <w:t>工具</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内置单行文本、多行文本、单选按钮、复选按钮、下拉单选、下拉多选、日期时间、日期区间、附件、说明内容、金额、子表单等系统组件，可根据业务表单要任意拖拽组件组合，支持直接拖拽组件、也支持导入word表样和excel表样。</w:t>
                  </w:r>
                </w:p>
                <w:p w14:paraId="71A00454">
                  <w:pPr>
                    <w:adjustRightInd w:val="0"/>
                    <w:snapToGrid w:val="0"/>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流程设计</w:t>
                  </w:r>
                  <w:r>
                    <w:rPr>
                      <w:rFonts w:hint="eastAsia" w:ascii="Times New Roman" w:hAnsi="Times New Roman" w:cs="Times New Roman"/>
                      <w:b/>
                      <w:bCs/>
                      <w:color w:val="000000" w:themeColor="text1"/>
                      <w14:textFill>
                        <w14:solidFill>
                          <w14:schemeClr w14:val="tx1"/>
                        </w14:solidFill>
                      </w14:textFill>
                    </w:rPr>
                    <w:t>工具：</w:t>
                  </w:r>
                  <w:r>
                    <w:rPr>
                      <w:rFonts w:ascii="Times New Roman" w:hAnsi="Times New Roman" w:cs="Times New Roman"/>
                      <w:color w:val="000000" w:themeColor="text1"/>
                      <w14:textFill>
                        <w14:solidFill>
                          <w14:schemeClr w14:val="tx1"/>
                        </w14:solidFill>
                      </w14:textFill>
                    </w:rPr>
                    <w:t>提供业务流程可视化配置，支持自定义审批节点、支持每个节点指定审批人，或者由上一节点提交时指定下一节点办理人，支持单人办理、多人办理模式，支持会签、转办等场景，支持查看流程图及流转日志，运行中的流程支持挂起和重新激活；实现消息推送配置，可基于工作流触发事件自动发送各类节点提醒消息，并与消息中心集成，自动发送提醒消息；实现待办事项提醒、逾期预警提醒。实现按流程环节配置消息通知，可自定义配置消息的主题和内容模板。</w:t>
                  </w:r>
                </w:p>
                <w:p w14:paraId="48D9BDF0">
                  <w:pPr>
                    <w:adjustRightInd w:val="0"/>
                    <w:snapToGrid w:val="0"/>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（4）</w:t>
                  </w:r>
                  <w:r>
                    <w:rPr>
                      <w:rFonts w:ascii="Times New Roman" w:hAnsi="Times New Roman" w:cs="Times New Roman"/>
                      <w:b/>
                      <w:bCs/>
                      <w:color w:val="000000" w:themeColor="text1"/>
                      <w14:textFill>
                        <w14:solidFill>
                          <w14:schemeClr w14:val="tx1"/>
                        </w14:solidFill>
                      </w14:textFill>
                    </w:rPr>
                    <w:t>报表设计</w:t>
                  </w:r>
                  <w:r>
                    <w:rPr>
                      <w:rFonts w:hint="eastAsia" w:ascii="Times New Roman" w:hAnsi="Times New Roman" w:cs="Times New Roman"/>
                      <w:b/>
                      <w:bCs/>
                      <w:color w:val="000000" w:themeColor="text1"/>
                      <w14:textFill>
                        <w14:solidFill>
                          <w14:schemeClr w14:val="tx1"/>
                        </w14:solidFill>
                      </w14:textFill>
                    </w:rPr>
                    <w:t>工具：</w:t>
                  </w:r>
                  <w:r>
                    <w:rPr>
                      <w:rFonts w:hint="eastAsia" w:ascii="宋体" w:hAnsi="宋体" w:cs="宋体"/>
                      <w:color w:val="000000" w:themeColor="text1"/>
                      <w14:textFill>
                        <w14:solidFill>
                          <w14:schemeClr w14:val="tx1"/>
                        </w14:solidFill>
                      </w14:textFill>
                    </w:rPr>
                    <w:t>实现管理报表列表，可新建、删除、编辑报表，支持通</w:t>
                  </w:r>
                  <w:r>
                    <w:rPr>
                      <w:rFonts w:ascii="Times New Roman" w:hAnsi="Times New Roman" w:cs="Times New Roman"/>
                      <w:color w:val="000000" w:themeColor="text1"/>
                      <w14:textFill>
                        <w14:solidFill>
                          <w14:schemeClr w14:val="tx1"/>
                        </w14:solidFill>
                      </w14:textFill>
                    </w:rPr>
                    <w:t>过word文</w:t>
                  </w:r>
                  <w:r>
                    <w:rPr>
                      <w:rFonts w:hint="eastAsia" w:ascii="宋体" w:hAnsi="宋体" w:cs="宋体"/>
                      <w:color w:val="000000" w:themeColor="text1"/>
                      <w14:textFill>
                        <w14:solidFill>
                          <w14:schemeClr w14:val="tx1"/>
                        </w14:solidFill>
                      </w14:textFill>
                    </w:rPr>
                    <w:t>件进行直接设计；</w:t>
                  </w:r>
                  <w:r>
                    <w:rPr>
                      <w:rFonts w:ascii="Times New Roman" w:hAnsi="Times New Roman" w:cs="Times New Roman"/>
                      <w:color w:val="000000" w:themeColor="text1"/>
                      <w14:textFill>
                        <w14:solidFill>
                          <w14:schemeClr w14:val="tx1"/>
                        </w14:solidFill>
                      </w14:textFill>
                    </w:rPr>
                    <w:t>提供数据源管理，支持Oracle、Mysql、SqlServer</w:t>
                  </w:r>
                  <w:r>
                    <w:rPr>
                      <w:rFonts w:hint="eastAsia" w:ascii="Times New Roman" w:hAnsi="Times New Roman" w:cs="Times New Roman"/>
                      <w:color w:val="000000" w:themeColor="text1"/>
                      <w14:textFill>
                        <w14:solidFill>
                          <w14:schemeClr w14:val="tx1"/>
                        </w14:solidFill>
                      </w14:textFill>
                    </w:rPr>
                    <w:t>等</w:t>
                  </w:r>
                  <w:r>
                    <w:rPr>
                      <w:rFonts w:ascii="Times New Roman" w:hAnsi="Times New Roman" w:cs="Times New Roman"/>
                      <w:color w:val="000000" w:themeColor="text1"/>
                      <w14:textFill>
                        <w14:solidFill>
                          <w14:schemeClr w14:val="tx1"/>
                        </w14:solidFill>
                      </w14:textFill>
                    </w:rPr>
                    <w:t>数据源的新增、修改、删除功能，并自由配置该报表的取数规则，实现预览数据集，支持导出和打印。</w:t>
                  </w:r>
                </w:p>
                <w:p w14:paraId="4C49F27F">
                  <w:p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2.填报管理与分析</w:t>
                  </w:r>
                </w:p>
                <w:p w14:paraId="197BA765">
                  <w:pPr>
                    <w:numPr>
                      <w:ilvl w:val="0"/>
                      <w:numId w:val="26"/>
                    </w:numPr>
                    <w:adjustRightInd w:val="0"/>
                    <w:snapToGrid w:val="0"/>
                    <w:rPr>
                      <w:rFonts w:ascii="Times New Roman" w:hAnsi="Times New Roman"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新建服务和对已创建的服务进行管理，可设置服务的分类，开放时间，填报人员范围等；</w:t>
                  </w:r>
                </w:p>
                <w:p w14:paraId="1C8FF00C">
                  <w:pPr>
                    <w:numPr>
                      <w:ilvl w:val="0"/>
                      <w:numId w:val="26"/>
                    </w:numPr>
                    <w:adjustRightInd w:val="0"/>
                    <w:snapToGrid w:val="0"/>
                    <w:rPr>
                      <w:rFonts w:ascii="Times New Roman" w:hAnsi="Times New Roman"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管理员审批填表任务，查看用户审批记录、详细信息、历史记录；</w:t>
                  </w:r>
                </w:p>
                <w:p w14:paraId="63A12468">
                  <w:pPr>
                    <w:numPr>
                      <w:ilvl w:val="0"/>
                      <w:numId w:val="26"/>
                    </w:numPr>
                    <w:adjustRightInd w:val="0"/>
                    <w:snapToGrid w:val="0"/>
                    <w:rPr>
                      <w:rFonts w:ascii="Times New Roman" w:hAnsi="Times New Roman"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管理员通过表单页面设计工具快速拖拽各类组件形成填报表单；</w:t>
                  </w:r>
                </w:p>
                <w:p w14:paraId="5BD93FD9">
                  <w:pPr>
                    <w:numPr>
                      <w:ilvl w:val="0"/>
                      <w:numId w:val="26"/>
                    </w:numPr>
                    <w:adjustRightInd w:val="0"/>
                    <w:snapToGrid w:val="0"/>
                    <w:rPr>
                      <w:rFonts w:ascii="Times New Roman" w:hAnsi="Times New Roman"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管理员对采集任务、填表服务、统计报表三类表单的对外发布功能；</w:t>
                  </w:r>
                </w:p>
                <w:p w14:paraId="5A1C0960">
                  <w:pPr>
                    <w:numPr>
                      <w:ilvl w:val="0"/>
                      <w:numId w:val="26"/>
                    </w:numPr>
                    <w:adjustRightInd w:val="0"/>
                    <w:snapToGrid w:val="0"/>
                    <w:rPr>
                      <w:rFonts w:ascii="Times New Roman" w:hAnsi="Times New Roman"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实现</w:t>
                  </w:r>
                  <w:r>
                    <w:rPr>
                      <w:rFonts w:ascii="Times New Roman" w:hAnsi="Times New Roman" w:cs="Times New Roman"/>
                      <w:color w:val="000000" w:themeColor="text1"/>
                      <w14:textFill>
                        <w14:solidFill>
                          <w14:schemeClr w14:val="tx1"/>
                        </w14:solidFill>
                      </w14:textFill>
                    </w:rPr>
                    <w:t>基于学校已有的数据进行报表制作，也支持直接对一表通采集的数据进行简单的统计分析，实现即采即分析。</w:t>
                  </w:r>
                </w:p>
                <w:p w14:paraId="3B32CBB1">
                  <w:pPr>
                    <w:numPr>
                      <w:ilvl w:val="0"/>
                      <w:numId w:val="26"/>
                    </w:num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统计报表支持复杂报表、敏捷看板，复杂报表可以自定义报表样式及布局，支持丰富的组件，敏捷看板则面向业务人员快速建模，组件支持表格、指标卡、饼图、玫瑰图、环饼图、多系列饼图、仪表盘等</w:t>
                  </w:r>
                  <w:r>
                    <w:rPr>
                      <w:rFonts w:hint="eastAsia" w:ascii="Times New Roman" w:hAnsi="Times New Roman" w:cs="Times New Roman"/>
                      <w:color w:val="000000" w:themeColor="text1"/>
                      <w14:textFill>
                        <w14:solidFill>
                          <w14:schemeClr w14:val="tx1"/>
                        </w14:solidFill>
                      </w14:textFill>
                    </w:rPr>
                    <w:t>各</w:t>
                  </w:r>
                  <w:r>
                    <w:rPr>
                      <w:rFonts w:ascii="Times New Roman" w:hAnsi="Times New Roman" w:cs="Times New Roman"/>
                      <w:color w:val="000000" w:themeColor="text1"/>
                      <w14:textFill>
                        <w14:solidFill>
                          <w14:schemeClr w14:val="tx1"/>
                        </w14:solidFill>
                      </w14:textFill>
                    </w:rPr>
                    <w:t>种常用图表。支持</w:t>
                  </w:r>
                  <w:r>
                    <w:rPr>
                      <w:rFonts w:hint="eastAsia" w:ascii="Times New Roman" w:hAnsi="Times New Roman" w:cs="Times New Roman"/>
                      <w:color w:val="000000" w:themeColor="text1"/>
                      <w14:textFill>
                        <w14:solidFill>
                          <w14:schemeClr w14:val="tx1"/>
                        </w14:solidFill>
                      </w14:textFill>
                    </w:rPr>
                    <w:t>可视化</w:t>
                  </w:r>
                  <w:r>
                    <w:rPr>
                      <w:rFonts w:ascii="Times New Roman" w:hAnsi="Times New Roman" w:cs="Times New Roman"/>
                      <w:color w:val="000000" w:themeColor="text1"/>
                      <w14:textFill>
                        <w14:solidFill>
                          <w14:schemeClr w14:val="tx1"/>
                        </w14:solidFill>
                      </w14:textFill>
                    </w:rPr>
                    <w:t>自定义布局，自动识别指标和维度推荐相应的图表。</w:t>
                  </w:r>
                </w:p>
                <w:p w14:paraId="559FD9DD">
                  <w:pPr>
                    <w:adjustRightInd w:val="0"/>
                    <w:snapToGrid w:val="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3.填报服务</w:t>
                  </w:r>
                </w:p>
                <w:p w14:paraId="15B59007">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（1）实现</w:t>
                  </w:r>
                  <w:r>
                    <w:rPr>
                      <w:rFonts w:ascii="Times New Roman" w:hAnsi="Times New Roman" w:cs="Times New Roman"/>
                      <w:color w:val="000000" w:themeColor="text1"/>
                      <w14:textFill>
                        <w14:solidFill>
                          <w14:schemeClr w14:val="tx1"/>
                        </w14:solidFill>
                      </w14:textFill>
                    </w:rPr>
                    <w:t>展示用户填报任务、填报历史记录、流转审批记录；</w:t>
                  </w:r>
                </w:p>
                <w:p w14:paraId="5674FB8B">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（2）实现</w:t>
                  </w:r>
                  <w:r>
                    <w:rPr>
                      <w:rFonts w:ascii="Times New Roman" w:hAnsi="Times New Roman" w:cs="Times New Roman"/>
                      <w:color w:val="000000" w:themeColor="text1"/>
                      <w14:textFill>
                        <w14:solidFill>
                          <w14:schemeClr w14:val="tx1"/>
                        </w14:solidFill>
                      </w14:textFill>
                    </w:rPr>
                    <w:t>用户在线填报，已配置数据来源的信息自动填充，用户确认填报内容后提交审核，审核通过后批量导出业务报表，填报的数据可留存下来用于其他业务填报；</w:t>
                  </w:r>
                </w:p>
                <w:p w14:paraId="5B105E23">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提供用户填报一站式服务大厅功能，按照业务域的分类，以卡片的方式展示当前用户可使用的填表服务，作为用户填报的统一入口，实现对所有填报服务的全局检索功能。</w:t>
                  </w:r>
                </w:p>
                <w:p w14:paraId="4DB8263B">
                  <w:pPr>
                    <w:adjustRightInd w:val="0"/>
                    <w:snapToGrid w:val="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4.</w:t>
                  </w:r>
                  <w:r>
                    <w:rPr>
                      <w:rFonts w:ascii="Times New Roman" w:hAnsi="Times New Roman" w:cs="Times New Roman"/>
                      <w:b/>
                      <w:bCs/>
                      <w:color w:val="000000" w:themeColor="text1"/>
                      <w14:textFill>
                        <w14:solidFill>
                          <w14:schemeClr w14:val="tx1"/>
                        </w14:solidFill>
                      </w14:textFill>
                    </w:rPr>
                    <w:t>移动端服务：</w:t>
                  </w:r>
                  <w:r>
                    <w:rPr>
                      <w:rFonts w:ascii="Times New Roman" w:hAnsi="Times New Roman" w:cs="Times New Roman"/>
                      <w:color w:val="000000" w:themeColor="text1"/>
                      <w14:textFill>
                        <w14:solidFill>
                          <w14:schemeClr w14:val="tx1"/>
                        </w14:solidFill>
                      </w14:textFill>
                    </w:rPr>
                    <w:t>提供一表通移动端服务，支持移动端填报、审批、报表查看、个人数据中心数据查询等功能，支持嵌入企业微信、公众号、小程序等。</w:t>
                  </w:r>
                </w:p>
              </w:tc>
            </w:tr>
          </w:tbl>
          <w:p w14:paraId="5F69E0AB">
            <w:pP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pPr>
            <w: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t>（5）系统集成服务</w:t>
            </w:r>
          </w:p>
          <w:tbl>
            <w:tblPr>
              <w:tblStyle w:val="5"/>
              <w:tblW w:w="5000" w:type="pct"/>
              <w:tblInd w:w="0" w:type="dxa"/>
              <w:tblLayout w:type="autofit"/>
              <w:tblCellMar>
                <w:top w:w="0" w:type="dxa"/>
                <w:left w:w="108" w:type="dxa"/>
                <w:bottom w:w="0" w:type="dxa"/>
                <w:right w:w="108" w:type="dxa"/>
              </w:tblCellMar>
            </w:tblPr>
            <w:tblGrid>
              <w:gridCol w:w="1176"/>
              <w:gridCol w:w="4875"/>
            </w:tblGrid>
            <w:tr w14:paraId="44993487">
              <w:tblPrEx>
                <w:tblCellMar>
                  <w:top w:w="0" w:type="dxa"/>
                  <w:left w:w="108" w:type="dxa"/>
                  <w:bottom w:w="0" w:type="dxa"/>
                  <w:right w:w="108" w:type="dxa"/>
                </w:tblCellMar>
              </w:tblPrEx>
              <w:trPr>
                <w:trHeight w:val="705"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278B">
                  <w:pPr>
                    <w:widowControl/>
                    <w:adjustRightInd w:val="0"/>
                    <w:snapToGrid w:val="0"/>
                    <w:jc w:val="center"/>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kern w:val="0"/>
                      <w:shd w:val="clear" w:color="auto" w:fill="FFFFFF"/>
                      <w:lang w:bidi="ar"/>
                      <w14:textFill>
                        <w14:solidFill>
                          <w14:schemeClr w14:val="tx1"/>
                        </w14:solidFill>
                      </w14:textFill>
                    </w:rPr>
                    <w:t>建设功能</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CA87">
                  <w:pPr>
                    <w:widowControl/>
                    <w:adjustRightInd w:val="0"/>
                    <w:snapToGrid w:val="0"/>
                    <w:jc w:val="center"/>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kern w:val="0"/>
                      <w:shd w:val="clear" w:color="auto" w:fill="FFFFFF"/>
                      <w:lang w:bidi="ar"/>
                      <w14:textFill>
                        <w14:solidFill>
                          <w14:schemeClr w14:val="tx1"/>
                        </w14:solidFill>
                      </w14:textFill>
                    </w:rPr>
                    <w:t>需求描述</w:t>
                  </w:r>
                </w:p>
              </w:tc>
            </w:tr>
            <w:tr w14:paraId="38DFACFE">
              <w:tblPrEx>
                <w:tblCellMar>
                  <w:top w:w="0" w:type="dxa"/>
                  <w:left w:w="108" w:type="dxa"/>
                  <w:bottom w:w="0" w:type="dxa"/>
                  <w:right w:w="108" w:type="dxa"/>
                </w:tblCellMar>
              </w:tblPrEx>
              <w:trPr>
                <w:trHeight w:val="705"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BDA9">
                  <w:pPr>
                    <w:widowControl/>
                    <w:adjustRightInd w:val="0"/>
                    <w:snapToGrid w:val="0"/>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认证集成</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C994">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接入学校统一认证：</w:t>
                  </w:r>
                </w:p>
                <w:p w14:paraId="26DE3371">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根据学校统一认证的要求，要求将校内现有各系统与统一身份认证平台进行对接，实现身份数据的统一存储，统一管理，实现全校各应用的单点登录。</w:t>
                  </w:r>
                  <w:r>
                    <w:rPr>
                      <w:rFonts w:hint="eastAsia" w:ascii="Times New Roman" w:hAnsi="Times New Roman" w:cs="Times New Roman"/>
                      <w:color w:val="000000" w:themeColor="text1"/>
                      <w14:textFill>
                        <w14:solidFill>
                          <w14:schemeClr w14:val="tx1"/>
                        </w14:solidFill>
                      </w14:textFill>
                    </w:rPr>
                    <w:t>能够实现</w:t>
                  </w:r>
                  <w:r>
                    <w:rPr>
                      <w:rFonts w:ascii="Times New Roman" w:hAnsi="Times New Roman" w:cs="Times New Roman"/>
                      <w:color w:val="000000" w:themeColor="text1"/>
                      <w14:textFill>
                        <w14:solidFill>
                          <w14:schemeClr w14:val="tx1"/>
                        </w14:solidFill>
                      </w14:textFill>
                    </w:rPr>
                    <w:t>Cas</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nginx</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ldap</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oauth2.0</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移动集成等不同</w:t>
                  </w:r>
                  <w:r>
                    <w:rPr>
                      <w:rFonts w:hint="eastAsia" w:ascii="Times New Roman" w:hAnsi="Times New Roman" w:cs="Times New Roman"/>
                      <w:color w:val="000000" w:themeColor="text1"/>
                      <w14:textFill>
                        <w14:solidFill>
                          <w14:schemeClr w14:val="tx1"/>
                        </w14:solidFill>
                      </w14:textFill>
                    </w:rPr>
                    <w:t>多种集成</w:t>
                  </w:r>
                  <w:r>
                    <w:rPr>
                      <w:rFonts w:ascii="Times New Roman" w:hAnsi="Times New Roman" w:cs="Times New Roman"/>
                      <w:color w:val="000000" w:themeColor="text1"/>
                      <w14:textFill>
                        <w14:solidFill>
                          <w14:schemeClr w14:val="tx1"/>
                        </w14:solidFill>
                      </w14:textFill>
                    </w:rPr>
                    <w:t>方式，针对不同类型的系统提供</w:t>
                  </w:r>
                  <w:r>
                    <w:rPr>
                      <w:rFonts w:hint="eastAsia" w:ascii="Times New Roman" w:hAnsi="Times New Roman" w:cs="Times New Roman"/>
                      <w:color w:val="000000" w:themeColor="text1"/>
                      <w14:textFill>
                        <w14:solidFill>
                          <w14:schemeClr w14:val="tx1"/>
                        </w14:solidFill>
                      </w14:textFill>
                    </w:rPr>
                    <w:t>针对性的集成</w:t>
                  </w:r>
                  <w:r>
                    <w:rPr>
                      <w:rFonts w:ascii="Times New Roman" w:hAnsi="Times New Roman" w:cs="Times New Roman"/>
                      <w:color w:val="000000" w:themeColor="text1"/>
                      <w14:textFill>
                        <w14:solidFill>
                          <w14:schemeClr w14:val="tx1"/>
                        </w14:solidFill>
                      </w14:textFill>
                    </w:rPr>
                    <w:t>服务。</w:t>
                  </w:r>
                </w:p>
              </w:tc>
            </w:tr>
            <w:tr w14:paraId="7869629F">
              <w:tblPrEx>
                <w:tblCellMar>
                  <w:top w:w="0" w:type="dxa"/>
                  <w:left w:w="108" w:type="dxa"/>
                  <w:bottom w:w="0" w:type="dxa"/>
                  <w:right w:w="108" w:type="dxa"/>
                </w:tblCellMar>
              </w:tblPrEx>
              <w:trPr>
                <w:trHeight w:val="328"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29E9">
                  <w:pPr>
                    <w:widowControl/>
                    <w:adjustRightInd w:val="0"/>
                    <w:snapToGrid w:val="0"/>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数据集成</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4D8F">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接入学校统一数据中台：</w:t>
                  </w:r>
                </w:p>
                <w:p w14:paraId="1CBA5174">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根据学校信息化统一建设标准，要求将学校现有各业务系统产生的所有数据对接至学校数据中心，系统所需其他相关数据时也要直接对接数据中心，实现数据集成与共享。</w:t>
                  </w:r>
                </w:p>
              </w:tc>
            </w:tr>
            <w:tr w14:paraId="3F52D19F">
              <w:tblPrEx>
                <w:tblCellMar>
                  <w:top w:w="0" w:type="dxa"/>
                  <w:left w:w="108" w:type="dxa"/>
                  <w:bottom w:w="0" w:type="dxa"/>
                  <w:right w:w="108" w:type="dxa"/>
                </w:tblCellMar>
              </w:tblPrEx>
              <w:trPr>
                <w:trHeight w:val="705" w:hRule="atLeast"/>
              </w:trPr>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333A">
                  <w:pPr>
                    <w:widowControl/>
                    <w:adjustRightInd w:val="0"/>
                    <w:snapToGrid w:val="0"/>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门户集成</w:t>
                  </w:r>
                </w:p>
              </w:tc>
              <w:tc>
                <w:tcPr>
                  <w:tcW w:w="4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3522">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对接学校融合门户平台：</w:t>
                  </w:r>
                </w:p>
                <w:p w14:paraId="28F65995">
                  <w:pPr>
                    <w:widowControl/>
                    <w:adjustRightInd w:val="0"/>
                    <w:snapToGrid w:val="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要求</w:t>
                  </w:r>
                  <w:r>
                    <w:rPr>
                      <w:rFonts w:hint="eastAsia" w:ascii="Times New Roman" w:hAnsi="Times New Roman" w:cs="Times New Roman"/>
                      <w:color w:val="000000" w:themeColor="text1"/>
                      <w14:textFill>
                        <w14:solidFill>
                          <w14:schemeClr w14:val="tx1"/>
                        </w14:solidFill>
                      </w14:textFill>
                    </w:rPr>
                    <w:t>将</w:t>
                  </w:r>
                  <w:r>
                    <w:rPr>
                      <w:rFonts w:ascii="Times New Roman" w:hAnsi="Times New Roman" w:cs="Times New Roman"/>
                      <w:color w:val="000000" w:themeColor="text1"/>
                      <w14:textFill>
                        <w14:solidFill>
                          <w14:schemeClr w14:val="tx1"/>
                        </w14:solidFill>
                      </w14:textFill>
                    </w:rPr>
                    <w:t>学校现有系统全部接入学校融合门户平台，实现系统访问统一门户。并要求根据业务场景需求统一进行消息集成配置和待办的集成配置，并完成相关接口和数据安全权限的授予</w:t>
                  </w:r>
                  <w:r>
                    <w:rPr>
                      <w:rFonts w:hint="eastAsia" w:ascii="Times New Roman" w:hAnsi="Times New Roman" w:cs="Times New Roman"/>
                      <w:color w:val="000000" w:themeColor="text1"/>
                      <w14:textFill>
                        <w14:solidFill>
                          <w14:schemeClr w14:val="tx1"/>
                        </w14:solidFill>
                      </w14:textFill>
                    </w:rPr>
                    <w:t>等工作</w:t>
                  </w:r>
                  <w:r>
                    <w:rPr>
                      <w:rFonts w:ascii="Times New Roman" w:hAnsi="Times New Roman" w:cs="Times New Roman"/>
                      <w:color w:val="000000" w:themeColor="text1"/>
                      <w14:textFill>
                        <w14:solidFill>
                          <w14:schemeClr w14:val="tx1"/>
                        </w14:solidFill>
                      </w14:textFill>
                    </w:rPr>
                    <w:t>。</w:t>
                  </w:r>
                </w:p>
              </w:tc>
            </w:tr>
          </w:tbl>
          <w:p w14:paraId="4E894D05">
            <w:pP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pPr>
            <w: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t>（6）数据治理服务</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4709"/>
            </w:tblGrid>
            <w:tr w14:paraId="224E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pct"/>
                  <w:vAlign w:val="center"/>
                </w:tcPr>
                <w:p w14:paraId="3EB37015">
                  <w:pPr>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服务内容</w:t>
                  </w:r>
                </w:p>
              </w:tc>
              <w:tc>
                <w:tcPr>
                  <w:tcW w:w="3897" w:type="pct"/>
                </w:tcPr>
                <w:p w14:paraId="31B484DB">
                  <w:pPr>
                    <w:pStyle w:val="9"/>
                    <w:adjustRightInd w:val="0"/>
                    <w:snapToGrid w:val="0"/>
                    <w:jc w:val="center"/>
                    <w:rPr>
                      <w:rFonts w:eastAsiaTheme="minorEastAsia"/>
                      <w:b/>
                      <w:bCs/>
                      <w:color w:val="000000" w:themeColor="text1"/>
                      <w14:textFill>
                        <w14:solidFill>
                          <w14:schemeClr w14:val="tx1"/>
                        </w14:solidFill>
                      </w14:textFill>
                    </w:rPr>
                  </w:pPr>
                  <w:r>
                    <w:rPr>
                      <w:rFonts w:eastAsiaTheme="minorEastAsia"/>
                      <w:b/>
                      <w:bCs/>
                      <w:color w:val="000000" w:themeColor="text1"/>
                      <w14:textFill>
                        <w14:solidFill>
                          <w14:schemeClr w14:val="tx1"/>
                        </w14:solidFill>
                      </w14:textFill>
                    </w:rPr>
                    <w:t>需求描述</w:t>
                  </w:r>
                </w:p>
              </w:tc>
            </w:tr>
            <w:tr w14:paraId="13E9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pct"/>
                  <w:vAlign w:val="center"/>
                </w:tcPr>
                <w:p w14:paraId="19F5DCD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数据标准制定服务</w:t>
                  </w:r>
                </w:p>
              </w:tc>
              <w:tc>
                <w:tcPr>
                  <w:tcW w:w="3897" w:type="pct"/>
                </w:tcPr>
                <w:p w14:paraId="11916E2F">
                  <w:pPr>
                    <w:pStyle w:val="9"/>
                    <w:numPr>
                      <w:ilvl w:val="0"/>
                      <w:numId w:val="27"/>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要求根据国家标准、代码标准，教育部标准、代码集，以及行业标准，并结合我校业务和数据特点进行归纳整理，建设一套符合学校实际情况的《数据标准模型》、《标准代码集》、《核心校标及编码规范》；</w:t>
                  </w:r>
                </w:p>
                <w:p w14:paraId="22B2927A">
                  <w:pPr>
                    <w:pStyle w:val="9"/>
                    <w:numPr>
                      <w:ilvl w:val="0"/>
                      <w:numId w:val="27"/>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依据我校数据治理范围构建元数据子集相应的代码标准，每个元数据子集都对应着相应的标准代码，以及代码的定义与说明；</w:t>
                  </w:r>
                </w:p>
                <w:p w14:paraId="00FF6B60">
                  <w:pPr>
                    <w:pStyle w:val="9"/>
                    <w:numPr>
                      <w:ilvl w:val="0"/>
                      <w:numId w:val="27"/>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依据我校数据治理范围制定学校自定义编码规范，提供相关规范文档；</w:t>
                  </w:r>
                </w:p>
                <w:p w14:paraId="4E505175">
                  <w:pPr>
                    <w:pStyle w:val="9"/>
                    <w:numPr>
                      <w:ilvl w:val="0"/>
                      <w:numId w:val="27"/>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将代码标准、数据元素及标准数据模型导入数据基座完成初始化。</w:t>
                  </w:r>
                </w:p>
              </w:tc>
            </w:tr>
            <w:tr w14:paraId="7DD3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pct"/>
                  <w:vAlign w:val="center"/>
                </w:tcPr>
                <w:p w14:paraId="75F462B7">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业务数据治理服务</w:t>
                  </w:r>
                </w:p>
              </w:tc>
              <w:tc>
                <w:tcPr>
                  <w:tcW w:w="3897" w:type="pct"/>
                </w:tcPr>
                <w:p w14:paraId="204253A1">
                  <w:pPr>
                    <w:pStyle w:val="9"/>
                    <w:numPr>
                      <w:ilvl w:val="0"/>
                      <w:numId w:val="28"/>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对学校现有业务系统进行梳理，收集系统相关材料包括数据库权限、数据字典、系统访问权限、核心编码规范。明确本期项目数据治理实施范围和边界，提供《业务系统资产盘点表》、《部门数据治理责任清单》；</w:t>
                  </w:r>
                </w:p>
                <w:p w14:paraId="219B9405">
                  <w:pPr>
                    <w:pStyle w:val="9"/>
                    <w:numPr>
                      <w:ilvl w:val="0"/>
                      <w:numId w:val="28"/>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对学校各二级单位现有数据进行调研，明确系统中现有数据和线下数据，提供《部门数据调研报告》；</w:t>
                  </w:r>
                </w:p>
                <w:p w14:paraId="7D1DA191">
                  <w:pPr>
                    <w:pStyle w:val="9"/>
                    <w:numPr>
                      <w:ilvl w:val="0"/>
                      <w:numId w:val="28"/>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完成业务系统数据的采集、识别、添加含义注释等工作；</w:t>
                  </w:r>
                </w:p>
                <w:p w14:paraId="64AA38C5">
                  <w:pPr>
                    <w:pStyle w:val="9"/>
                    <w:numPr>
                      <w:ilvl w:val="0"/>
                      <w:numId w:val="28"/>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对各业务部门提供的线下Excel电子表格数据进行采集，将数据存储到数据湖中；</w:t>
                  </w:r>
                </w:p>
                <w:p w14:paraId="6375D195">
                  <w:pPr>
                    <w:pStyle w:val="9"/>
                    <w:numPr>
                      <w:ilvl w:val="0"/>
                      <w:numId w:val="28"/>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根据数据采集、清洗中梳理的信息，输出数据供需关系，包含但不限于数据采集源信息、原始数据数据字典集合、数据质量检核报告、元数据库、数据血缘关系等。</w:t>
                  </w:r>
                </w:p>
              </w:tc>
            </w:tr>
            <w:tr w14:paraId="21A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pct"/>
                  <w:vAlign w:val="center"/>
                </w:tcPr>
                <w:p w14:paraId="419BF77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数据清洗与标准化服务</w:t>
                  </w:r>
                </w:p>
              </w:tc>
              <w:tc>
                <w:tcPr>
                  <w:tcW w:w="3897" w:type="pct"/>
                </w:tcPr>
                <w:p w14:paraId="29E1386F">
                  <w:pPr>
                    <w:pStyle w:val="9"/>
                    <w:numPr>
                      <w:ilvl w:val="0"/>
                      <w:numId w:val="29"/>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根据数据质量管理的要求，对问题数据利用相关技术的数据清洗规则，转化成满足数据质量要求的数据；</w:t>
                  </w:r>
                </w:p>
                <w:p w14:paraId="5C111AE1">
                  <w:pPr>
                    <w:pStyle w:val="9"/>
                    <w:numPr>
                      <w:ilvl w:val="0"/>
                      <w:numId w:val="29"/>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对包含管理数据的电子表格数据，进行必要的规范化、标准化处理后，利用数据填报软件进行线上化处理，利用数据库进行存储和管理；</w:t>
                  </w:r>
                </w:p>
                <w:p w14:paraId="76037AC7">
                  <w:pPr>
                    <w:pStyle w:val="9"/>
                    <w:numPr>
                      <w:ilvl w:val="0"/>
                      <w:numId w:val="29"/>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确认权威数据源，将两系统相同字段进行去重处理，扩展数据维度；</w:t>
                  </w:r>
                </w:p>
                <w:p w14:paraId="2E745548">
                  <w:pPr>
                    <w:pStyle w:val="9"/>
                    <w:numPr>
                      <w:ilvl w:val="0"/>
                      <w:numId w:val="29"/>
                    </w:numPr>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将数据湖中的数据依据最新的数据标准进行数据清洗和标准化后纳入数据仓库各业务域下进行分类存储。</w:t>
                  </w:r>
                </w:p>
              </w:tc>
            </w:tr>
            <w:tr w14:paraId="433E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pct"/>
                  <w:vAlign w:val="center"/>
                </w:tcPr>
                <w:p w14:paraId="35AA01A0">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数据中心构建服务</w:t>
                  </w:r>
                </w:p>
              </w:tc>
              <w:tc>
                <w:tcPr>
                  <w:tcW w:w="3897" w:type="pct"/>
                </w:tcPr>
                <w:p w14:paraId="4C2D2299">
                  <w:pPr>
                    <w:pStyle w:val="9"/>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（1）根据梳理的数据标准、数据模型、代码集等，生成数据子集分类方案，结合数据模型，生成建库语句、建表语句，最终建成包含贴源层、标准层和主题层的全域数据中心；</w:t>
                  </w:r>
                </w:p>
                <w:p w14:paraId="4BB79CAE">
                  <w:pPr>
                    <w:pStyle w:val="9"/>
                    <w:adjustRightInd w:val="0"/>
                    <w:snapToGrid w:val="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（2）将治理完成后的资产按照主题进行分类，进行开放共享数据集市的配置，进行数据资产发布出去供上层应用进行调用。</w:t>
                  </w:r>
                </w:p>
              </w:tc>
            </w:tr>
            <w:tr w14:paraId="0796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pct"/>
                  <w:vAlign w:val="center"/>
                </w:tcPr>
                <w:p w14:paraId="04F3E97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数据质量检查服务</w:t>
                  </w:r>
                </w:p>
              </w:tc>
              <w:tc>
                <w:tcPr>
                  <w:tcW w:w="3897" w:type="pct"/>
                </w:tcPr>
                <w:p w14:paraId="55AEA25E">
                  <w:pPr>
                    <w:pStyle w:val="9"/>
                    <w:adjustRightInd w:val="0"/>
                    <w:snapToGrid w:val="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（1）</w:t>
                  </w:r>
                  <w:r>
                    <w:rPr>
                      <w:rFonts w:eastAsiaTheme="minorEastAsia"/>
                      <w:color w:val="000000" w:themeColor="text1"/>
                      <w14:textFill>
                        <w14:solidFill>
                          <w14:schemeClr w14:val="tx1"/>
                        </w14:solidFill>
                      </w14:textFill>
                    </w:rPr>
                    <w:t>根据数据的质量特性，制定合理的质量规则，要求支持多种数据质量规则定义；</w:t>
                  </w:r>
                </w:p>
                <w:p w14:paraId="51501D02">
                  <w:pPr>
                    <w:pStyle w:val="9"/>
                    <w:adjustRightInd w:val="0"/>
                    <w:snapToGrid w:val="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（2）</w:t>
                  </w:r>
                  <w:r>
                    <w:rPr>
                      <w:rFonts w:eastAsiaTheme="minorEastAsia"/>
                      <w:color w:val="000000" w:themeColor="text1"/>
                      <w14:textFill>
                        <w14:solidFill>
                          <w14:schemeClr w14:val="tx1"/>
                        </w14:solidFill>
                      </w14:textFill>
                    </w:rPr>
                    <w:t>对数据治理服务中集成的数据进行数据质量检测服务，输出相应的数据质量报告，并将数据质量检测结果反馈至数据中台的前端，便于对应责任部门线上认领、跟进处理；</w:t>
                  </w:r>
                </w:p>
                <w:p w14:paraId="7E2B1005">
                  <w:pPr>
                    <w:pStyle w:val="9"/>
                    <w:adjustRightInd w:val="0"/>
                    <w:snapToGrid w:val="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（3）</w:t>
                  </w:r>
                  <w:r>
                    <w:rPr>
                      <w:rFonts w:eastAsiaTheme="minorEastAsia"/>
                      <w:color w:val="000000" w:themeColor="text1"/>
                      <w14:textFill>
                        <w14:solidFill>
                          <w14:schemeClr w14:val="tx1"/>
                        </w14:solidFill>
                      </w14:textFill>
                    </w:rPr>
                    <w:t>基于检测的数据项数量和质量检测结果，对数据质量行归一化评分。</w:t>
                  </w:r>
                </w:p>
              </w:tc>
            </w:tr>
            <w:tr w14:paraId="7179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pct"/>
                  <w:vAlign w:val="center"/>
                </w:tcPr>
                <w:p w14:paraId="433B393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数据共享交换服务</w:t>
                  </w:r>
                </w:p>
              </w:tc>
              <w:tc>
                <w:tcPr>
                  <w:tcW w:w="3897" w:type="pct"/>
                </w:tcPr>
                <w:p w14:paraId="102C16CE">
                  <w:pPr>
                    <w:pStyle w:val="9"/>
                    <w:adjustRightInd w:val="0"/>
                    <w:snapToGrid w:val="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（1）</w:t>
                  </w:r>
                  <w:r>
                    <w:rPr>
                      <w:rFonts w:eastAsiaTheme="minorEastAsia"/>
                      <w:color w:val="000000" w:themeColor="text1"/>
                      <w14:textFill>
                        <w14:solidFill>
                          <w14:schemeClr w14:val="tx1"/>
                        </w14:solidFill>
                      </w14:textFill>
                    </w:rPr>
                    <w:t>对学校现有数据交换工具的接口进行梳理，确认数据接口或API服务迁移范围，制定《新老平台迁移方案》，明确需要支撑的业务清单及涉及接口，明确迁移的时间安排，明确老平台退出策略；</w:t>
                  </w:r>
                </w:p>
                <w:p w14:paraId="006D9A9E">
                  <w:pPr>
                    <w:pStyle w:val="9"/>
                    <w:adjustRightInd w:val="0"/>
                    <w:snapToGrid w:val="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（2）</w:t>
                  </w:r>
                  <w:r>
                    <w:rPr>
                      <w:rFonts w:eastAsiaTheme="minorEastAsia"/>
                      <w:color w:val="000000" w:themeColor="text1"/>
                      <w14:textFill>
                        <w14:solidFill>
                          <w14:schemeClr w14:val="tx1"/>
                        </w14:solidFill>
                      </w14:textFill>
                    </w:rPr>
                    <w:t>制定《数据需求申请审核规范》，明确学校数据需求申请流程；</w:t>
                  </w:r>
                </w:p>
                <w:p w14:paraId="37A92981">
                  <w:pPr>
                    <w:pStyle w:val="9"/>
                    <w:adjustRightInd w:val="0"/>
                    <w:snapToGrid w:val="0"/>
                    <w:rPr>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（3）</w:t>
                  </w:r>
                  <w:r>
                    <w:rPr>
                      <w:rFonts w:eastAsiaTheme="minorEastAsia"/>
                      <w:color w:val="000000" w:themeColor="text1"/>
                      <w14:textFill>
                        <w14:solidFill>
                          <w14:schemeClr w14:val="tx1"/>
                        </w14:solidFill>
                      </w14:textFill>
                    </w:rPr>
                    <w:t>集中受理数据需求后，定期完成共享交换接口开发工作。</w:t>
                  </w:r>
                </w:p>
              </w:tc>
            </w:tr>
          </w:tbl>
          <w:p w14:paraId="6398278F">
            <w:pP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pPr>
            <w: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t>（7）</w:t>
            </w:r>
            <w:r>
              <w:rPr>
                <w:rFonts w:ascii="仿宋_GB2312" w:hAnsi="宋体" w:eastAsia="仿宋_GB2312" w:cs="宋体"/>
                <w:b/>
                <w:bCs/>
                <w:color w:val="000000" w:themeColor="text1"/>
                <w:kern w:val="0"/>
                <w:sz w:val="28"/>
                <w:szCs w:val="28"/>
                <w:shd w:val="clear" w:color="auto" w:fill="FFFFFF"/>
                <w14:textFill>
                  <w14:solidFill>
                    <w14:schemeClr w14:val="tx1"/>
                  </w14:solidFill>
                </w14:textFill>
              </w:rPr>
              <w:t>定制开发服务</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4810"/>
            </w:tblGrid>
            <w:tr w14:paraId="1C2A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180239FC">
                  <w:pPr>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采购内容</w:t>
                  </w:r>
                </w:p>
              </w:tc>
              <w:tc>
                <w:tcPr>
                  <w:tcW w:w="3981" w:type="pct"/>
                </w:tcPr>
                <w:p w14:paraId="3F8A9932">
                  <w:pPr>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需求描述</w:t>
                  </w:r>
                </w:p>
              </w:tc>
            </w:tr>
            <w:tr w14:paraId="6755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72D5570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校园应用服务梳理与构建</w:t>
                  </w:r>
                </w:p>
              </w:tc>
              <w:tc>
                <w:tcPr>
                  <w:tcW w:w="3981" w:type="pct"/>
                  <w:vAlign w:val="center"/>
                </w:tcPr>
                <w:p w14:paraId="444F2D6B">
                  <w:pPr>
                    <w:adjustRightInd w:val="0"/>
                    <w:snapToGrid w:val="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要求结合学校实际业务需求，全面梳理面向学校、师生、家长和校友提供的管理服务事项，精简归并不同层级、部门的同类事项，规范工作流程，形成办事指南与办事事项目录，并利用流程工具搭建至少20个相关校园服务应用。</w:t>
                  </w:r>
                </w:p>
              </w:tc>
            </w:tr>
            <w:tr w14:paraId="5B79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29E27F27">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门户定制开发</w:t>
                  </w:r>
                </w:p>
              </w:tc>
              <w:tc>
                <w:tcPr>
                  <w:tcW w:w="3981" w:type="pct"/>
                  <w:vAlign w:val="center"/>
                </w:tcPr>
                <w:p w14:paraId="40EF69A2">
                  <w:pPr>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配合学校现场设计一套落地的页面呈现方案（PC&amp;H5），合计包含至少10个非标卡片设计以及10独立页面设计。至少提供5套完整主题，包含开学季，考试季，毕业季，校庆周年，党建宣传主题（完整的主题包含但不限于配色、文字、图片、欢迎图片）。主题可以根据校历自动切换，也可手动切换。要支持双适配。</w:t>
                  </w:r>
                </w:p>
              </w:tc>
            </w:tr>
            <w:tr w14:paraId="224F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14:paraId="74878B3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业务表单构建</w:t>
                  </w:r>
                </w:p>
              </w:tc>
              <w:tc>
                <w:tcPr>
                  <w:tcW w:w="3981" w:type="pct"/>
                  <w:vAlign w:val="center"/>
                </w:tcPr>
                <w:p w14:paraId="13B9124A">
                  <w:pPr>
                    <w:tabs>
                      <w:tab w:val="left" w:pos="312"/>
                    </w:tabs>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根据学校的业务需求，使用数据填报工具快速构建至少5个相应的业务表单，包括审核流程和业务报表，可以设置业务开放范围和开放时间。</w:t>
                  </w:r>
                </w:p>
              </w:tc>
            </w:tr>
          </w:tbl>
          <w:p w14:paraId="1A85D3E5">
            <w:pPr>
              <w:pStyle w:val="8"/>
              <w:rPr>
                <w:rFonts w:hint="default"/>
              </w:rPr>
            </w:pPr>
          </w:p>
          <w:p w14:paraId="3ACFDF55">
            <w:pP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pPr>
            <w:r>
              <w:rPr>
                <w:rFonts w:hint="eastAsia" w:ascii="仿宋_GB2312" w:hAnsi="宋体" w:eastAsia="仿宋_GB2312" w:cs="宋体"/>
                <w:b/>
                <w:bCs/>
                <w:color w:val="000000" w:themeColor="text1"/>
                <w:kern w:val="0"/>
                <w:sz w:val="28"/>
                <w:szCs w:val="28"/>
                <w:shd w:val="clear" w:color="auto" w:fill="FFFFFF"/>
                <w14:textFill>
                  <w14:solidFill>
                    <w14:schemeClr w14:val="tx1"/>
                  </w14:solidFill>
                </w14:textFill>
              </w:rPr>
              <w:t>2、性能、安全及国产化要求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054"/>
              <w:gridCol w:w="4244"/>
            </w:tblGrid>
            <w:tr w14:paraId="2597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vAlign w:val="center"/>
                </w:tcPr>
                <w:p w14:paraId="04199C54">
                  <w:pPr>
                    <w:widowControl/>
                    <w:adjustRightInd w:val="0"/>
                    <w:snapToGrid w:val="0"/>
                    <w:jc w:val="center"/>
                    <w:textAlignment w:val="center"/>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性能要求</w:t>
                  </w:r>
                </w:p>
              </w:tc>
              <w:tc>
                <w:tcPr>
                  <w:tcW w:w="872" w:type="pct"/>
                  <w:vAlign w:val="center"/>
                </w:tcPr>
                <w:p w14:paraId="511FC143">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融合门户、统一身份认证平台</w:t>
                  </w:r>
                </w:p>
              </w:tc>
              <w:tc>
                <w:tcPr>
                  <w:tcW w:w="3513" w:type="pct"/>
                  <w:vAlign w:val="center"/>
                </w:tcPr>
                <w:p w14:paraId="48BA26F6">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实现</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000以上用户并发登录，在</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000用户并发登录时，平均响应时间不超过2</w:t>
                  </w:r>
                  <w:r>
                    <w:rPr>
                      <w:rFonts w:hint="eastAsia"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秒，事务成功率不低于95%。提供具有CNAS或CMA标识的测评机构提供的检测报告</w:t>
                  </w:r>
                  <w:r>
                    <w:rPr>
                      <w:rFonts w:hint="eastAsia" w:ascii="Times New Roman" w:hAnsi="Times New Roman" w:cs="Times New Roman"/>
                      <w:color w:val="000000" w:themeColor="text1"/>
                      <w14:textFill>
                        <w14:solidFill>
                          <w14:schemeClr w14:val="tx1"/>
                        </w14:solidFill>
                      </w14:textFill>
                    </w:rPr>
                    <w:t>。</w:t>
                  </w:r>
                </w:p>
              </w:tc>
            </w:tr>
            <w:tr w14:paraId="407E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continue"/>
                  <w:vAlign w:val="center"/>
                </w:tcPr>
                <w:p w14:paraId="63254FD3">
                  <w:pPr>
                    <w:widowControl/>
                    <w:adjustRightInd w:val="0"/>
                    <w:snapToGrid w:val="0"/>
                    <w:jc w:val="center"/>
                    <w:textAlignment w:val="center"/>
                    <w:rPr>
                      <w:rFonts w:ascii="Times New Roman" w:hAnsi="Times New Roman" w:cs="Times New Roman"/>
                      <w:b/>
                      <w:bCs/>
                      <w:color w:val="000000" w:themeColor="text1"/>
                      <w14:textFill>
                        <w14:solidFill>
                          <w14:schemeClr w14:val="tx1"/>
                        </w14:solidFill>
                      </w14:textFill>
                    </w:rPr>
                  </w:pPr>
                </w:p>
              </w:tc>
              <w:tc>
                <w:tcPr>
                  <w:tcW w:w="872" w:type="pct"/>
                  <w:vAlign w:val="center"/>
                </w:tcPr>
                <w:p w14:paraId="1C6E91C9">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数据中台</w:t>
                  </w:r>
                </w:p>
              </w:tc>
              <w:tc>
                <w:tcPr>
                  <w:tcW w:w="3513" w:type="pct"/>
                  <w:vAlign w:val="center"/>
                </w:tcPr>
                <w:p w14:paraId="6CF2D737">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实现500以上用户并发查询，平均响应时间不超过1秒，事务成功率不低于95%。</w:t>
                  </w:r>
                  <w:r>
                    <w:rPr>
                      <w:rFonts w:ascii="Times New Roman" w:hAnsi="Times New Roman" w:cs="Times New Roman"/>
                      <w:color w:val="000000" w:themeColor="text1"/>
                      <w14:textFill>
                        <w14:solidFill>
                          <w14:schemeClr w14:val="tx1"/>
                        </w14:solidFill>
                      </w14:textFill>
                    </w:rPr>
                    <w:t>提供具有CNAS或CMA标识的测评机构提供的检测报告</w:t>
                  </w:r>
                  <w:r>
                    <w:rPr>
                      <w:rFonts w:hint="eastAsia" w:ascii="Times New Roman" w:hAnsi="Times New Roman" w:cs="Times New Roman"/>
                      <w:color w:val="000000" w:themeColor="text1"/>
                      <w14:textFill>
                        <w14:solidFill>
                          <w14:schemeClr w14:val="tx1"/>
                        </w14:solidFill>
                      </w14:textFill>
                    </w:rPr>
                    <w:t>。</w:t>
                  </w:r>
                </w:p>
              </w:tc>
            </w:tr>
            <w:tr w14:paraId="664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615" w:type="pct"/>
                  <w:vAlign w:val="center"/>
                </w:tcPr>
                <w:p w14:paraId="5772CE95">
                  <w:pPr>
                    <w:widowControl/>
                    <w:adjustRightInd w:val="0"/>
                    <w:snapToGrid w:val="0"/>
                    <w:jc w:val="center"/>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安全要求</w:t>
                  </w:r>
                </w:p>
              </w:tc>
              <w:tc>
                <w:tcPr>
                  <w:tcW w:w="872" w:type="pct"/>
                  <w:vAlign w:val="center"/>
                </w:tcPr>
                <w:p w14:paraId="0AB0EC11">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融合门户、统一身份认证平台、数据中台</w:t>
                  </w:r>
                </w:p>
              </w:tc>
              <w:tc>
                <w:tcPr>
                  <w:tcW w:w="3513" w:type="pct"/>
                  <w:vAlign w:val="center"/>
                </w:tcPr>
                <w:p w14:paraId="2E26AB79">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满足网络安全等级保护第三级要求，在应用系统这一安全层面对身份鉴别、访问控制、安全审计、入侵防范、数据完整性、数据保密性、数据备份恢复等安全控制点进行测试，要求投标人提供第三方信息安全评测机构出具的等级测评报告复印件加盖公章</w:t>
                  </w:r>
                  <w:r>
                    <w:rPr>
                      <w:rFonts w:hint="eastAsia" w:ascii="Times New Roman" w:hAnsi="Times New Roman" w:cs="Times New Roman"/>
                      <w:color w:val="000000" w:themeColor="text1"/>
                      <w14:textFill>
                        <w14:solidFill>
                          <w14:schemeClr w14:val="tx1"/>
                        </w14:solidFill>
                      </w14:textFill>
                    </w:rPr>
                    <w:t>。</w:t>
                  </w:r>
                </w:p>
              </w:tc>
            </w:tr>
            <w:tr w14:paraId="07D6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22F3A5DA">
                  <w:pPr>
                    <w:widowControl/>
                    <w:adjustRightInd w:val="0"/>
                    <w:snapToGrid w:val="0"/>
                    <w:jc w:val="center"/>
                    <w:textAlignment w:val="center"/>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国产化要求</w:t>
                  </w:r>
                </w:p>
              </w:tc>
              <w:tc>
                <w:tcPr>
                  <w:tcW w:w="872" w:type="pct"/>
                  <w:vAlign w:val="center"/>
                </w:tcPr>
                <w:p w14:paraId="6362559A">
                  <w:pPr>
                    <w:widowControl/>
                    <w:adjustRightInd w:val="0"/>
                    <w:snapToGrid w:val="0"/>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融合门户、统一身份认证平台、数据中台</w:t>
                  </w:r>
                </w:p>
              </w:tc>
              <w:tc>
                <w:tcPr>
                  <w:tcW w:w="3513" w:type="pct"/>
                  <w:vAlign w:val="center"/>
                </w:tcPr>
                <w:p w14:paraId="073BCCE9">
                  <w:pPr>
                    <w:widowControl/>
                    <w:adjustRightInd w:val="0"/>
                    <w:snapToGrid w:val="0"/>
                    <w:textAlignment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为满足国产化和信创要求，产品须支持并适配主流国产数据库</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适配国产处理器和国产服务器操作系统，要求</w:t>
                  </w:r>
                  <w:r>
                    <w:rPr>
                      <w:rFonts w:hint="eastAsia" w:ascii="Times New Roman" w:hAnsi="Times New Roman" w:cs="Times New Roman"/>
                      <w:color w:val="000000" w:themeColor="text1"/>
                      <w14:textFill>
                        <w14:solidFill>
                          <w14:schemeClr w14:val="tx1"/>
                        </w14:solidFill>
                      </w14:textFill>
                    </w:rPr>
                    <w:t>各</w:t>
                  </w:r>
                  <w:r>
                    <w:rPr>
                      <w:rFonts w:ascii="Times New Roman" w:hAnsi="Times New Roman" w:cs="Times New Roman"/>
                      <w:color w:val="000000" w:themeColor="text1"/>
                      <w14:textFill>
                        <w14:solidFill>
                          <w14:schemeClr w14:val="tx1"/>
                        </w14:solidFill>
                      </w14:textFill>
                    </w:rPr>
                    <w:t>提供至少</w:t>
                  </w: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种兼容性认证证书并加盖公章。</w:t>
                  </w:r>
                </w:p>
              </w:tc>
            </w:tr>
          </w:tbl>
          <w:p w14:paraId="4586CC04">
            <w:pPr>
              <w:pStyle w:val="8"/>
              <w:rPr>
                <w:rFonts w:hint="default"/>
              </w:rPr>
            </w:pPr>
          </w:p>
        </w:tc>
      </w:tr>
      <w:tr w14:paraId="175AA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1" w:type="dxa"/>
          </w:tcPr>
          <w:p w14:paraId="2EF619DE"/>
        </w:tc>
        <w:tc>
          <w:tcPr>
            <w:tcW w:w="769" w:type="dxa"/>
          </w:tcPr>
          <w:p w14:paraId="3D339354">
            <w:pPr>
              <w:pStyle w:val="8"/>
              <w:rPr>
                <w:rFonts w:hint="default"/>
                <w:lang w:eastAsia="zh-CN"/>
              </w:rPr>
            </w:pPr>
            <w:r>
              <w:rPr>
                <w:lang w:eastAsia="zh-CN"/>
              </w:rPr>
              <w:t>4</w:t>
            </w:r>
          </w:p>
        </w:tc>
        <w:tc>
          <w:tcPr>
            <w:tcW w:w="6267" w:type="dxa"/>
          </w:tcPr>
          <w:p w14:paraId="61B9B103">
            <w:pPr>
              <w:pStyle w:val="8"/>
              <w:rPr>
                <w:rFonts w:hint="default"/>
                <w:lang w:eastAsia="zh-CN"/>
              </w:rPr>
            </w:pPr>
            <w:r>
              <w:rPr>
                <w:lang w:eastAsia="zh-CN"/>
              </w:rPr>
              <w:t>其他要求</w:t>
            </w:r>
          </w:p>
          <w:p w14:paraId="10B89AC8">
            <w:pPr>
              <w:pStyle w:val="8"/>
              <w:rPr>
                <w:rFonts w:hint="default"/>
                <w:lang w:eastAsia="zh-CN"/>
              </w:rPr>
            </w:pPr>
            <w:r>
              <w:rPr>
                <w:lang w:eastAsia="zh-CN"/>
              </w:rPr>
              <w:t>（1）验收交付标准和方法：合同中所有采购相关配套软件及服务。验收标准：服务使用单位组成验收小组，验收小组对供应商提供的服务的名称、版本、配置、规格、技术性能、数量、服务承诺及结果等，对照政府采购合同、供应商投标（响应）文件等逐项进行现场检验、核对和验收。验收流程为两级验收：使用单位初步验收合格后向国资处提交初验报告单，由国资处组织验收小组进行终验 。</w:t>
            </w:r>
          </w:p>
          <w:p w14:paraId="764AB1B3">
            <w:pPr>
              <w:pStyle w:val="8"/>
              <w:rPr>
                <w:rFonts w:hint="default"/>
                <w:lang w:eastAsia="zh-CN"/>
              </w:rPr>
            </w:pPr>
            <w:r>
              <w:rPr>
                <w:lang w:eastAsia="zh-CN"/>
              </w:rPr>
              <w:t>（2）质量保修范围和保修期：质保服务期3年，在服务期内乙方应免费提供本项目所交付软件的原厂售后服务，并免费升级软件系统版本。乙方需提供不少于1年的驻场服务。</w:t>
            </w:r>
          </w:p>
          <w:p w14:paraId="7BAE6339">
            <w:pPr>
              <w:pStyle w:val="8"/>
              <w:rPr>
                <w:rFonts w:hint="default"/>
                <w:lang w:eastAsia="zh-CN"/>
              </w:rPr>
            </w:pPr>
            <w:r>
              <w:rPr>
                <w:lang w:eastAsia="zh-CN"/>
              </w:rPr>
              <w:t>（3）知识产权归属和处理方式：本项目中，基础软件及其相关源代码、目标代码、文档的知识产权归乙方所有；定制开发服务的知识产权归甲方所有，甲方在合法范围内拥有软件不可转让的永久使用权。</w:t>
            </w:r>
          </w:p>
        </w:tc>
      </w:tr>
    </w:tbl>
    <w:p w14:paraId="49C6B12E">
      <w:pPr>
        <w:jc w:val="cente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1DB51"/>
    <w:multiLevelType w:val="singleLevel"/>
    <w:tmpl w:val="8591DB51"/>
    <w:lvl w:ilvl="0" w:tentative="0">
      <w:start w:val="1"/>
      <w:numFmt w:val="decimal"/>
      <w:suff w:val="nothing"/>
      <w:lvlText w:val="（%1）"/>
      <w:lvlJc w:val="left"/>
      <w:rPr>
        <w:rFonts w:hint="default" w:ascii="Times New Roman" w:hAnsi="Times New Roman" w:cs="Times New Roman"/>
      </w:rPr>
    </w:lvl>
  </w:abstractNum>
  <w:abstractNum w:abstractNumId="1">
    <w:nsid w:val="99723922"/>
    <w:multiLevelType w:val="singleLevel"/>
    <w:tmpl w:val="99723922"/>
    <w:lvl w:ilvl="0" w:tentative="0">
      <w:start w:val="1"/>
      <w:numFmt w:val="decimal"/>
      <w:suff w:val="nothing"/>
      <w:lvlText w:val="（%1）"/>
      <w:lvlJc w:val="left"/>
    </w:lvl>
  </w:abstractNum>
  <w:abstractNum w:abstractNumId="2">
    <w:nsid w:val="A278F7E6"/>
    <w:multiLevelType w:val="singleLevel"/>
    <w:tmpl w:val="A278F7E6"/>
    <w:lvl w:ilvl="0" w:tentative="0">
      <w:start w:val="1"/>
      <w:numFmt w:val="decimal"/>
      <w:suff w:val="space"/>
      <w:lvlText w:val="%1."/>
      <w:lvlJc w:val="left"/>
      <w:rPr>
        <w:rFonts w:hint="default" w:ascii="Times New Roman" w:hAnsi="Times New Roman" w:cs="Times New Roman"/>
        <w:b w:val="0"/>
        <w:bCs w:val="0"/>
        <w:color w:val="auto"/>
      </w:rPr>
    </w:lvl>
  </w:abstractNum>
  <w:abstractNum w:abstractNumId="3">
    <w:nsid w:val="C7310455"/>
    <w:multiLevelType w:val="singleLevel"/>
    <w:tmpl w:val="C7310455"/>
    <w:lvl w:ilvl="0" w:tentative="0">
      <w:start w:val="1"/>
      <w:numFmt w:val="decimal"/>
      <w:suff w:val="nothing"/>
      <w:lvlText w:val="（%1）"/>
      <w:lvlJc w:val="left"/>
      <w:rPr>
        <w:rFonts w:hint="default"/>
        <w:b/>
        <w:bCs/>
      </w:rPr>
    </w:lvl>
  </w:abstractNum>
  <w:abstractNum w:abstractNumId="4">
    <w:nsid w:val="C835F47C"/>
    <w:multiLevelType w:val="singleLevel"/>
    <w:tmpl w:val="C835F47C"/>
    <w:lvl w:ilvl="0" w:tentative="0">
      <w:start w:val="1"/>
      <w:numFmt w:val="decimal"/>
      <w:suff w:val="nothing"/>
      <w:lvlText w:val="（%1）"/>
      <w:lvlJc w:val="left"/>
    </w:lvl>
  </w:abstractNum>
  <w:abstractNum w:abstractNumId="5">
    <w:nsid w:val="CE360C53"/>
    <w:multiLevelType w:val="singleLevel"/>
    <w:tmpl w:val="CE360C53"/>
    <w:lvl w:ilvl="0" w:tentative="0">
      <w:start w:val="1"/>
      <w:numFmt w:val="decimal"/>
      <w:suff w:val="nothing"/>
      <w:lvlText w:val="（%1）"/>
      <w:lvlJc w:val="left"/>
    </w:lvl>
  </w:abstractNum>
  <w:abstractNum w:abstractNumId="6">
    <w:nsid w:val="CEB0DC28"/>
    <w:multiLevelType w:val="singleLevel"/>
    <w:tmpl w:val="CEB0DC28"/>
    <w:lvl w:ilvl="0" w:tentative="0">
      <w:start w:val="1"/>
      <w:numFmt w:val="decimal"/>
      <w:suff w:val="nothing"/>
      <w:lvlText w:val="（%1）"/>
      <w:lvlJc w:val="left"/>
    </w:lvl>
  </w:abstractNum>
  <w:abstractNum w:abstractNumId="7">
    <w:nsid w:val="DDA0087C"/>
    <w:multiLevelType w:val="singleLevel"/>
    <w:tmpl w:val="DDA0087C"/>
    <w:lvl w:ilvl="0" w:tentative="0">
      <w:start w:val="1"/>
      <w:numFmt w:val="decimal"/>
      <w:suff w:val="nothing"/>
      <w:lvlText w:val="（%1）"/>
      <w:lvlJc w:val="left"/>
      <w:rPr>
        <w:rFonts w:hint="default" w:ascii="Times New Roman" w:hAnsi="Times New Roman" w:cs="Times New Roman"/>
      </w:rPr>
    </w:lvl>
  </w:abstractNum>
  <w:abstractNum w:abstractNumId="8">
    <w:nsid w:val="DF301305"/>
    <w:multiLevelType w:val="singleLevel"/>
    <w:tmpl w:val="DF301305"/>
    <w:lvl w:ilvl="0" w:tentative="0">
      <w:start w:val="1"/>
      <w:numFmt w:val="decimal"/>
      <w:suff w:val="nothing"/>
      <w:lvlText w:val="（%1）"/>
      <w:lvlJc w:val="left"/>
    </w:lvl>
  </w:abstractNum>
  <w:abstractNum w:abstractNumId="9">
    <w:nsid w:val="E7D133BD"/>
    <w:multiLevelType w:val="singleLevel"/>
    <w:tmpl w:val="E7D133BD"/>
    <w:lvl w:ilvl="0" w:tentative="0">
      <w:start w:val="1"/>
      <w:numFmt w:val="decimal"/>
      <w:suff w:val="nothing"/>
      <w:lvlText w:val="（%1）"/>
      <w:lvlJc w:val="left"/>
    </w:lvl>
  </w:abstractNum>
  <w:abstractNum w:abstractNumId="10">
    <w:nsid w:val="E969C458"/>
    <w:multiLevelType w:val="singleLevel"/>
    <w:tmpl w:val="E969C458"/>
    <w:lvl w:ilvl="0" w:tentative="0">
      <w:start w:val="1"/>
      <w:numFmt w:val="decimal"/>
      <w:suff w:val="nothing"/>
      <w:lvlText w:val="（%1）"/>
      <w:lvlJc w:val="left"/>
    </w:lvl>
  </w:abstractNum>
  <w:abstractNum w:abstractNumId="11">
    <w:nsid w:val="ED47F3C5"/>
    <w:multiLevelType w:val="singleLevel"/>
    <w:tmpl w:val="ED47F3C5"/>
    <w:lvl w:ilvl="0" w:tentative="0">
      <w:start w:val="1"/>
      <w:numFmt w:val="decimal"/>
      <w:suff w:val="nothing"/>
      <w:lvlText w:val="（%1）"/>
      <w:lvlJc w:val="left"/>
      <w:rPr>
        <w:rFonts w:hint="default" w:ascii="Times New Roman" w:hAnsi="Times New Roman" w:cs="Times New Roman"/>
      </w:rPr>
    </w:lvl>
  </w:abstractNum>
  <w:abstractNum w:abstractNumId="12">
    <w:nsid w:val="F796AE16"/>
    <w:multiLevelType w:val="singleLevel"/>
    <w:tmpl w:val="F796AE16"/>
    <w:lvl w:ilvl="0" w:tentative="0">
      <w:start w:val="1"/>
      <w:numFmt w:val="decimal"/>
      <w:suff w:val="nothing"/>
      <w:lvlText w:val="（%1）"/>
      <w:lvlJc w:val="left"/>
    </w:lvl>
  </w:abstractNum>
  <w:abstractNum w:abstractNumId="13">
    <w:nsid w:val="F8D644D8"/>
    <w:multiLevelType w:val="singleLevel"/>
    <w:tmpl w:val="F8D644D8"/>
    <w:lvl w:ilvl="0" w:tentative="0">
      <w:start w:val="4"/>
      <w:numFmt w:val="decimal"/>
      <w:lvlText w:val="%1."/>
      <w:lvlJc w:val="left"/>
      <w:pPr>
        <w:tabs>
          <w:tab w:val="left" w:pos="312"/>
        </w:tabs>
      </w:pPr>
    </w:lvl>
  </w:abstractNum>
  <w:abstractNum w:abstractNumId="14">
    <w:nsid w:val="FC44F9D0"/>
    <w:multiLevelType w:val="singleLevel"/>
    <w:tmpl w:val="FC44F9D0"/>
    <w:lvl w:ilvl="0" w:tentative="0">
      <w:start w:val="1"/>
      <w:numFmt w:val="decimal"/>
      <w:suff w:val="nothing"/>
      <w:lvlText w:val="（%1）"/>
      <w:lvlJc w:val="left"/>
      <w:rPr>
        <w:rFonts w:hint="default" w:ascii="Times New Roman" w:hAnsi="Times New Roman" w:cs="Times New Roman"/>
        <w:lang w:val="en-US"/>
      </w:rPr>
    </w:lvl>
  </w:abstractNum>
  <w:abstractNum w:abstractNumId="15">
    <w:nsid w:val="15A2191D"/>
    <w:multiLevelType w:val="singleLevel"/>
    <w:tmpl w:val="15A2191D"/>
    <w:lvl w:ilvl="0" w:tentative="0">
      <w:start w:val="1"/>
      <w:numFmt w:val="decimal"/>
      <w:lvlText w:val="%1."/>
      <w:lvlJc w:val="left"/>
      <w:pPr>
        <w:tabs>
          <w:tab w:val="left" w:pos="312"/>
        </w:tabs>
      </w:pPr>
    </w:lvl>
  </w:abstractNum>
  <w:abstractNum w:abstractNumId="16">
    <w:nsid w:val="1772A8F8"/>
    <w:multiLevelType w:val="singleLevel"/>
    <w:tmpl w:val="1772A8F8"/>
    <w:lvl w:ilvl="0" w:tentative="0">
      <w:start w:val="1"/>
      <w:numFmt w:val="decimal"/>
      <w:lvlText w:val="%1."/>
      <w:lvlJc w:val="left"/>
      <w:pPr>
        <w:tabs>
          <w:tab w:val="left" w:pos="312"/>
        </w:tabs>
      </w:pPr>
      <w:rPr>
        <w:rFonts w:hint="default"/>
        <w:b/>
        <w:bCs/>
      </w:rPr>
    </w:lvl>
  </w:abstractNum>
  <w:abstractNum w:abstractNumId="17">
    <w:nsid w:val="1B5E6BCE"/>
    <w:multiLevelType w:val="singleLevel"/>
    <w:tmpl w:val="1B5E6BCE"/>
    <w:lvl w:ilvl="0" w:tentative="0">
      <w:start w:val="1"/>
      <w:numFmt w:val="decimal"/>
      <w:suff w:val="nothing"/>
      <w:lvlText w:val="（%1）"/>
      <w:lvlJc w:val="left"/>
    </w:lvl>
  </w:abstractNum>
  <w:abstractNum w:abstractNumId="18">
    <w:nsid w:val="24895892"/>
    <w:multiLevelType w:val="singleLevel"/>
    <w:tmpl w:val="24895892"/>
    <w:lvl w:ilvl="0" w:tentative="0">
      <w:start w:val="1"/>
      <w:numFmt w:val="decimal"/>
      <w:suff w:val="nothing"/>
      <w:lvlText w:val="（%1）"/>
      <w:lvlJc w:val="left"/>
    </w:lvl>
  </w:abstractNum>
  <w:abstractNum w:abstractNumId="19">
    <w:nsid w:val="249CC35E"/>
    <w:multiLevelType w:val="singleLevel"/>
    <w:tmpl w:val="249CC35E"/>
    <w:lvl w:ilvl="0" w:tentative="0">
      <w:start w:val="1"/>
      <w:numFmt w:val="decimal"/>
      <w:suff w:val="nothing"/>
      <w:lvlText w:val="（%1）"/>
      <w:lvlJc w:val="left"/>
    </w:lvl>
  </w:abstractNum>
  <w:abstractNum w:abstractNumId="20">
    <w:nsid w:val="29115B93"/>
    <w:multiLevelType w:val="singleLevel"/>
    <w:tmpl w:val="29115B93"/>
    <w:lvl w:ilvl="0" w:tentative="0">
      <w:start w:val="1"/>
      <w:numFmt w:val="decimal"/>
      <w:lvlText w:val="%1."/>
      <w:lvlJc w:val="left"/>
      <w:pPr>
        <w:tabs>
          <w:tab w:val="left" w:pos="312"/>
        </w:tabs>
      </w:pPr>
      <w:rPr>
        <w:rFonts w:hint="default"/>
        <w:b/>
        <w:bCs/>
      </w:rPr>
    </w:lvl>
  </w:abstractNum>
  <w:abstractNum w:abstractNumId="21">
    <w:nsid w:val="2F24E438"/>
    <w:multiLevelType w:val="singleLevel"/>
    <w:tmpl w:val="2F24E438"/>
    <w:lvl w:ilvl="0" w:tentative="0">
      <w:start w:val="1"/>
      <w:numFmt w:val="decimal"/>
      <w:suff w:val="nothing"/>
      <w:lvlText w:val="（%1）"/>
      <w:lvlJc w:val="left"/>
    </w:lvl>
  </w:abstractNum>
  <w:abstractNum w:abstractNumId="22">
    <w:nsid w:val="34A2A447"/>
    <w:multiLevelType w:val="singleLevel"/>
    <w:tmpl w:val="34A2A447"/>
    <w:lvl w:ilvl="0" w:tentative="0">
      <w:start w:val="1"/>
      <w:numFmt w:val="decimal"/>
      <w:suff w:val="nothing"/>
      <w:lvlText w:val="（%1）"/>
      <w:lvlJc w:val="left"/>
      <w:rPr>
        <w:rFonts w:hint="default" w:ascii="Times New Roman" w:hAnsi="Times New Roman" w:cs="Times New Roman"/>
      </w:rPr>
    </w:lvl>
  </w:abstractNum>
  <w:abstractNum w:abstractNumId="23">
    <w:nsid w:val="3D2910EE"/>
    <w:multiLevelType w:val="singleLevel"/>
    <w:tmpl w:val="3D2910EE"/>
    <w:lvl w:ilvl="0" w:tentative="0">
      <w:start w:val="1"/>
      <w:numFmt w:val="decimal"/>
      <w:suff w:val="nothing"/>
      <w:lvlText w:val="（%1）"/>
      <w:lvlJc w:val="left"/>
    </w:lvl>
  </w:abstractNum>
  <w:abstractNum w:abstractNumId="24">
    <w:nsid w:val="4237809A"/>
    <w:multiLevelType w:val="singleLevel"/>
    <w:tmpl w:val="4237809A"/>
    <w:lvl w:ilvl="0" w:tentative="0">
      <w:start w:val="1"/>
      <w:numFmt w:val="decimal"/>
      <w:suff w:val="nothing"/>
      <w:lvlText w:val="（%1）"/>
      <w:lvlJc w:val="left"/>
    </w:lvl>
  </w:abstractNum>
  <w:abstractNum w:abstractNumId="25">
    <w:nsid w:val="497ED090"/>
    <w:multiLevelType w:val="singleLevel"/>
    <w:tmpl w:val="497ED090"/>
    <w:lvl w:ilvl="0" w:tentative="0">
      <w:start w:val="1"/>
      <w:numFmt w:val="decimal"/>
      <w:suff w:val="nothing"/>
      <w:lvlText w:val="（%1）"/>
      <w:lvlJc w:val="left"/>
    </w:lvl>
  </w:abstractNum>
  <w:abstractNum w:abstractNumId="26">
    <w:nsid w:val="510E2822"/>
    <w:multiLevelType w:val="singleLevel"/>
    <w:tmpl w:val="510E2822"/>
    <w:lvl w:ilvl="0" w:tentative="0">
      <w:start w:val="1"/>
      <w:numFmt w:val="decimal"/>
      <w:suff w:val="nothing"/>
      <w:lvlText w:val="（%1）"/>
      <w:lvlJc w:val="left"/>
    </w:lvl>
  </w:abstractNum>
  <w:abstractNum w:abstractNumId="27">
    <w:nsid w:val="73B92452"/>
    <w:multiLevelType w:val="singleLevel"/>
    <w:tmpl w:val="73B92452"/>
    <w:lvl w:ilvl="0" w:tentative="0">
      <w:start w:val="1"/>
      <w:numFmt w:val="decimal"/>
      <w:suff w:val="nothing"/>
      <w:lvlText w:val="（%1）"/>
      <w:lvlJc w:val="left"/>
    </w:lvl>
  </w:abstractNum>
  <w:abstractNum w:abstractNumId="28">
    <w:nsid w:val="77B0A3F1"/>
    <w:multiLevelType w:val="singleLevel"/>
    <w:tmpl w:val="77B0A3F1"/>
    <w:lvl w:ilvl="0" w:tentative="0">
      <w:start w:val="1"/>
      <w:numFmt w:val="decimal"/>
      <w:suff w:val="nothing"/>
      <w:lvlText w:val="（%1）"/>
      <w:lvlJc w:val="left"/>
      <w:rPr>
        <w:rFonts w:hint="default" w:ascii="Times New Roman" w:hAnsi="Times New Roman" w:cs="Times New Roman"/>
      </w:rPr>
    </w:lvl>
  </w:abstractNum>
  <w:num w:numId="1">
    <w:abstractNumId w:val="11"/>
  </w:num>
  <w:num w:numId="2">
    <w:abstractNumId w:val="5"/>
  </w:num>
  <w:num w:numId="3">
    <w:abstractNumId w:val="14"/>
  </w:num>
  <w:num w:numId="4">
    <w:abstractNumId w:val="13"/>
  </w:num>
  <w:num w:numId="5">
    <w:abstractNumId w:val="23"/>
  </w:num>
  <w:num w:numId="6">
    <w:abstractNumId w:val="20"/>
  </w:num>
  <w:num w:numId="7">
    <w:abstractNumId w:val="25"/>
  </w:num>
  <w:num w:numId="8">
    <w:abstractNumId w:val="16"/>
  </w:num>
  <w:num w:numId="9">
    <w:abstractNumId w:val="26"/>
  </w:num>
  <w:num w:numId="10">
    <w:abstractNumId w:val="18"/>
  </w:num>
  <w:num w:numId="11">
    <w:abstractNumId w:val="27"/>
  </w:num>
  <w:num w:numId="12">
    <w:abstractNumId w:val="8"/>
  </w:num>
  <w:num w:numId="13">
    <w:abstractNumId w:val="21"/>
  </w:num>
  <w:num w:numId="14">
    <w:abstractNumId w:val="17"/>
  </w:num>
  <w:num w:numId="15">
    <w:abstractNumId w:val="24"/>
  </w:num>
  <w:num w:numId="16">
    <w:abstractNumId w:val="15"/>
  </w:num>
  <w:num w:numId="17">
    <w:abstractNumId w:val="0"/>
  </w:num>
  <w:num w:numId="18">
    <w:abstractNumId w:val="12"/>
  </w:num>
  <w:num w:numId="19">
    <w:abstractNumId w:val="19"/>
  </w:num>
  <w:num w:numId="20">
    <w:abstractNumId w:val="2"/>
  </w:num>
  <w:num w:numId="21">
    <w:abstractNumId w:val="1"/>
  </w:num>
  <w:num w:numId="22">
    <w:abstractNumId w:val="22"/>
  </w:num>
  <w:num w:numId="23">
    <w:abstractNumId w:val="6"/>
  </w:num>
  <w:num w:numId="24">
    <w:abstractNumId w:val="9"/>
  </w:num>
  <w:num w:numId="25">
    <w:abstractNumId w:val="3"/>
  </w:num>
  <w:num w:numId="26">
    <w:abstractNumId w:val="10"/>
  </w:num>
  <w:num w:numId="27">
    <w:abstractNumId w:val="7"/>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2Q2YTNkZTc1Mjk4ODRhOWVjZTc0YTFmYTE5NzcifQ=="/>
  </w:docVars>
  <w:rsids>
    <w:rsidRoot w:val="25991B3F"/>
    <w:rsid w:val="2599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napToGrid w:val="0"/>
      <w:spacing w:line="360" w:lineRule="auto"/>
      <w:ind w:firstLine="420" w:firstLineChars="200"/>
    </w:pPr>
    <w:rPr>
      <w:rFonts w:ascii="宋体" w:hAnsi="宋体" w:cs="宋体"/>
      <w:sz w:val="24"/>
    </w:rPr>
  </w:style>
  <w:style w:type="paragraph" w:styleId="3">
    <w:name w:val="toc 4"/>
    <w:basedOn w:val="1"/>
    <w:next w:val="1"/>
    <w:qFormat/>
    <w:uiPriority w:val="39"/>
    <w:pPr>
      <w:ind w:left="840" w:leftChars="400"/>
    </w:pPr>
  </w:style>
  <w:style w:type="paragraph" w:styleId="4">
    <w:name w:val="Normal (Web)"/>
    <w:basedOn w:val="1"/>
    <w:qFormat/>
    <w:uiPriority w:val="0"/>
    <w:pPr>
      <w:spacing w:beforeAutospacing="1" w:afterAutospacing="1"/>
      <w:jc w:val="left"/>
    </w:pPr>
    <w:rPr>
      <w:rFonts w:cs="Times New Roman" w:asciiTheme="minorHAnsi" w:hAnsiTheme="minorHAnsi" w:eastAsiaTheme="minorEastAsia"/>
      <w:kern w:val="0"/>
      <w:sz w:val="24"/>
      <w:szCs w:val="24"/>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2024-07-30T08:52:00Z</dcterms:created>
  <dc:creator>安安</dc:creator>
  <cp:lastModifiedBy>安安</cp:lastModifiedBy>
  <dcterms:modified xsi:type="dcterms:W3CDTF">2024-07-30T08:53:27Z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7BA7C289BCB2458F9E0D2319DDBB4EE9_11</vt:lpwstr>
  </property>
</Properties>
</file>