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飞利浦Brilliance64CT维保与飞利浦IngenuityCore128CT维保项目</w:t>
      </w:r>
    </w:p>
    <w:p>
      <w:pPr>
        <w:pStyle w:val="null3"/>
        <w:jc w:val="center"/>
        <w:outlineLvl w:val="2"/>
      </w:pPr>
      <w:r>
        <w:rPr>
          <w:sz w:val="28"/>
          <w:b/>
        </w:rPr>
        <w:t>采购项目编号：</w:t>
      </w:r>
      <w:r>
        <w:rPr>
          <w:sz w:val="28"/>
          <w:b/>
        </w:rPr>
        <w:t>SDZC2024-186</w:t>
      </w:r>
      <w:r>
        <w:br/>
      </w:r>
      <w:r>
        <w:br/>
      </w:r>
      <w:r>
        <w:br/>
      </w:r>
    </w:p>
    <w:p>
      <w:pPr>
        <w:pStyle w:val="null3"/>
        <w:jc w:val="center"/>
        <w:outlineLvl w:val="2"/>
      </w:pPr>
      <w:r>
        <w:rPr>
          <w:sz w:val="28"/>
          <w:b/>
        </w:rPr>
        <w:t>西安医学院第二附属医院</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西安医学院第二附属医院</w:t>
      </w:r>
      <w:r>
        <w:rPr/>
        <w:t>委托，拟对</w:t>
      </w:r>
      <w:r>
        <w:rPr/>
        <w:t>飞利浦Brilliance64CT维保与飞利浦IngenuityCore128CT维保项目</w:t>
      </w:r>
      <w:r>
        <w:rPr/>
        <w:t>采用竞争性磋商采购方式进行采购，兹邀请供应商参加本项目的竞争性磋商。</w:t>
      </w:r>
    </w:p>
    <w:p>
      <w:pPr>
        <w:pStyle w:val="null3"/>
        <w:outlineLvl w:val="2"/>
      </w:pPr>
      <w:r>
        <w:rPr>
          <w:sz w:val="28"/>
          <w:b/>
        </w:rPr>
        <w:t>一、项目编号：</w:t>
      </w:r>
      <w:r>
        <w:rPr>
          <w:sz w:val="28"/>
          <w:b/>
        </w:rPr>
        <w:t>SDZC2024-186</w:t>
      </w:r>
    </w:p>
    <w:p>
      <w:pPr>
        <w:pStyle w:val="null3"/>
        <w:outlineLvl w:val="2"/>
      </w:pPr>
      <w:r>
        <w:rPr>
          <w:sz w:val="28"/>
          <w:b/>
        </w:rPr>
        <w:t>二、项目名称：</w:t>
      </w:r>
      <w:r>
        <w:rPr>
          <w:sz w:val="28"/>
          <w:b/>
        </w:rPr>
        <w:t>飞利浦Brilliance64CT维保与飞利浦IngenuityCore128CT维保项目</w:t>
      </w:r>
    </w:p>
    <w:p>
      <w:pPr>
        <w:pStyle w:val="null3"/>
        <w:outlineLvl w:val="2"/>
      </w:pPr>
      <w:r>
        <w:rPr>
          <w:sz w:val="28"/>
          <w:b/>
        </w:rPr>
        <w:t>三、磋商项目简介</w:t>
      </w:r>
    </w:p>
    <w:p>
      <w:pPr>
        <w:pStyle w:val="null3"/>
        <w:ind w:firstLine="480"/>
      </w:pPr>
      <w:r>
        <w:rPr/>
        <w:t>CT维保项目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采购包1（飞利浦Brilliance 64CT维保与飞利浦Ingenuity Core 128CT维保项目）：属于专门面向中小企业采购。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1、提供供应商合法注册的法人或者其他组织的营业执照等证明文件、自然人的身份证明：提供供应商合法注册的法人或者其他组织的营业执照等证明文件、自然人的身份证明；</w:t>
      </w:r>
    </w:p>
    <w:p>
      <w:pPr>
        <w:pStyle w:val="null3"/>
      </w:pPr>
      <w:r>
        <w:rPr/>
        <w:t>2、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3、税收缴纳证明：提供截止至开标时间前一年内任意一个月的税收缴纳凭据；（增值税、企业所得税至少提供一种，依法免税的供应商应提供相关文件证明）</w:t>
      </w:r>
    </w:p>
    <w:p>
      <w:pPr>
        <w:pStyle w:val="null3"/>
      </w:pPr>
      <w:r>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5、书面说明及承诺：提供具有履行本合同所必需的设备和专业技术能力的说明及承诺；（提供书面说明及承诺，加盖供应商公章）</w:t>
      </w:r>
    </w:p>
    <w:p>
      <w:pPr>
        <w:pStyle w:val="null3"/>
      </w:pPr>
      <w:r>
        <w:rPr/>
        <w:t>6、书面声明：提供参加政府采购活动前三年内在经营活动中没有重大违法记录的书面声明。（提供书面声明，加盖供应商公章）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pPr>
        <w:pStyle w:val="null3"/>
      </w:pPr>
      <w:r>
        <w:rPr/>
        <w:t>8、磋商保证金交纳凭证或担保函：磋商保证金交纳凭证或担保函；（磋商保证交纳金凭证为银行凭证及基本账户证明资料，担保函为财政部门认可的政府采购信用担保机构出具）</w:t>
      </w:r>
    </w:p>
    <w:p>
      <w:pPr>
        <w:pStyle w:val="null3"/>
      </w:pPr>
      <w:r>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pPr>
        <w:pStyle w:val="null3"/>
      </w:pPr>
      <w:r>
        <w:rPr/>
        <w:t>10、控股管理关系：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西安医学院第二附属医院</w:t>
      </w:r>
    </w:p>
    <w:p>
      <w:pPr>
        <w:pStyle w:val="null3"/>
      </w:pPr>
      <w:r>
        <w:rPr/>
        <w:t xml:space="preserve"> 地址： </w:t>
      </w:r>
      <w:r>
        <w:rPr/>
        <w:t>西安医学院第二附属医院行政办公区（医院北门马路对面向东50米，林河世家一号楼门面房二楼招标办）</w:t>
      </w:r>
    </w:p>
    <w:p>
      <w:pPr>
        <w:pStyle w:val="null3"/>
      </w:pPr>
      <w:r>
        <w:rPr/>
        <w:t xml:space="preserve"> 邮编： </w:t>
      </w:r>
      <w:r>
        <w:rPr/>
        <w:t>710000</w:t>
      </w:r>
    </w:p>
    <w:p>
      <w:pPr>
        <w:pStyle w:val="null3"/>
      </w:pPr>
      <w:r>
        <w:rPr/>
        <w:t xml:space="preserve"> 联系人： </w:t>
      </w:r>
      <w:r>
        <w:rPr/>
        <w:t>西安医学院第二附属医院经办</w:t>
      </w:r>
    </w:p>
    <w:p>
      <w:pPr>
        <w:pStyle w:val="null3"/>
      </w:pPr>
      <w:r>
        <w:rPr/>
        <w:t xml:space="preserve"> 联系电话： </w:t>
      </w:r>
      <w:r>
        <w:rPr/>
        <w:t>029-83513612</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金岩（1号工位）</w:t>
      </w:r>
    </w:p>
    <w:p>
      <w:pPr>
        <w:pStyle w:val="null3"/>
      </w:pPr>
      <w:r>
        <w:rPr/>
        <w:t xml:space="preserve"> 联系电话： </w:t>
      </w:r>
      <w:r>
        <w:rPr/>
        <w:t>029-86673953/86518381/89299829/89293231转8001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采购包1保证金金额：12,000.00元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开户银行：西安银行股份有限公司文景路支行</w:t>
            </w:r>
          </w:p>
          <w:p>
            <w:pPr>
              <w:pStyle w:val="null3"/>
            </w:pPr>
            <w:r>
              <w:rPr/>
              <w:t>银行账号：7070 1151 00000 13522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原《国家计委关于印发&lt;招标代理服务收费管理暂行办法&gt;的通知》(计价格〔2002〕1980号)、《国家发展改革委关于降低部分建设项目收费标准规范收费行为等有关问题的通知》(发改价格〔2011〕534号)规定的80%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西安医学院第二附属医院</w:t>
      </w:r>
      <w:r>
        <w:rPr/>
        <w:t>和</w:t>
      </w:r>
      <w:r>
        <w:rPr/>
        <w:t>陕西上德招标有限公司</w:t>
      </w:r>
      <w:r>
        <w:rPr/>
        <w:t>享有。对磋商文件中供应商参加本次政府采购活动应当具备的条件，磋商项目技术、服务、商务及其他要求，评审细则及标准由</w:t>
      </w:r>
      <w:r>
        <w:rPr/>
        <w:t>西安医学院第二附属医院</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西安医学院第二附属医院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联系人：金岩</w:t>
      </w:r>
    </w:p>
    <w:p>
      <w:pPr>
        <w:pStyle w:val="null3"/>
      </w:pPr>
      <w:r>
        <w:rPr/>
        <w:t>联系电话：029-86673953/86518381/89299829/89293231转8001</w:t>
      </w:r>
    </w:p>
    <w:p>
      <w:pPr>
        <w:pStyle w:val="null3"/>
      </w:pPr>
      <w:r>
        <w:rPr/>
        <w:t>地址：西安市经开区凤城八路正尚国际金融广场A座7层703（张家堡转盘东南角）</w:t>
      </w:r>
    </w:p>
    <w:p>
      <w:pPr>
        <w:pStyle w:val="null3"/>
      </w:pPr>
      <w:r>
        <w:rPr/>
        <w:t>邮编：710018</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采购内容和要求：CT维保项目,本次采购内容为1个标段</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飞利浦Brilliance 64CT维保与飞利浦Ingenuity Core 128CT维保项目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标的名称：飞利浦Brilliance 64CT维保与飞利浦Ingenuity Core 128CT维保项目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8"/>
              <w:gridCol w:w="261"/>
              <w:gridCol w:w="1954"/>
            </w:tblGrid>
            <w:tr>
              <w:tc>
                <w:tcPr>
                  <w:tcW w:type="dxa" w:w="33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参数性质</w:t>
                  </w:r>
                </w:p>
              </w:tc>
              <w:tc>
                <w:tcPr>
                  <w:tcW w:type="dxa" w:w="26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序号</w:t>
                  </w:r>
                </w:p>
              </w:tc>
              <w:tc>
                <w:tcPr>
                  <w:tcW w:type="dxa" w:w="195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技术参数与性能指标</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1</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b/>
                      <w:shd w:fill="FFFFFF" w:val="clear"/>
                    </w:rPr>
                    <w:t>保修设备：</w:t>
                  </w:r>
                </w:p>
                <w:p>
                  <w:pPr>
                    <w:pStyle w:val="null3"/>
                    <w:jc w:val="left"/>
                  </w:pPr>
                  <w:r>
                    <w:rPr>
                      <w:rFonts w:ascii="宋体" w:hAnsi="宋体" w:cs="宋体" w:eastAsia="宋体"/>
                      <w:sz w:val="24"/>
                      <w:shd w:fill="FFFFFF" w:val="clear"/>
                    </w:rPr>
                    <w:t>1.1</w:t>
                  </w:r>
                  <w:r>
                    <w:rPr>
                      <w:rFonts w:ascii="宋体" w:hAnsi="宋体" w:cs="宋体" w:eastAsia="宋体"/>
                      <w:sz w:val="24"/>
                      <w:shd w:fill="FFFFFF" w:val="clear"/>
                    </w:rPr>
                    <w:t>设备型号</w:t>
                  </w:r>
                  <w:r>
                    <w:rPr>
                      <w:rFonts w:ascii="宋体" w:hAnsi="宋体" w:cs="宋体" w:eastAsia="宋体"/>
                      <w:sz w:val="24"/>
                      <w:shd w:fill="FFFFFF" w:val="clear"/>
                    </w:rPr>
                    <w:t>1</w:t>
                  </w:r>
                  <w:r>
                    <w:rPr>
                      <w:rFonts w:ascii="宋体" w:hAnsi="宋体" w:cs="宋体" w:eastAsia="宋体"/>
                      <w:sz w:val="24"/>
                      <w:shd w:fill="FFFFFF" w:val="clear"/>
                    </w:rPr>
                    <w:t>：</w:t>
                  </w:r>
                  <w:r>
                    <w:rPr>
                      <w:rFonts w:ascii="宋体" w:hAnsi="宋体" w:cs="宋体" w:eastAsia="宋体"/>
                      <w:sz w:val="24"/>
                      <w:shd w:fill="FFFFFF" w:val="clear"/>
                    </w:rPr>
                    <w:t>Philips  Brilliance 64排128层纳米CT；</w:t>
                  </w:r>
                </w:p>
                <w:p>
                  <w:pPr>
                    <w:pStyle w:val="null3"/>
                    <w:jc w:val="left"/>
                  </w:pPr>
                  <w:r>
                    <w:rPr>
                      <w:rFonts w:ascii="宋体" w:hAnsi="宋体" w:cs="宋体" w:eastAsia="宋体"/>
                      <w:sz w:val="24"/>
                      <w:shd w:fill="FFFFFF" w:val="clear"/>
                    </w:rPr>
                    <w:t>1.2</w:t>
                  </w:r>
                  <w:r>
                    <w:rPr>
                      <w:rFonts w:ascii="宋体" w:hAnsi="宋体" w:cs="宋体" w:eastAsia="宋体"/>
                      <w:sz w:val="24"/>
                      <w:shd w:fill="FFFFFF" w:val="clear"/>
                    </w:rPr>
                    <w:t>设备型号</w:t>
                  </w:r>
                  <w:r>
                    <w:rPr>
                      <w:rFonts w:ascii="宋体" w:hAnsi="宋体" w:cs="宋体" w:eastAsia="宋体"/>
                      <w:sz w:val="24"/>
                      <w:shd w:fill="FFFFFF" w:val="clear"/>
                    </w:rPr>
                    <w:t>2</w:t>
                  </w:r>
                  <w:r>
                    <w:rPr>
                      <w:rFonts w:ascii="宋体" w:hAnsi="宋体" w:cs="宋体" w:eastAsia="宋体"/>
                      <w:sz w:val="24"/>
                      <w:shd w:fill="FFFFFF" w:val="clear"/>
                    </w:rPr>
                    <w:t>：</w:t>
                  </w:r>
                  <w:r>
                    <w:rPr>
                      <w:rFonts w:ascii="宋体" w:hAnsi="宋体" w:cs="宋体" w:eastAsia="宋体"/>
                      <w:sz w:val="24"/>
                      <w:shd w:fill="FFFFFF" w:val="clear"/>
                    </w:rPr>
                    <w:t>Philips Ingenuity</w:t>
                  </w:r>
                  <w:r>
                    <w:rPr>
                      <w:rFonts w:ascii="宋体" w:hAnsi="宋体" w:cs="宋体" w:eastAsia="宋体"/>
                      <w:sz w:val="24"/>
                      <w:shd w:fill="FFFFFF" w:val="clear"/>
                    </w:rPr>
                    <w:t xml:space="preserve"> </w:t>
                  </w:r>
                  <w:r>
                    <w:rPr>
                      <w:rFonts w:ascii="宋体" w:hAnsi="宋体" w:cs="宋体" w:eastAsia="宋体"/>
                      <w:sz w:val="24"/>
                      <w:shd w:fill="FFFFFF" w:val="clear"/>
                    </w:rPr>
                    <w:t>Core128</w:t>
                  </w:r>
                  <w:r>
                    <w:rPr>
                      <w:rFonts w:ascii="宋体" w:hAnsi="宋体" w:cs="宋体" w:eastAsia="宋体"/>
                      <w:sz w:val="24"/>
                      <w:shd w:fill="FFFFFF" w:val="clear"/>
                    </w:rPr>
                    <w:t>CT；</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rPr>
                    <w:t>2</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保修类型</w:t>
                  </w:r>
                  <w:r>
                    <w:rPr>
                      <w:rFonts w:ascii="宋体" w:hAnsi="宋体" w:cs="宋体" w:eastAsia="宋体"/>
                      <w:sz w:val="24"/>
                    </w:rPr>
                    <w:t>：除球管之外的整机全保；</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b/>
                    </w:rPr>
                    <w:t>3</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b/>
                      <w:shd w:fill="FFFFFF" w:val="clear"/>
                    </w:rPr>
                    <w:t>保修服务涵盖内容：</w:t>
                  </w:r>
                </w:p>
                <w:p>
                  <w:pPr>
                    <w:pStyle w:val="null3"/>
                    <w:jc w:val="left"/>
                  </w:pPr>
                  <w:r>
                    <w:rPr>
                      <w:rFonts w:ascii="宋体" w:hAnsi="宋体" w:cs="宋体" w:eastAsia="宋体"/>
                      <w:sz w:val="24"/>
                      <w:shd w:fill="FFFFFF" w:val="clear"/>
                    </w:rPr>
                    <w:t>3.1</w:t>
                  </w:r>
                  <w:r>
                    <w:rPr>
                      <w:rFonts w:ascii="宋体" w:hAnsi="宋体" w:cs="宋体" w:eastAsia="宋体"/>
                      <w:sz w:val="24"/>
                      <w:shd w:fill="FFFFFF" w:val="clear"/>
                    </w:rPr>
                    <w:t>全年不限次人工服务，</w:t>
                  </w:r>
                  <w:r>
                    <w:rPr>
                      <w:rFonts w:ascii="宋体" w:hAnsi="宋体" w:cs="宋体" w:eastAsia="宋体"/>
                      <w:sz w:val="24"/>
                      <w:shd w:fill="FFFFFF" w:val="clear"/>
                    </w:rPr>
                    <w:t>2小时电话响应；24小时内</w:t>
                  </w:r>
                  <w:r>
                    <w:rPr>
                      <w:rFonts w:ascii="宋体" w:hAnsi="宋体" w:cs="宋体" w:eastAsia="宋体"/>
                      <w:sz w:val="24"/>
                      <w:shd w:fill="FFFFFF" w:val="clear"/>
                    </w:rPr>
                    <w:t>到</w:t>
                  </w:r>
                  <w:r>
                    <w:rPr>
                      <w:rFonts w:ascii="宋体" w:hAnsi="宋体" w:cs="宋体" w:eastAsia="宋体"/>
                      <w:sz w:val="24"/>
                      <w:shd w:fill="FFFFFF" w:val="clear"/>
                    </w:rPr>
                    <w:t>现场服务，以保证维修的及时性</w:t>
                  </w:r>
                  <w:r>
                    <w:rPr>
                      <w:rFonts w:ascii="宋体" w:hAnsi="宋体" w:cs="宋体" w:eastAsia="宋体"/>
                      <w:sz w:val="24"/>
                      <w:shd w:fill="FFFFFF" w:val="clear"/>
                    </w:rPr>
                    <w:t>。</w:t>
                  </w:r>
                </w:p>
                <w:p>
                  <w:pPr>
                    <w:pStyle w:val="null3"/>
                    <w:jc w:val="left"/>
                  </w:pPr>
                  <w:r>
                    <w:rPr>
                      <w:rFonts w:ascii="宋体" w:hAnsi="宋体" w:cs="宋体" w:eastAsia="宋体"/>
                      <w:sz w:val="24"/>
                      <w:shd w:fill="FFFFFF" w:val="clear"/>
                    </w:rPr>
                    <w:t>3.2</w:t>
                  </w:r>
                  <w:r>
                    <w:rPr>
                      <w:rFonts w:ascii="宋体" w:hAnsi="宋体" w:cs="宋体" w:eastAsia="宋体"/>
                      <w:sz w:val="24"/>
                      <w:shd w:fill="FFFFFF" w:val="clear"/>
                    </w:rPr>
                    <w:t>每年免费提供一人次为期至少一周的</w:t>
                  </w:r>
                  <w:r>
                    <w:rPr>
                      <w:rFonts w:ascii="宋体" w:hAnsi="宋体" w:cs="宋体" w:eastAsia="宋体"/>
                      <w:sz w:val="24"/>
                      <w:shd w:fill="FFFFFF" w:val="clear"/>
                    </w:rPr>
                    <w:t>CT技术培训。</w:t>
                  </w:r>
                </w:p>
                <w:p>
                  <w:pPr>
                    <w:pStyle w:val="null3"/>
                    <w:jc w:val="left"/>
                  </w:pPr>
                  <w:r>
                    <w:rPr>
                      <w:rFonts w:ascii="宋体" w:hAnsi="宋体" w:cs="宋体" w:eastAsia="宋体"/>
                      <w:sz w:val="24"/>
                      <w:shd w:fill="FFFFFF" w:val="clear"/>
                    </w:rPr>
                    <w:t>3.3</w:t>
                  </w:r>
                  <w:r>
                    <w:rPr>
                      <w:rFonts w:ascii="宋体" w:hAnsi="宋体" w:cs="宋体" w:eastAsia="宋体"/>
                      <w:sz w:val="24"/>
                      <w:shd w:fill="FFFFFF" w:val="clear"/>
                    </w:rPr>
                    <w:t>全年</w:t>
                  </w:r>
                  <w:r>
                    <w:rPr>
                      <w:rFonts w:ascii="宋体" w:hAnsi="宋体" w:cs="宋体" w:eastAsia="宋体"/>
                      <w:sz w:val="24"/>
                      <w:shd w:fill="FFFFFF" w:val="clear"/>
                    </w:rPr>
                    <w:t>每个季度</w:t>
                  </w:r>
                  <w:r>
                    <w:rPr>
                      <w:rFonts w:ascii="宋体" w:hAnsi="宋体" w:cs="宋体" w:eastAsia="宋体"/>
                      <w:sz w:val="24"/>
                      <w:shd w:fill="FFFFFF" w:val="clear"/>
                    </w:rPr>
                    <w:t>定期（四次）专业维护保养服务：设备及系统的定期的安全检查、影像质量的定期检查（确保图像质量能够达到临床质控需求）、球管使用情况检查、设备运行状态的定期检查、设备定期的除尘保养服务；定期对设备的数据进行备份，确保系统能按照制造商的产品规格运行的标准来维修。且提供完整的维保记录，设备科和使用科室各一份。</w:t>
                  </w:r>
                </w:p>
                <w:p>
                  <w:pPr>
                    <w:pStyle w:val="null3"/>
                    <w:jc w:val="left"/>
                  </w:pPr>
                  <w:r>
                    <w:rPr>
                      <w:rFonts w:ascii="宋体" w:hAnsi="宋体" w:cs="宋体" w:eastAsia="宋体"/>
                      <w:sz w:val="24"/>
                      <w:shd w:fill="FFFFFF" w:val="clear"/>
                    </w:rPr>
                    <w:t>3.4</w:t>
                  </w:r>
                  <w:r>
                    <w:rPr>
                      <w:rFonts w:ascii="宋体" w:hAnsi="宋体" w:cs="宋体" w:eastAsia="宋体"/>
                      <w:sz w:val="24"/>
                      <w:shd w:fill="FFFFFF" w:val="clear"/>
                    </w:rPr>
                    <w:t>除球管以外其他主机配件无限次维保。</w:t>
                  </w:r>
                  <w:r>
                    <w:rPr>
                      <w:rFonts w:ascii="宋体" w:hAnsi="宋体" w:cs="宋体" w:eastAsia="宋体"/>
                      <w:sz w:val="24"/>
                      <w:shd w:fill="FFFFFF" w:val="clear"/>
                    </w:rPr>
                    <w:t>80%以上配件12小时内到达现场；100%以上配件24小时内到达现场</w:t>
                  </w:r>
                  <w:r>
                    <w:rPr>
                      <w:rFonts w:ascii="宋体" w:hAnsi="宋体" w:cs="宋体" w:eastAsia="宋体"/>
                      <w:sz w:val="24"/>
                      <w:shd w:fill="FFFFFF" w:val="clear"/>
                    </w:rPr>
                    <w:t>。</w:t>
                  </w:r>
                </w:p>
                <w:p>
                  <w:pPr>
                    <w:pStyle w:val="null3"/>
                    <w:jc w:val="left"/>
                  </w:pPr>
                  <w:r>
                    <w:rPr>
                      <w:rFonts w:ascii="宋体" w:hAnsi="宋体" w:cs="宋体" w:eastAsia="宋体"/>
                      <w:sz w:val="24"/>
                      <w:shd w:fill="FFFFFF" w:val="clear"/>
                    </w:rPr>
                    <w:t>3.5</w:t>
                  </w:r>
                  <w:r>
                    <w:rPr>
                      <w:rFonts w:ascii="宋体" w:hAnsi="宋体" w:cs="宋体" w:eastAsia="宋体"/>
                      <w:sz w:val="24"/>
                      <w:shd w:fill="FFFFFF" w:val="clear"/>
                    </w:rPr>
                    <w:t>本次维保服务虽然不含球管保修，但</w:t>
                  </w:r>
                  <w:r>
                    <w:rPr>
                      <w:rFonts w:ascii="宋体" w:hAnsi="宋体" w:cs="宋体" w:eastAsia="宋体"/>
                      <w:sz w:val="24"/>
                      <w:shd w:fill="FFFFFF" w:val="clear"/>
                    </w:rPr>
                    <w:t>要求</w:t>
                  </w:r>
                  <w:r>
                    <w:rPr>
                      <w:rFonts w:ascii="宋体" w:hAnsi="宋体" w:cs="宋体" w:eastAsia="宋体"/>
                      <w:sz w:val="24"/>
                      <w:shd w:fill="FFFFFF" w:val="clear"/>
                    </w:rPr>
                    <w:t>投标人要有充足的球管供应能力，确保</w:t>
                  </w:r>
                  <w:r>
                    <w:rPr>
                      <w:rFonts w:ascii="宋体" w:hAnsi="宋体" w:cs="宋体" w:eastAsia="宋体"/>
                      <w:sz w:val="24"/>
                      <w:shd w:fill="FFFFFF" w:val="clear"/>
                    </w:rPr>
                    <w:t>36小时内球管更换完成（含替代球管）。</w:t>
                  </w:r>
                </w:p>
                <w:p>
                  <w:pPr>
                    <w:pStyle w:val="null3"/>
                    <w:jc w:val="left"/>
                  </w:pPr>
                  <w:r>
                    <w:rPr>
                      <w:rFonts w:ascii="宋体" w:hAnsi="宋体" w:cs="宋体" w:eastAsia="宋体"/>
                      <w:sz w:val="24"/>
                      <w:shd w:fill="FFFFFF" w:val="clear"/>
                    </w:rPr>
                    <w:t>3.6</w:t>
                  </w:r>
                  <w:r>
                    <w:rPr>
                      <w:rFonts w:ascii="宋体" w:hAnsi="宋体" w:cs="宋体" w:eastAsia="宋体"/>
                      <w:sz w:val="24"/>
                      <w:shd w:fill="FFFFFF" w:val="clear"/>
                    </w:rPr>
                    <w:t>要保证备件质量，</w:t>
                  </w:r>
                  <w:r>
                    <w:rPr>
                      <w:rFonts w:ascii="宋体" w:hAnsi="宋体" w:cs="宋体" w:eastAsia="宋体"/>
                      <w:sz w:val="24"/>
                      <w:shd w:fill="FFFFFF" w:val="clear"/>
                    </w:rPr>
                    <w:t>在</w:t>
                  </w:r>
                  <w:r>
                    <w:rPr>
                      <w:rFonts w:ascii="宋体" w:hAnsi="宋体" w:cs="宋体" w:eastAsia="宋体"/>
                      <w:sz w:val="24"/>
                      <w:shd w:fill="FFFFFF" w:val="clear"/>
                    </w:rPr>
                    <w:t>同一次故障中</w:t>
                  </w:r>
                  <w:r>
                    <w:rPr>
                      <w:rFonts w:ascii="宋体" w:hAnsi="宋体" w:cs="宋体" w:eastAsia="宋体"/>
                      <w:sz w:val="24"/>
                      <w:shd w:fill="FFFFFF" w:val="clear"/>
                    </w:rPr>
                    <w:t>备件</w:t>
                  </w:r>
                  <w:r>
                    <w:rPr>
                      <w:rFonts w:ascii="宋体" w:hAnsi="宋体" w:cs="宋体" w:eastAsia="宋体"/>
                      <w:sz w:val="24"/>
                      <w:shd w:fill="FFFFFF" w:val="clear"/>
                    </w:rPr>
                    <w:t>更换不得超过三次；</w:t>
                  </w:r>
                </w:p>
                <w:p>
                  <w:pPr>
                    <w:pStyle w:val="null3"/>
                    <w:jc w:val="left"/>
                  </w:pPr>
                  <w:r>
                    <w:rPr>
                      <w:rFonts w:ascii="宋体" w:hAnsi="宋体" w:cs="宋体" w:eastAsia="宋体"/>
                      <w:sz w:val="24"/>
                      <w:shd w:fill="FFFFFF" w:val="clear"/>
                    </w:rPr>
                    <w:t>3.7</w:t>
                  </w:r>
                  <w:r>
                    <w:rPr>
                      <w:rFonts w:ascii="宋体" w:hAnsi="宋体" w:cs="宋体" w:eastAsia="宋体"/>
                      <w:sz w:val="24"/>
                      <w:shd w:fill="FFFFFF" w:val="clear"/>
                    </w:rPr>
                    <w:t>提供</w:t>
                  </w:r>
                  <w:r>
                    <w:rPr>
                      <w:rFonts w:ascii="宋体" w:hAnsi="宋体" w:cs="宋体" w:eastAsia="宋体"/>
                      <w:sz w:val="24"/>
                      <w:shd w:fill="FFFFFF" w:val="clear"/>
                    </w:rPr>
                    <w:t>设备</w:t>
                  </w:r>
                  <w:r>
                    <w:rPr>
                      <w:rFonts w:ascii="宋体" w:hAnsi="宋体" w:cs="宋体" w:eastAsia="宋体"/>
                      <w:sz w:val="24"/>
                      <w:shd w:fill="FFFFFF" w:val="clear"/>
                    </w:rPr>
                    <w:t>年度维保计划、保养措施，保证设备正常运转，</w:t>
                  </w:r>
                  <w:r>
                    <w:rPr>
                      <w:rFonts w:ascii="宋体" w:hAnsi="宋体" w:cs="宋体" w:eastAsia="宋体"/>
                      <w:sz w:val="24"/>
                      <w:shd w:fill="FFFFFF" w:val="clear"/>
                    </w:rPr>
                    <w:t>全年</w:t>
                  </w:r>
                  <w:r>
                    <w:rPr>
                      <w:rFonts w:ascii="宋体" w:hAnsi="宋体" w:cs="宋体" w:eastAsia="宋体"/>
                      <w:sz w:val="24"/>
                      <w:shd w:fill="FFFFFF" w:val="clear"/>
                    </w:rPr>
                    <w:t>开机率</w:t>
                  </w:r>
                  <w:r>
                    <w:rPr>
                      <w:rFonts w:ascii="宋体" w:hAnsi="宋体" w:cs="宋体" w:eastAsia="宋体"/>
                      <w:sz w:val="24"/>
                      <w:shd w:fill="FFFFFF" w:val="clear"/>
                    </w:rPr>
                    <w:t>≥97%（折合一年故障停机时间不超过11天，超停1天保修顺延10日并赔偿院方经济损失2000元，保修顺延期视同正式保修）；</w:t>
                  </w:r>
                </w:p>
                <w:p>
                  <w:pPr>
                    <w:pStyle w:val="null3"/>
                    <w:jc w:val="left"/>
                  </w:pPr>
                  <w:r>
                    <w:rPr>
                      <w:rFonts w:ascii="宋体" w:hAnsi="宋体" w:cs="宋体" w:eastAsia="宋体"/>
                      <w:sz w:val="24"/>
                      <w:shd w:fill="FFFFFF" w:val="clear"/>
                    </w:rPr>
                    <w:t>3.8</w:t>
                  </w:r>
                  <w:r>
                    <w:rPr>
                      <w:rFonts w:ascii="宋体" w:hAnsi="宋体" w:cs="宋体" w:eastAsia="宋体"/>
                      <w:sz w:val="24"/>
                      <w:shd w:fill="FFFFFF" w:val="clear"/>
                    </w:rPr>
                    <w:t>提供维保公司远程设备诊断服务（建立</w:t>
                  </w:r>
                  <w:r>
                    <w:rPr>
                      <w:rFonts w:ascii="宋体" w:hAnsi="宋体" w:cs="宋体" w:eastAsia="宋体"/>
                      <w:sz w:val="24"/>
                      <w:shd w:fill="FFFFFF" w:val="clear"/>
                    </w:rPr>
                    <w:t>设备维修专用微信群，及时动态掌握设备故障情况</w:t>
                  </w:r>
                  <w:r>
                    <w:rPr>
                      <w:rFonts w:ascii="宋体" w:hAnsi="宋体" w:cs="宋体" w:eastAsia="宋体"/>
                      <w:sz w:val="24"/>
                      <w:shd w:fill="FFFFFF" w:val="clear"/>
                    </w:rPr>
                    <w:t>）及软件的免费升级服务；</w:t>
                  </w:r>
                </w:p>
                <w:p>
                  <w:pPr>
                    <w:pStyle w:val="null3"/>
                    <w:jc w:val="left"/>
                  </w:pPr>
                  <w:r>
                    <w:rPr>
                      <w:rFonts w:ascii="宋体" w:hAnsi="宋体" w:cs="宋体" w:eastAsia="宋体"/>
                      <w:sz w:val="24"/>
                      <w:shd w:fill="FFFFFF" w:val="clear"/>
                    </w:rPr>
                    <w:t>3.9</w:t>
                  </w:r>
                  <w:r>
                    <w:rPr>
                      <w:rFonts w:ascii="宋体" w:hAnsi="宋体" w:cs="宋体" w:eastAsia="宋体"/>
                      <w:sz w:val="24"/>
                      <w:shd w:fill="FFFFFF" w:val="clear"/>
                    </w:rPr>
                    <w:t>维保服务包含故障排除及保养所涉及的</w:t>
                  </w:r>
                  <w:r>
                    <w:rPr>
                      <w:rFonts w:ascii="宋体" w:hAnsi="宋体" w:cs="宋体" w:eastAsia="宋体"/>
                      <w:sz w:val="24"/>
                      <w:shd w:fill="FFFFFF" w:val="clear"/>
                    </w:rPr>
                    <w:t>专业工程师的</w:t>
                  </w:r>
                  <w:r>
                    <w:rPr>
                      <w:rFonts w:ascii="宋体" w:hAnsi="宋体" w:cs="宋体" w:eastAsia="宋体"/>
                      <w:sz w:val="24"/>
                      <w:shd w:fill="FFFFFF" w:val="clear"/>
                    </w:rPr>
                    <w:t>人工费用、交通差旅费用</w:t>
                  </w:r>
                  <w:r>
                    <w:rPr>
                      <w:rFonts w:ascii="宋体" w:hAnsi="宋体" w:cs="宋体" w:eastAsia="宋体"/>
                      <w:sz w:val="24"/>
                      <w:shd w:fill="FFFFFF" w:val="clear"/>
                    </w:rPr>
                    <w:t>等相关费用</w:t>
                  </w:r>
                  <w:r>
                    <w:rPr>
                      <w:rFonts w:ascii="宋体" w:hAnsi="宋体" w:cs="宋体" w:eastAsia="宋体"/>
                      <w:sz w:val="24"/>
                      <w:shd w:fill="FFFFFF" w:val="clear"/>
                    </w:rPr>
                    <w:t>。</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b/>
                    </w:rPr>
                    <w:t>4</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b/>
                    </w:rPr>
                    <w:t>质量控制检测要求：</w:t>
                  </w:r>
                </w:p>
                <w:p>
                  <w:pPr>
                    <w:pStyle w:val="null3"/>
                    <w:jc w:val="left"/>
                  </w:pPr>
                  <w:r>
                    <w:rPr>
                      <w:rFonts w:ascii="宋体" w:hAnsi="宋体" w:cs="宋体" w:eastAsia="宋体"/>
                      <w:sz w:val="24"/>
                      <w:shd w:fill="FFFFFF" w:val="clear"/>
                    </w:rPr>
                    <w:t>4.1必须按照WS519—2019《X 射线计算机体层摄影装置质量控制检测规范》执行，重大维修后应进行验收检测，并定期进行稳定性检测。</w:t>
                  </w:r>
                </w:p>
                <w:p>
                  <w:pPr>
                    <w:pStyle w:val="null3"/>
                    <w:jc w:val="left"/>
                  </w:pPr>
                  <w:r>
                    <w:rPr>
                      <w:rFonts w:ascii="宋体" w:hAnsi="宋体" w:cs="宋体" w:eastAsia="宋体"/>
                      <w:sz w:val="24"/>
                      <w:shd w:fill="FFFFFF" w:val="clear"/>
                    </w:rPr>
                    <w:t>4.2 验收检测应委托有资质的技术服务机构进行，稳定性检测由厂家授权的专业工程师完成。</w:t>
                  </w:r>
                </w:p>
                <w:p>
                  <w:pPr>
                    <w:pStyle w:val="null3"/>
                    <w:jc w:val="left"/>
                  </w:pPr>
                  <w:r>
                    <w:rPr>
                      <w:rFonts w:ascii="宋体" w:hAnsi="宋体" w:cs="宋体" w:eastAsia="宋体"/>
                      <w:sz w:val="24"/>
                      <w:shd w:fill="FFFFFF" w:val="clear"/>
                    </w:rPr>
                    <w:t>4.3验收检测项目包含：诊断床定位精度、定位光精度、扫描架倾角精度、重建层厚偏差、CTDIw、CT值（水）、均匀性、噪声、高对比分辨力、低对比可探测能力、CT值线性。定期稳定性检测项目包含：每个月进行一次诊断床定位精度、CT值（水）、均匀性、噪声检测；每年进行一次重建层厚偏差、CTDIw检测。各检测项目判定标准应符合WS519—2019《X 射线计算机体层摄影装置质量控制检测规范》的要求。</w:t>
                  </w:r>
                </w:p>
                <w:p>
                  <w:pPr>
                    <w:pStyle w:val="null3"/>
                    <w:jc w:val="left"/>
                  </w:pPr>
                  <w:r>
                    <w:rPr>
                      <w:rFonts w:ascii="宋体" w:hAnsi="宋体" w:cs="宋体" w:eastAsia="宋体"/>
                      <w:sz w:val="24"/>
                      <w:shd w:fill="FFFFFF" w:val="clear"/>
                    </w:rPr>
                    <w:t>4.4 检测报告的基本内容应包括：委托单位基本信息、设备信息、检测项目、相应检测要求、检测结果及其相应标准要求。</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b/>
                    </w:rPr>
                    <w:t>5</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shd w:fill="FFFFFF" w:val="clear"/>
                    </w:rPr>
                    <w:t>提交维保公司相应资质或设备生产厂家授权书；</w:t>
                  </w:r>
                </w:p>
              </w:tc>
            </w:tr>
            <w:tr>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4"/>
                      <w:b/>
                    </w:rPr>
                    <w:t>6</w:t>
                  </w:r>
                </w:p>
              </w:tc>
              <w:tc>
                <w:tcPr>
                  <w:tcW w:type="dxa" w:w="19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shd w:fill="FFFFFF" w:val="clear"/>
                    </w:rPr>
                    <w:t>投标人必须具备</w:t>
                  </w:r>
                  <w:r>
                    <w:rPr>
                      <w:rFonts w:ascii="宋体" w:hAnsi="宋体" w:cs="宋体" w:eastAsia="宋体"/>
                      <w:sz w:val="24"/>
                      <w:shd w:fill="FFFFFF" w:val="clear"/>
                    </w:rPr>
                    <w:t>特有的</w:t>
                  </w:r>
                  <w:r>
                    <w:rPr>
                      <w:rFonts w:ascii="宋体" w:hAnsi="宋体" w:cs="宋体" w:eastAsia="宋体"/>
                      <w:sz w:val="24"/>
                      <w:shd w:fill="FFFFFF" w:val="clear"/>
                    </w:rPr>
                    <w:t>客户服务专线电话，全年</w:t>
                  </w:r>
                  <w:r>
                    <w:rPr>
                      <w:rFonts w:ascii="宋体" w:hAnsi="宋体" w:cs="宋体" w:eastAsia="宋体"/>
                      <w:sz w:val="24"/>
                      <w:shd w:fill="FFFFFF" w:val="clear"/>
                    </w:rPr>
                    <w:t>365天开通，全天24小时服务。</w:t>
                  </w:r>
                </w:p>
              </w:tc>
            </w:tr>
            <w:tr>
              <w:tc>
                <w:tcPr>
                  <w:tcW w:type="dxa" w:w="2553"/>
                  <w:gridSpan w:val="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4"/>
                      <w:b/>
                      <w:shd w:fill="FFFFFF" w:val="clear"/>
                    </w:rPr>
                    <w:t>注：</w:t>
                  </w:r>
                  <w:r>
                    <w:rPr>
                      <w:rFonts w:ascii="宋体" w:hAnsi="宋体" w:cs="宋体" w:eastAsia="宋体"/>
                      <w:sz w:val="24"/>
                      <w:b/>
                      <w:shd w:fill="FFFFFF" w:val="clear"/>
                    </w:rPr>
                    <w:t>以上内容</w:t>
                  </w:r>
                  <w:r>
                    <w:rPr>
                      <w:rFonts w:ascii="宋体" w:hAnsi="宋体" w:cs="宋体" w:eastAsia="宋体"/>
                      <w:sz w:val="24"/>
                      <w:b/>
                      <w:shd w:fill="FFFFFF" w:val="clear"/>
                    </w:rPr>
                    <w:t>实质性要求，不得负偏离。</w:t>
                  </w:r>
                </w:p>
              </w:tc>
            </w:tr>
          </w:tbl>
          <w:p/>
        </w:tc>
      </w:tr>
    </w:tbl>
    <w:p>
      <w:pPr>
        <w:pStyle w:val="null3"/>
        <w:outlineLvl w:val="2"/>
      </w:pPr>
      <w:r>
        <w:rPr>
          <w:sz w:val="28"/>
          <w:b/>
        </w:rPr>
        <w:t>3.2.3人员配置要求</w:t>
      </w:r>
    </w:p>
    <w:p>
      <w:pPr>
        <w:pStyle w:val="null3"/>
      </w:pPr>
      <w:r>
        <w:rPr/>
        <w:t>采购包1：</w:t>
      </w:r>
    </w:p>
    <w:p>
      <w:pPr>
        <w:pStyle w:val="null3"/>
      </w:pPr>
      <w:r>
        <w:rPr/>
        <w:t>根据项目实际情况提供</w:t>
      </w:r>
    </w:p>
    <w:p>
      <w:pPr>
        <w:pStyle w:val="null3"/>
        <w:outlineLvl w:val="2"/>
      </w:pPr>
      <w:r>
        <w:rPr>
          <w:sz w:val="28"/>
          <w:b/>
        </w:rPr>
        <w:t>3.2.4设施设备要求</w:t>
      </w:r>
    </w:p>
    <w:p>
      <w:pPr>
        <w:pStyle w:val="null3"/>
      </w:pPr>
      <w:r>
        <w:rPr/>
        <w:t>采购包1：</w:t>
      </w:r>
    </w:p>
    <w:p>
      <w:pPr>
        <w:pStyle w:val="null3"/>
      </w:pPr>
      <w:r>
        <w:rPr/>
        <w:t>根据项目实际情况提供</w:t>
      </w:r>
    </w:p>
    <w:p>
      <w:pPr>
        <w:pStyle w:val="null3"/>
        <w:outlineLvl w:val="2"/>
      </w:pPr>
      <w:r>
        <w:rPr>
          <w:sz w:val="28"/>
          <w:b/>
        </w:rPr>
        <w:t>3.2.5其他要求</w:t>
      </w:r>
    </w:p>
    <w:p>
      <w:pPr>
        <w:pStyle w:val="null3"/>
      </w:pPr>
      <w:r>
        <w:rPr/>
        <w:t>采购包1：</w:t>
      </w:r>
    </w:p>
    <w:p>
      <w:pPr>
        <w:pStyle w:val="null3"/>
      </w:pPr>
      <w:r>
        <w:rPr/>
        <w:t>根据项目实际情况提供</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西安医学院第二附属医院使用科室</w:t>
      </w:r>
    </w:p>
    <w:p>
      <w:pPr>
        <w:pStyle w:val="null3"/>
        <w:outlineLvl w:val="3"/>
      </w:pPr>
      <w:r>
        <w:rPr>
          <w:sz w:val="24"/>
          <w:b/>
        </w:rPr>
        <w:t>3.3.3考核（验收）标准和方法</w:t>
      </w:r>
    </w:p>
    <w:p>
      <w:pPr>
        <w:pStyle w:val="null3"/>
      </w:pPr>
      <w:r>
        <w:rPr/>
        <w:t>采购包1：</w:t>
      </w:r>
    </w:p>
    <w:p>
      <w:pPr>
        <w:pStyle w:val="null3"/>
      </w:pPr>
      <w:r>
        <w:rPr/>
        <w:t>1.根据文件中服务内容及要求进行。若成交供应商在合同期内有违约行为，采购人可以提前终止合同。 2.验收依据 2.1合同文本； 2.2磋商响应文件、磋商文件、澄清函； 2.3国家和行业制定的相应的标准和规范。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合同签订后，半年服务期满</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服务期满且不存在争议</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 解决争议的方法: 因执行本合同所发生的或与本合同有关的一切争议,双方应通过友好协商解决。如果协商开始后六十（60）天还不能解决，双方可依以下一种方式解决： 本合同在履行过程中发生的争议，由甲、乙双方当事人协商解决，协商不成的提交甲方所在地人民法院起诉。</w:t>
      </w:r>
    </w:p>
    <w:p>
      <w:pPr>
        <w:pStyle w:val="null3"/>
        <w:outlineLvl w:val="2"/>
      </w:pPr>
      <w:r>
        <w:rPr>
          <w:sz w:val="28"/>
          <w:b/>
        </w:rPr>
        <w:t>3.4其他要求</w:t>
      </w:r>
    </w:p>
    <w:p>
      <w:pPr>
        <w:pStyle w:val="null3"/>
      </w:pPr>
      <w:r>
        <w:rPr/>
        <w:t>1.成交人在领取成交通知书时提供一正两副纸质竞争性磋商响应文件。装订：纸质竞争性磋商响应文件采用书籍（胶装）方式装订成册，与电子竞争性磋商响应文件一致的签字、盖章的完整版本。2.质量保证：符合国家、行业的标准和有关规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资格审查证明文件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符合《中华人民共和国政府采购法》第二十二条规定的条件，供应商需在项目电子化交易系统中按要求上传相应证明文件并进行电子签章。</w:t>
            </w:r>
          </w:p>
        </w:tc>
        <w:tc>
          <w:tcPr>
            <w:tcW w:type="dxa" w:w="1661"/>
          </w:tcPr>
          <w:p>
            <w:pPr>
              <w:pStyle w:val="null3"/>
            </w:pPr>
            <w:r>
              <w:rPr/>
              <w:t>资格审查证明文件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资格审查证明文件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须符合《政府采购促进中小企业发展管理办法》（财库〔2020〕46号）规定的中小企业参加。（提供《中小企业声明函》，式样见竞争性磋商响应文件格式）</w:t>
            </w:r>
          </w:p>
        </w:tc>
        <w:tc>
          <w:tcPr>
            <w:tcW w:type="dxa" w:w="1661"/>
          </w:tcPr>
          <w:p>
            <w:pPr>
              <w:pStyle w:val="null3"/>
            </w:pPr>
            <w:r>
              <w:rPr/>
              <w:t>中小企业声明函 资格审查证明文件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提供供应商合法注册的法人或者其他组织的营业执照等证明文件、自然人的身份证明</w:t>
            </w:r>
          </w:p>
        </w:tc>
        <w:tc>
          <w:tcPr>
            <w:tcW w:type="dxa" w:w="3322"/>
          </w:tcPr>
          <w:p>
            <w:pPr>
              <w:pStyle w:val="null3"/>
            </w:pPr>
            <w:r>
              <w:rPr/>
              <w:t>提供供应商合法注册的法人或者其他组织的营业执照等证明文件、自然人的身份证明；</w:t>
            </w:r>
          </w:p>
        </w:tc>
        <w:tc>
          <w:tcPr>
            <w:tcW w:type="dxa" w:w="1661"/>
          </w:tcPr>
          <w:p>
            <w:pPr>
              <w:pStyle w:val="null3"/>
            </w:pPr>
            <w:r>
              <w:rPr/>
              <w:t>资格审查证明文件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资格审查证明文件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提供截止至开标时间前一年内任意一个月的税收缴纳凭据；（增值税、企业所得税至少提供一种，依法免税的供应商应提供相关文件证明）</w:t>
            </w:r>
          </w:p>
        </w:tc>
        <w:tc>
          <w:tcPr>
            <w:tcW w:type="dxa" w:w="1661"/>
          </w:tcPr>
          <w:p>
            <w:pPr>
              <w:pStyle w:val="null3"/>
            </w:pPr>
            <w:r>
              <w:rPr/>
              <w:t>资格审查证明文件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资格审查证明文件</w:t>
            </w:r>
          </w:p>
        </w:tc>
      </w:tr>
      <w:tr>
        <w:tc>
          <w:tcPr>
            <w:tcW w:type="dxa" w:w="831"/>
          </w:tcPr>
          <w:p>
            <w:pPr>
              <w:pStyle w:val="null3"/>
            </w:pPr>
            <w:r>
              <w:rPr/>
              <w:t>5</w:t>
            </w:r>
          </w:p>
        </w:tc>
        <w:tc>
          <w:tcPr>
            <w:tcW w:type="dxa" w:w="2492"/>
          </w:tcPr>
          <w:p>
            <w:pPr>
              <w:pStyle w:val="null3"/>
            </w:pPr>
            <w:r>
              <w:rPr/>
              <w:t>书面说明及承诺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资格审查证明文件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资格审查证明文件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法定代表人授权委托书 资格审查证明文件</w:t>
            </w:r>
          </w:p>
        </w:tc>
      </w:tr>
      <w:tr>
        <w:tc>
          <w:tcPr>
            <w:tcW w:type="dxa" w:w="831"/>
          </w:tcPr>
          <w:p>
            <w:pPr>
              <w:pStyle w:val="null3"/>
            </w:pPr>
            <w:r>
              <w:rPr/>
              <w:t>8</w:t>
            </w:r>
          </w:p>
        </w:tc>
        <w:tc>
          <w:tcPr>
            <w:tcW w:type="dxa" w:w="2492"/>
          </w:tcPr>
          <w:p>
            <w:pPr>
              <w:pStyle w:val="null3"/>
            </w:pPr>
            <w:r>
              <w:rPr/>
              <w:t>磋商保证金交纳凭证或担保函</w:t>
            </w:r>
          </w:p>
        </w:tc>
        <w:tc>
          <w:tcPr>
            <w:tcW w:type="dxa" w:w="3322"/>
          </w:tcPr>
          <w:p>
            <w:pPr>
              <w:pStyle w:val="null3"/>
            </w:pPr>
            <w:r>
              <w:rPr/>
              <w:t>磋商保证金交纳凭证或担保函；（磋商保证交纳金凭证为银行凭证及基本账户证明资料，担保函为财政部门认可的政府采购信用担保机构出具）</w:t>
            </w:r>
          </w:p>
        </w:tc>
        <w:tc>
          <w:tcPr>
            <w:tcW w:type="dxa" w:w="1661"/>
          </w:tcPr>
          <w:p>
            <w:pPr>
              <w:pStyle w:val="null3"/>
            </w:pPr>
            <w:r>
              <w:rPr/>
              <w:t>资格审查证明文件</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tc>
        <w:tc>
          <w:tcPr>
            <w:tcW w:type="dxa" w:w="1661"/>
          </w:tcPr>
          <w:p>
            <w:pPr>
              <w:pStyle w:val="null3"/>
            </w:pPr>
            <w:r>
              <w:rPr/>
              <w:t>资格审查证明文件</w:t>
            </w:r>
          </w:p>
        </w:tc>
      </w:tr>
      <w:tr>
        <w:tc>
          <w:tcPr>
            <w:tcW w:type="dxa" w:w="831"/>
          </w:tcPr>
          <w:p>
            <w:pPr>
              <w:pStyle w:val="null3"/>
            </w:pPr>
            <w:r>
              <w:rPr/>
              <w:t>10</w:t>
            </w:r>
          </w:p>
        </w:tc>
        <w:tc>
          <w:tcPr>
            <w:tcW w:type="dxa" w:w="2492"/>
          </w:tcPr>
          <w:p>
            <w:pPr>
              <w:pStyle w:val="null3"/>
            </w:pPr>
            <w:r>
              <w:rPr/>
              <w:t>控股管理关系</w:t>
            </w:r>
          </w:p>
        </w:tc>
        <w:tc>
          <w:tcPr>
            <w:tcW w:type="dxa" w:w="3322"/>
          </w:tcPr>
          <w:p>
            <w:pPr>
              <w:pStyle w:val="null3"/>
            </w:pPr>
            <w:r>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t>资格审查证明文件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 响应函</w:t>
            </w:r>
          </w:p>
        </w:tc>
      </w:tr>
      <w:tr>
        <w:tc>
          <w:tcPr>
            <w:tcW w:type="dxa" w:w="831"/>
          </w:tcPr>
          <w:p>
            <w:pPr>
              <w:pStyle w:val="null3"/>
            </w:pPr>
            <w:r>
              <w:rPr/>
              <w:t>2</w:t>
            </w:r>
          </w:p>
        </w:tc>
        <w:tc>
          <w:tcPr>
            <w:tcW w:type="dxa" w:w="2492"/>
          </w:tcPr>
          <w:p>
            <w:pPr>
              <w:pStyle w:val="null3"/>
            </w:pPr>
            <w:r>
              <w:rPr/>
              <w:t>除明确允许供应商可以自行编写的外，磋商响应文件未按照磋商文件给定的格式编制</w:t>
            </w:r>
          </w:p>
        </w:tc>
        <w:tc>
          <w:tcPr>
            <w:tcW w:type="dxa" w:w="3322"/>
          </w:tcPr>
          <w:p>
            <w:pPr>
              <w:pStyle w:val="null3"/>
            </w:pPr>
            <w:r>
              <w:rPr/>
              <w:t>除明确允许供应商可以自行编写的外，磋商响应文件未按照磋商文件给定的格式编制</w:t>
            </w:r>
          </w:p>
        </w:tc>
        <w:tc>
          <w:tcPr>
            <w:tcW w:type="dxa" w:w="1661"/>
          </w:tcPr>
          <w:p>
            <w:pPr>
              <w:pStyle w:val="null3"/>
            </w:pPr>
            <w:r>
              <w:rPr/>
              <w:t>响应文件封面 服务响应偏离表 法定代表人授权委托书 中小企业声明函 标的清单 拒绝政府采购领域商业贿赂承诺书 响应函 商务条款响应偏离表</w:t>
            </w:r>
          </w:p>
        </w:tc>
      </w:tr>
      <w:tr>
        <w:tc>
          <w:tcPr>
            <w:tcW w:type="dxa" w:w="831"/>
          </w:tcPr>
          <w:p>
            <w:pPr>
              <w:pStyle w:val="null3"/>
            </w:pPr>
            <w:r>
              <w:rPr/>
              <w:t>3</w:t>
            </w:r>
          </w:p>
        </w:tc>
        <w:tc>
          <w:tcPr>
            <w:tcW w:type="dxa" w:w="2492"/>
          </w:tcPr>
          <w:p>
            <w:pPr>
              <w:pStyle w:val="null3"/>
            </w:pPr>
            <w:r>
              <w:rPr/>
              <w:t>磋商响应文件未按照磋商文件的要求盖章签字</w:t>
            </w:r>
          </w:p>
        </w:tc>
        <w:tc>
          <w:tcPr>
            <w:tcW w:type="dxa" w:w="3322"/>
          </w:tcPr>
          <w:p>
            <w:pPr>
              <w:pStyle w:val="null3"/>
            </w:pPr>
            <w:r>
              <w:rPr/>
              <w:t>磋商响应文件未按照磋商文件的要求盖章签字</w:t>
            </w:r>
          </w:p>
        </w:tc>
        <w:tc>
          <w:tcPr>
            <w:tcW w:type="dxa" w:w="1661"/>
          </w:tcPr>
          <w:p>
            <w:pPr>
              <w:pStyle w:val="null3"/>
            </w:pPr>
            <w:r>
              <w:rPr/>
              <w:t>响应文件封面 服务响应偏离表 法定代表人授权委托书 残疾人福利性单位声明函 资格审查证明文件 中小企业声明函 标的清单 拒绝政府采购领域商业贿赂承诺书 响应函 监狱企业的证明文件 商务条款响应偏离表</w:t>
            </w:r>
          </w:p>
        </w:tc>
      </w:tr>
      <w:tr>
        <w:tc>
          <w:tcPr>
            <w:tcW w:type="dxa" w:w="831"/>
          </w:tcPr>
          <w:p>
            <w:pPr>
              <w:pStyle w:val="null3"/>
            </w:pPr>
            <w:r>
              <w:rPr/>
              <w:t>4</w:t>
            </w:r>
          </w:p>
        </w:tc>
        <w:tc>
          <w:tcPr>
            <w:tcW w:type="dxa" w:w="2492"/>
          </w:tcPr>
          <w:p>
            <w:pPr>
              <w:pStyle w:val="null3"/>
            </w:pPr>
            <w:r>
              <w:rPr/>
              <w:t>磋商报价超过采购预算</w:t>
            </w:r>
          </w:p>
        </w:tc>
        <w:tc>
          <w:tcPr>
            <w:tcW w:type="dxa" w:w="3322"/>
          </w:tcPr>
          <w:p>
            <w:pPr>
              <w:pStyle w:val="null3"/>
            </w:pPr>
            <w:r>
              <w:rPr/>
              <w:t>磋商报价超过采购预算</w:t>
            </w:r>
          </w:p>
        </w:tc>
        <w:tc>
          <w:tcPr>
            <w:tcW w:type="dxa" w:w="1661"/>
          </w:tcPr>
          <w:p>
            <w:pPr>
              <w:pStyle w:val="null3"/>
            </w:pPr>
            <w:r>
              <w:rPr/>
              <w:t>标的清单 响应函</w:t>
            </w:r>
          </w:p>
        </w:tc>
      </w:tr>
      <w:tr>
        <w:tc>
          <w:tcPr>
            <w:tcW w:type="dxa" w:w="831"/>
          </w:tcPr>
          <w:p>
            <w:pPr>
              <w:pStyle w:val="null3"/>
            </w:pPr>
            <w:r>
              <w:rPr/>
              <w:t>5</w:t>
            </w:r>
          </w:p>
        </w:tc>
        <w:tc>
          <w:tcPr>
            <w:tcW w:type="dxa" w:w="2492"/>
          </w:tcPr>
          <w:p>
            <w:pPr>
              <w:pStyle w:val="null3"/>
            </w:pPr>
            <w:r>
              <w:rPr/>
              <w:t>磋商有效期不符合磋商文件的要求</w:t>
            </w:r>
          </w:p>
        </w:tc>
        <w:tc>
          <w:tcPr>
            <w:tcW w:type="dxa" w:w="3322"/>
          </w:tcPr>
          <w:p>
            <w:pPr>
              <w:pStyle w:val="null3"/>
            </w:pPr>
            <w:r>
              <w:rPr/>
              <w:t>磋商有效期不符合磋商文件的要求</w:t>
            </w:r>
          </w:p>
        </w:tc>
        <w:tc>
          <w:tcPr>
            <w:tcW w:type="dxa" w:w="1661"/>
          </w:tcPr>
          <w:p>
            <w:pPr>
              <w:pStyle w:val="null3"/>
            </w:pPr>
            <w:r>
              <w:rPr/>
              <w:t>法定代表人授权委托书</w:t>
            </w:r>
          </w:p>
        </w:tc>
      </w:tr>
      <w:tr>
        <w:tc>
          <w:tcPr>
            <w:tcW w:type="dxa" w:w="831"/>
          </w:tcPr>
          <w:p>
            <w:pPr>
              <w:pStyle w:val="null3"/>
            </w:pPr>
            <w:r>
              <w:rPr/>
              <w:t>6</w:t>
            </w:r>
          </w:p>
        </w:tc>
        <w:tc>
          <w:tcPr>
            <w:tcW w:type="dxa" w:w="2492"/>
          </w:tcPr>
          <w:p>
            <w:pPr>
              <w:pStyle w:val="null3"/>
            </w:pPr>
            <w:r>
              <w:rPr/>
              <w:t>对磋商文件商务要求未作出明确且实质性响应</w:t>
            </w:r>
          </w:p>
        </w:tc>
        <w:tc>
          <w:tcPr>
            <w:tcW w:type="dxa" w:w="3322"/>
          </w:tcPr>
          <w:p>
            <w:pPr>
              <w:pStyle w:val="null3"/>
            </w:pPr>
            <w:r>
              <w:rPr/>
              <w:t>对磋商文件商务要求未作出明确且实质性响应</w:t>
            </w:r>
          </w:p>
        </w:tc>
        <w:tc>
          <w:tcPr>
            <w:tcW w:type="dxa" w:w="1661"/>
          </w:tcPr>
          <w:p>
            <w:pPr>
              <w:pStyle w:val="null3"/>
            </w:pPr>
            <w:r>
              <w:rPr/>
              <w:t>商务条款响应偏离表</w:t>
            </w:r>
          </w:p>
        </w:tc>
      </w:tr>
      <w:tr>
        <w:tc>
          <w:tcPr>
            <w:tcW w:type="dxa" w:w="831"/>
          </w:tcPr>
          <w:p>
            <w:pPr>
              <w:pStyle w:val="null3"/>
            </w:pPr>
            <w:r>
              <w:rPr/>
              <w:t>7</w:t>
            </w:r>
          </w:p>
        </w:tc>
        <w:tc>
          <w:tcPr>
            <w:tcW w:type="dxa" w:w="2492"/>
          </w:tcPr>
          <w:p>
            <w:pPr>
              <w:pStyle w:val="null3"/>
            </w:pPr>
            <w:r>
              <w:rPr/>
              <w:t>对磋商文件技术要求未作出明确响应，对不得偏离的要求是否作了实质性响应</w:t>
            </w:r>
          </w:p>
        </w:tc>
        <w:tc>
          <w:tcPr>
            <w:tcW w:type="dxa" w:w="3322"/>
          </w:tcPr>
          <w:p>
            <w:pPr>
              <w:pStyle w:val="null3"/>
            </w:pPr>
            <w:r>
              <w:rPr/>
              <w:t>对磋商文件技术要求未作出明确响应，对不得偏离的要求是否作了实质性响应</w:t>
            </w:r>
          </w:p>
        </w:tc>
        <w:tc>
          <w:tcPr>
            <w:tcW w:type="dxa" w:w="1661"/>
          </w:tcPr>
          <w:p>
            <w:pPr>
              <w:pStyle w:val="null3"/>
            </w:pPr>
            <w:r>
              <w:rPr/>
              <w:t>服务响应偏离表</w:t>
            </w:r>
          </w:p>
        </w:tc>
      </w:tr>
      <w:tr>
        <w:tc>
          <w:tcPr>
            <w:tcW w:type="dxa" w:w="831"/>
          </w:tcPr>
          <w:p>
            <w:pPr>
              <w:pStyle w:val="null3"/>
            </w:pPr>
            <w:r>
              <w:rPr/>
              <w:t>8</w:t>
            </w:r>
          </w:p>
        </w:tc>
        <w:tc>
          <w:tcPr>
            <w:tcW w:type="dxa" w:w="2492"/>
          </w:tcPr>
          <w:p>
            <w:pPr>
              <w:pStyle w:val="null3"/>
            </w:pPr>
            <w:r>
              <w:rPr/>
              <w:t>磋商响应文件含有采购人不能接受的附加条件</w:t>
            </w:r>
          </w:p>
        </w:tc>
        <w:tc>
          <w:tcPr>
            <w:tcW w:type="dxa" w:w="3322"/>
          </w:tcPr>
          <w:p>
            <w:pPr>
              <w:pStyle w:val="null3"/>
            </w:pPr>
            <w:r>
              <w:rPr/>
              <w:t>磋商响应文件含有采购人不能接受的附加条件</w:t>
            </w:r>
          </w:p>
        </w:tc>
        <w:tc>
          <w:tcPr>
            <w:tcW w:type="dxa" w:w="1661"/>
          </w:tcPr>
          <w:p>
            <w:pPr>
              <w:pStyle w:val="null3"/>
            </w:pPr>
            <w:r>
              <w:rPr/>
              <w:t>服务响应偏离表 服务承诺 中小企业声明函 供应商认为有必要说明的事宜（若有） 标的清单 报价表 响应函 商务条款响应偏离表</w:t>
            </w:r>
          </w:p>
        </w:tc>
      </w:tr>
      <w:tr>
        <w:tc>
          <w:tcPr>
            <w:tcW w:type="dxa" w:w="831"/>
          </w:tcPr>
          <w:p>
            <w:pPr>
              <w:pStyle w:val="null3"/>
            </w:pPr>
            <w:r>
              <w:rPr/>
              <w:t>9</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服务响应偏离表 法定代表人授权委托书 中小企业声明函 报价表 拒绝政府采购领域商业贿赂承诺书 投入人员配备 商务条款响应偏离表 应急方案 质量保证 总体方案 售后服务 服务承诺 培训方案 资格审查证明文件 标的清单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供应商针对本项目提供维保方案，包括但不限于系统维保、更换、检测方案；维保计划；保养措施；系统硬件设备运维服务、技术支持服务、故障处理等： ①方案流程清晰、详细具体、全面合理，架构完整、层次清楚、完善可行的计15分； ②针对以上方案内容，有1项欠缺或只有书面承诺，缺少具体措施办法的计12分； ③针对以上方案内容，有2项欠缺的，计9分； ④针对以上方案内容，有3项欠缺的，计6分； ⑤针对以上方案内容，有4项欠缺的，计3分； ⑥未提供不得分。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总体方案</w:t>
            </w:r>
          </w:p>
        </w:tc>
      </w:tr>
      <w:tr>
        <w:tc>
          <w:tcPr>
            <w:tcW w:type="dxa" w:w="831"/>
            <w:vMerge/>
          </w:tcPr>
          <w:p/>
        </w:tc>
        <w:tc>
          <w:tcPr>
            <w:tcW w:type="dxa" w:w="1661"/>
          </w:tcPr>
          <w:p>
            <w:pPr>
              <w:pStyle w:val="null3"/>
            </w:pPr>
            <w:r>
              <w:rPr/>
              <w:t>质量保证1</w:t>
            </w:r>
          </w:p>
        </w:tc>
        <w:tc>
          <w:tcPr>
            <w:tcW w:type="dxa" w:w="2492"/>
          </w:tcPr>
          <w:p>
            <w:pPr>
              <w:pStyle w:val="null3"/>
            </w:pPr>
            <w:r>
              <w:rPr/>
              <w:t>供应商提供的部件及备品备件符合行业标准且能够与原设备配套兼容，具备合法、稳定的备件来源渠道以确保设备维修的及时性 ①证明材料齐全，内容完整，描述清晰，得10分； ②证明材料齐全，内容完整，描述简单，得7分； ③证明材料不全，内容、描述欠缺，得4分； ④未提供不得分。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质量保证2</w:t>
            </w:r>
          </w:p>
        </w:tc>
        <w:tc>
          <w:tcPr>
            <w:tcW w:type="dxa" w:w="2492"/>
          </w:tcPr>
          <w:p>
            <w:pPr>
              <w:pStyle w:val="null3"/>
            </w:pPr>
            <w:r>
              <w:rPr/>
              <w:t>供应商针对本项目提供健全的服务质量、保障措施与计划，确保设备使用可靠、稳定、性能充分发挥。 ①拟投入的设备稳定、措施全面的，计7分； ②针对以上要求，有1项欠缺或描述不详细的，计4分； ③针对以上要求，有2项欠缺的，计1分； ④未提供不得分。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培训方案</w:t>
            </w:r>
          </w:p>
        </w:tc>
        <w:tc>
          <w:tcPr>
            <w:tcW w:type="dxa" w:w="2492"/>
          </w:tcPr>
          <w:p>
            <w:pPr>
              <w:pStyle w:val="null3"/>
            </w:pPr>
            <w:r>
              <w:rPr/>
              <w:t>针对本项目制定完善、可行的培训计划，包括但不限于培训时间、培训地点、培训形式、培训内容等。 ①内容具体、完整、详细、全面的，计7分； ②内容有1项缺项或针对性内容不详细的，计4分； ③内容有2项以上缺项，计1分； ④未提供不得分。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投入人员配备1</w:t>
            </w:r>
          </w:p>
        </w:tc>
        <w:tc>
          <w:tcPr>
            <w:tcW w:type="dxa" w:w="2492"/>
          </w:tcPr>
          <w:p>
            <w:pPr>
              <w:pStyle w:val="null3"/>
            </w:pPr>
            <w:r>
              <w:rPr/>
              <w:t>针对供应商拟投入工作人员配置结构完整、数量、资质、专业技术能力、从业工作经验等，进行综合赋分。 ①内容完整、全面、详细，管理组织架构合理，人员配备完善，证明材料齐全，满足采购人需求的，计9分； ②内容有1项欠缺，证明材料有缺失的，计6分； ③内容有2项以上欠缺，无证明材料的，计3分； ④未提供不得分。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投入人员配备</w:t>
            </w:r>
          </w:p>
        </w:tc>
      </w:tr>
      <w:tr>
        <w:tc>
          <w:tcPr>
            <w:tcW w:type="dxa" w:w="831"/>
            <w:vMerge/>
          </w:tcPr>
          <w:p/>
        </w:tc>
        <w:tc>
          <w:tcPr>
            <w:tcW w:type="dxa" w:w="1661"/>
          </w:tcPr>
          <w:p>
            <w:pPr>
              <w:pStyle w:val="null3"/>
            </w:pPr>
            <w:r>
              <w:rPr/>
              <w:t>投入人员配备2</w:t>
            </w:r>
          </w:p>
        </w:tc>
        <w:tc>
          <w:tcPr>
            <w:tcW w:type="dxa" w:w="2492"/>
          </w:tcPr>
          <w:p>
            <w:pPr>
              <w:pStyle w:val="null3"/>
            </w:pPr>
            <w:r>
              <w:rPr/>
              <w:t>维保公司具有生产厂家的相关产品维修培训证明，并提供维修团队专业工程师名单、资质证明及其近半年社保缴纳证明材料； 提供得5分，未提供及无社保和证明材料不得分。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投入人员配备</w:t>
            </w:r>
          </w:p>
        </w:tc>
      </w:tr>
      <w:tr>
        <w:tc>
          <w:tcPr>
            <w:tcW w:type="dxa" w:w="831"/>
            <w:vMerge/>
          </w:tcPr>
          <w:p/>
        </w:tc>
        <w:tc>
          <w:tcPr>
            <w:tcW w:type="dxa" w:w="1661"/>
          </w:tcPr>
          <w:p>
            <w:pPr>
              <w:pStyle w:val="null3"/>
            </w:pPr>
            <w:r>
              <w:rPr/>
              <w:t>业绩</w:t>
            </w:r>
          </w:p>
        </w:tc>
        <w:tc>
          <w:tcPr>
            <w:tcW w:type="dxa" w:w="2492"/>
          </w:tcPr>
          <w:p>
            <w:pPr>
              <w:pStyle w:val="null3"/>
            </w:pPr>
            <w:r>
              <w:rPr/>
              <w:t>提供2021年07月至今同类项目的业绩合同复印件，每提供一份计2分，满分10分。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w:t>
            </w:r>
          </w:p>
        </w:tc>
        <w:tc>
          <w:tcPr>
            <w:tcW w:type="dxa" w:w="2492"/>
          </w:tcPr>
          <w:p>
            <w:pPr>
              <w:pStyle w:val="null3"/>
            </w:pPr>
            <w:r>
              <w:rPr/>
              <w:t>供应商提供相应的售后服务方案及承诺，有详尽的验收、售后等方面的服务能力及措施，根据售后服务安排的完善程度、合理性进行评审。 ①内容完善合理，完全符合本项目需求，得10分； ②内容有1项欠缺的或描述不详细的，得7分； ③内容有2项欠缺的，得4分 ④内容无实质性内容的或简单概括1分； ⑤未提供不得分。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应急方案</w:t>
            </w:r>
          </w:p>
        </w:tc>
        <w:tc>
          <w:tcPr>
            <w:tcW w:type="dxa" w:w="2492"/>
          </w:tcPr>
          <w:p>
            <w:pPr>
              <w:pStyle w:val="null3"/>
            </w:pPr>
            <w:r>
              <w:rPr/>
              <w:t>针对设备可能出现的问题及重大故障，有具体可行的应急措施和解决方案，对故障响应时间、维修服务时限等有明确的承诺。 ①整体方案详实、贴合实际、实用性强。方案可行、合理、详细全面的计10分； ②整体方案内容欠缺或者内容条理不清晰的计7分； ③整体服案内容只有框架无实质性内容的计4分； ④整体方案内容简单，不切合实际情况，不具有操作性或内容有缺项的计1分； ⑤未提供不得分。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应急方案</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针对本项目及采购人实际需求提供详细具体可行的服务措施承诺、合同条款的承诺、对服务期限内服务质量、人员到位情况的承诺、阐明可提供的咨询或后期服务内容。 ①内容详细全面、方案设计合理、架构完整、层次清楚、完善可行的计7分； ②针对以上方案要求，有1项欠缺的计5分； ③针对以上方案要求，有2项欠缺的计3分； ④针对以上方案要求，有3项欠缺及以上的计1分； ⑤未提供不得分。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详见附件：服务响应偏离表</w:t>
      </w:r>
    </w:p>
    <w:p>
      <w:pPr>
        <w:pStyle w:val="null3"/>
        <w:ind w:firstLine="960"/>
      </w:pPr>
      <w:r>
        <w:rPr/>
        <w:t>详见附件：商务条款响应偏离表</w:t>
      </w:r>
    </w:p>
    <w:p>
      <w:pPr>
        <w:pStyle w:val="null3"/>
        <w:ind w:firstLine="960"/>
      </w:pPr>
      <w:r>
        <w:rPr/>
        <w:t>详见附件：法定代表人授权委托书</w:t>
      </w:r>
    </w:p>
    <w:p>
      <w:pPr>
        <w:pStyle w:val="null3"/>
        <w:ind w:firstLine="960"/>
      </w:pPr>
      <w:r>
        <w:rPr/>
        <w:t>详见附件：服务承诺</w:t>
      </w:r>
    </w:p>
    <w:p>
      <w:pPr>
        <w:pStyle w:val="null3"/>
        <w:ind w:firstLine="960"/>
      </w:pPr>
      <w:r>
        <w:rPr/>
        <w:t>详见附件：供应商认为有必要说明的事宜（若有）</w:t>
      </w:r>
    </w:p>
    <w:p>
      <w:pPr>
        <w:pStyle w:val="null3"/>
        <w:ind w:firstLine="960"/>
      </w:pPr>
      <w:r>
        <w:rPr/>
        <w:t>详见附件：拒绝政府采购领域商业贿赂承诺书</w:t>
      </w:r>
    </w:p>
    <w:p>
      <w:pPr>
        <w:pStyle w:val="null3"/>
        <w:ind w:firstLine="960"/>
      </w:pPr>
      <w:r>
        <w:rPr/>
        <w:t>详见附件：培训方案</w:t>
      </w:r>
    </w:p>
    <w:p>
      <w:pPr>
        <w:pStyle w:val="null3"/>
        <w:ind w:firstLine="960"/>
      </w:pPr>
      <w:r>
        <w:rPr/>
        <w:t>详见附件：售后服务</w:t>
      </w:r>
    </w:p>
    <w:p>
      <w:pPr>
        <w:pStyle w:val="null3"/>
        <w:ind w:firstLine="960"/>
      </w:pPr>
      <w:r>
        <w:rPr/>
        <w:t>详见附件：投入人员配备</w:t>
      </w:r>
    </w:p>
    <w:p>
      <w:pPr>
        <w:pStyle w:val="null3"/>
        <w:ind w:firstLine="960"/>
      </w:pPr>
      <w:r>
        <w:rPr/>
        <w:t>详见附件：业绩</w:t>
      </w:r>
    </w:p>
    <w:p>
      <w:pPr>
        <w:pStyle w:val="null3"/>
        <w:ind w:firstLine="960"/>
      </w:pPr>
      <w:r>
        <w:rPr/>
        <w:t>详见附件：应急方案</w:t>
      </w:r>
    </w:p>
    <w:p>
      <w:pPr>
        <w:pStyle w:val="null3"/>
        <w:ind w:firstLine="960"/>
      </w:pPr>
      <w:r>
        <w:rPr/>
        <w:t>详见附件：质量保证</w:t>
      </w:r>
    </w:p>
    <w:p>
      <w:pPr>
        <w:pStyle w:val="null3"/>
        <w:ind w:firstLine="960"/>
      </w:pPr>
      <w:r>
        <w:rPr/>
        <w:t>详见附件：资格审查证明文件</w:t>
      </w:r>
    </w:p>
    <w:p>
      <w:pPr>
        <w:pStyle w:val="null3"/>
        <w:ind w:firstLine="960"/>
      </w:pPr>
      <w:r>
        <w:rPr/>
        <w:t>详见附件：总体方案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