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版本号：240730001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2024年网络安全运维及平台开发服务</w:t>
      </w:r>
    </w:p>
    <w:p>
      <w:pPr>
        <w:pStyle w:val="null3"/>
        <w:jc w:val="center"/>
        <w:outlineLvl w:val="2"/>
      </w:pPr>
      <w:r>
        <w:rPr>
          <w:sz w:val="28"/>
          <w:b/>
        </w:rPr>
        <w:t>采购项目编号：</w:t>
      </w:r>
      <w:r>
        <w:rPr>
          <w:sz w:val="28"/>
          <w:b/>
        </w:rPr>
        <w:t>KY2024-1-223</w:t>
      </w:r>
      <w:r>
        <w:br/>
      </w:r>
      <w:r>
        <w:br/>
      </w:r>
      <w:r>
        <w:br/>
      </w:r>
    </w:p>
    <w:p>
      <w:pPr>
        <w:pStyle w:val="null3"/>
        <w:jc w:val="center"/>
        <w:outlineLvl w:val="2"/>
      </w:pPr>
      <w:r>
        <w:rPr>
          <w:sz w:val="28"/>
          <w:b/>
        </w:rPr>
        <w:t>延安大学</w:t>
      </w:r>
    </w:p>
    <w:p>
      <w:pPr>
        <w:pStyle w:val="null3"/>
        <w:jc w:val="center"/>
        <w:outlineLvl w:val="2"/>
      </w:pPr>
      <w:r>
        <w:rPr>
          <w:sz w:val="28"/>
          <w:b/>
        </w:rPr>
        <w:t>陕西开源招标有限公司</w:t>
      </w:r>
      <w:r>
        <w:rPr>
          <w:sz w:val="28"/>
          <w:b/>
        </w:rPr>
        <w:t>共同编制</w:t>
      </w:r>
    </w:p>
    <w:p>
      <w:pPr>
        <w:pStyle w:val="null3"/>
        <w:jc w:val="center"/>
        <w:outlineLvl w:val="2"/>
      </w:pPr>
      <w:r>
        <w:rPr>
          <w:sz w:val="28"/>
          <w:b/>
        </w:rPr>
        <w:t>2024年08月05日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陕西开源招标有限公司</w:t>
      </w:r>
      <w:r>
        <w:rPr/>
        <w:t>（以下简称“代理机构”）受</w:t>
      </w:r>
      <w:r>
        <w:rPr/>
        <w:t>延安大学</w:t>
      </w:r>
      <w:r>
        <w:rPr/>
        <w:t>委托，拟对</w:t>
      </w:r>
      <w:r>
        <w:rPr/>
        <w:t>2024年网络安全运维及平台开发服务</w:t>
      </w:r>
      <w:r>
        <w:rPr/>
        <w:t>采用竞争性磋商采购方式进行采购，兹邀请供应商参加本项目的竞争性磋商。</w:t>
      </w:r>
    </w:p>
    <w:p>
      <w:pPr>
        <w:pStyle w:val="null3"/>
        <w:outlineLvl w:val="2"/>
      </w:pPr>
      <w:r>
        <w:rPr>
          <w:sz w:val="28"/>
          <w:b/>
        </w:rPr>
        <w:t>一、项目编号：</w:t>
      </w:r>
      <w:r>
        <w:rPr>
          <w:sz w:val="28"/>
          <w:b/>
        </w:rPr>
        <w:t>KY2024-1-223</w:t>
      </w:r>
    </w:p>
    <w:p>
      <w:pPr>
        <w:pStyle w:val="null3"/>
        <w:outlineLvl w:val="2"/>
      </w:pPr>
      <w:r>
        <w:rPr>
          <w:sz w:val="28"/>
          <w:b/>
        </w:rPr>
        <w:t>二、项目名称：</w:t>
      </w:r>
      <w:r>
        <w:rPr>
          <w:sz w:val="28"/>
          <w:b/>
        </w:rPr>
        <w:t>2024年网络安全运维及平台开发服务</w:t>
      </w:r>
    </w:p>
    <w:p>
      <w:pPr>
        <w:pStyle w:val="null3"/>
        <w:outlineLvl w:val="2"/>
      </w:pPr>
      <w:r>
        <w:rPr>
          <w:sz w:val="28"/>
          <w:b/>
        </w:rPr>
        <w:t>三、磋商项目简介</w:t>
      </w:r>
    </w:p>
    <w:p>
      <w:pPr>
        <w:pStyle w:val="null3"/>
        <w:ind w:firstLine="480"/>
      </w:pPr>
      <w:r>
        <w:rPr/>
        <w:t>延安大学2024年网络安全运维及平台开发服务，1批，具体内容详见第三章。</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采购包1（延安大学2024年度网络安全运维服务）：属于专门面向中小企业采购。</w:t>
      </w:r>
    </w:p>
    <w:p>
      <w:pPr>
        <w:pStyle w:val="null3"/>
      </w:pPr>
      <w:r>
        <w:rPr/>
        <w:t>采购包2（延安大学智慧校园低代码开发平台与党建学习平台采购项目）：属于专门面向中小企业采购。</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t>3、税收缴纳证明：提供2024年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t>4、社会保障资金缴纳存证明：提供2024年1月至今已缴存的至少一个月的社会保障资金缴存单据或社保机构开具的社会保险参保缴费情况证明，依法不需要缴存社会保障资金的单位应提供相关证明材料。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6、承诺函：提供具有履行合同所必需的设备和专业技术能力的承诺函。</w:t>
      </w:r>
    </w:p>
    <w:p>
      <w:pPr>
        <w:pStyle w:val="null3"/>
      </w:pPr>
      <w:r>
        <w:rPr/>
        <w:t>7、法定代表人授权书：法定代表人授权书及被授权人身份证明。（法定代表人直接投标只须提供其身份证明）。</w:t>
      </w:r>
    </w:p>
    <w:p>
      <w:pPr>
        <w:pStyle w:val="null3"/>
      </w:pPr>
      <w:r>
        <w:rPr/>
        <w:t>8、中小企业声明函：本项目专门面向中小企业采购，供应商须为中小企业，并提供中小企业声明函。</w:t>
      </w:r>
    </w:p>
    <w:p>
      <w:pPr>
        <w:pStyle w:val="null3"/>
      </w:pPr>
      <w:r>
        <w:rPr/>
        <w:t>采购包2：</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四表一注”，即资产负情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t>3、税收缴纳证明：提供2024年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t>4、社会保障资金缴纳存证明：提供2024年1月至今已缴存的至少一个月的社会保障资金缴存单据或社保机构开具的社会保险参保缴费情况证明，依法不需要缴存社会保障资金的单位应提供相关证明材料。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6、承诺函：提供具有履行合同所必需的设备和专业技术能力的承诺函。</w:t>
      </w:r>
    </w:p>
    <w:p>
      <w:pPr>
        <w:pStyle w:val="null3"/>
      </w:pPr>
      <w:r>
        <w:rPr/>
        <w:t>7、法定代表人授权书：法定代表人授权书及被授权人身份证明。(法定代表人直接投标只须提供其身份证明)。</w:t>
      </w:r>
    </w:p>
    <w:p>
      <w:pPr>
        <w:pStyle w:val="null3"/>
      </w:pPr>
      <w:r>
        <w:rPr/>
        <w:t>8、中小企业声明函：本项目专门面向中小企业采购，供应商须为中小企业，并提供中小企业声明函。</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延安大学</w:t>
      </w:r>
    </w:p>
    <w:p>
      <w:pPr>
        <w:pStyle w:val="null3"/>
      </w:pPr>
      <w:r>
        <w:rPr/>
        <w:t xml:space="preserve"> 地址： </w:t>
      </w:r>
      <w:r>
        <w:rPr/>
        <w:t>延安市宝塔区圣地路580号</w:t>
      </w:r>
    </w:p>
    <w:p>
      <w:pPr>
        <w:pStyle w:val="null3"/>
      </w:pPr>
      <w:r>
        <w:rPr/>
        <w:t xml:space="preserve"> 邮编： </w:t>
      </w:r>
      <w:r>
        <w:rPr/>
        <w:t>716000</w:t>
      </w:r>
    </w:p>
    <w:p>
      <w:pPr>
        <w:pStyle w:val="null3"/>
      </w:pPr>
      <w:r>
        <w:rPr/>
        <w:t xml:space="preserve"> 联系人： </w:t>
      </w:r>
      <w:r>
        <w:rPr/>
        <w:t>张老师</w:t>
      </w:r>
    </w:p>
    <w:p>
      <w:pPr>
        <w:pStyle w:val="null3"/>
      </w:pPr>
      <w:r>
        <w:rPr/>
        <w:t xml:space="preserve"> 联系电话： </w:t>
      </w:r>
      <w:r>
        <w:rPr/>
        <w:t>0911-2650182</w:t>
      </w:r>
    </w:p>
    <w:p>
      <w:pPr>
        <w:pStyle w:val="null3"/>
        <w:outlineLvl w:val="3"/>
      </w:pPr>
      <w:r>
        <w:rPr>
          <w:sz w:val="24"/>
          <w:b/>
        </w:rPr>
        <w:t>代理机构：</w:t>
      </w:r>
      <w:r>
        <w:rPr>
          <w:sz w:val="24"/>
          <w:b/>
        </w:rPr>
        <w:t>陕西开源招标有限公司</w:t>
      </w:r>
    </w:p>
    <w:p>
      <w:pPr>
        <w:pStyle w:val="null3"/>
      </w:pPr>
      <w:r>
        <w:rPr/>
        <w:t xml:space="preserve"> 地址： </w:t>
      </w:r>
      <w:r>
        <w:rPr/>
        <w:t>西安市雁展路1111号莱安中心T6-15层</w:t>
      </w:r>
    </w:p>
    <w:p>
      <w:pPr>
        <w:pStyle w:val="null3"/>
      </w:pPr>
      <w:r>
        <w:rPr/>
        <w:t xml:space="preserve"> 邮编： </w:t>
      </w:r>
      <w:r>
        <w:rPr/>
        <w:t>710000</w:t>
      </w:r>
    </w:p>
    <w:p>
      <w:pPr>
        <w:pStyle w:val="null3"/>
      </w:pPr>
      <w:r>
        <w:rPr/>
        <w:t xml:space="preserve"> 联系人： </w:t>
      </w:r>
      <w:r>
        <w:rPr/>
        <w:t>余雅兰、丁嘉伟、刘金柯、卢韶华</w:t>
      </w:r>
    </w:p>
    <w:p>
      <w:pPr>
        <w:pStyle w:val="null3"/>
      </w:pPr>
      <w:r>
        <w:rPr/>
        <w:t xml:space="preserve"> 联系电话： </w:t>
      </w:r>
      <w:r>
        <w:rPr/>
        <w:t>029-81206622-822</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采购包1：310,000.00元</w:t>
            </w:r>
          </w:p>
          <w:p>
            <w:pPr>
              <w:pStyle w:val="null3"/>
            </w:pPr>
            <w:r>
              <w:rPr/>
              <w:t>采购包2：320,000.00元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采购包1保证金金额：6,000.00元</w:t>
            </w:r>
          </w:p>
          <w:p>
            <w:pPr>
              <w:pStyle w:val="null3"/>
            </w:pPr>
            <w:r>
              <w:rPr/>
              <w:t>采购包2保证金金额：6,400.00元</w:t>
            </w:r>
          </w:p>
          <w:p>
            <w:pPr>
              <w:pStyle w:val="null3"/>
            </w:pPr>
            <w:r>
              <w:rPr/>
              <w:t>缴交渠道：转账、支票、汇票等（需通过实体账户、户名及开户行信息）,电子保函</w:t>
            </w:r>
          </w:p>
          <w:p>
            <w:pPr>
              <w:pStyle w:val="null3"/>
            </w:pPr>
            <w:r>
              <w:rPr/>
              <w:t>开户名称：陕西开源招标有限公司</w:t>
            </w:r>
          </w:p>
          <w:p>
            <w:pPr>
              <w:pStyle w:val="null3"/>
            </w:pPr>
            <w:r>
              <w:rPr/>
              <w:t>开户银行：交通银行西安甜水井街支行</w:t>
            </w:r>
          </w:p>
          <w:p>
            <w:pPr>
              <w:pStyle w:val="null3"/>
            </w:pPr>
            <w:r>
              <w:rPr/>
              <w:t>银行账号：86113010750181501003314</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说明：在合同签订前以公对公方式向采购人缴纳（户名：延安大学；账号：102085448994； 开户行：中国银行延安延大支行），履约保证金将在项目完成后15个日历日内以公对公方式退还（无息）。</w:t>
            </w:r>
          </w:p>
          <w:p>
            <w:pPr>
              <w:pStyle w:val="null3"/>
            </w:pPr>
            <w:r>
              <w:rPr/>
              <w:t>采购包2：缴纳</w:t>
            </w:r>
          </w:p>
          <w:p>
            <w:pPr>
              <w:pStyle w:val="null3"/>
            </w:pPr>
            <w:r>
              <w:rPr/>
              <w:t>本采购包履约保证金为合同金额的5.0%</w:t>
            </w:r>
          </w:p>
          <w:p>
            <w:pPr>
              <w:pStyle w:val="null3"/>
            </w:pPr>
            <w:r>
              <w:rPr/>
              <w:t>说明：在合同签订前以公对公方式向采购人缴纳（户名：延安大学；账号：102085448994； 开户行：中国银行延安延大支行），履约保证金将在项目完成后15个日历日内以公对公方式退还（无息）。</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代理服务费收费标准：交费金额参照国家计委颁布的《招标代理服务收费管理暂行办法（计价格[2002]1980号）及发改办价格[2003]857号文件的规定标准收取。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延安大学</w:t>
      </w:r>
      <w:r>
        <w:rPr/>
        <w:t>和</w:t>
      </w:r>
      <w:r>
        <w:rPr/>
        <w:t>陕西开源招标有限公司</w:t>
      </w:r>
      <w:r>
        <w:rPr/>
        <w:t>享有。对磋商文件中供应商参加本次政府采购活动应当具备的条件，磋商项目技术、服务、商务及其他要求，评审细则及标准由</w:t>
      </w:r>
      <w:r>
        <w:rPr/>
        <w:t>延安大学</w:t>
      </w:r>
      <w:r>
        <w:rPr/>
        <w:t>负责解释。除上述磋商文件内容，其他内容由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延安大学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陕西开源招标有限公司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以采购文件规定和合同约定为准。</w:t>
      </w:r>
    </w:p>
    <w:p>
      <w:pPr>
        <w:pStyle w:val="null3"/>
      </w:pPr>
      <w:r>
        <w:rPr/>
        <w:t>采购包2：</w:t>
      </w:r>
    </w:p>
    <w:p>
      <w:pPr>
        <w:pStyle w:val="null3"/>
      </w:pPr>
      <w:r>
        <w:rPr/>
        <w:t>以采购文件的规定及合同约定为准。</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联系人：余雅兰、丁嘉伟、刘金柯、卢韶华</w:t>
      </w:r>
    </w:p>
    <w:p>
      <w:pPr>
        <w:pStyle w:val="null3"/>
      </w:pPr>
      <w:r>
        <w:rPr/>
        <w:t>联系电话： 029-81206622-822</w:t>
      </w:r>
    </w:p>
    <w:p>
      <w:pPr>
        <w:pStyle w:val="null3"/>
      </w:pPr>
      <w:r>
        <w:rPr/>
        <w:t>地址：西安市雁展路1111号莱安中心T6-15层</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为学校核心机房、网络安全设备及信息系统开展安全运营服务；为学校提供延安大学智慧校园低代码学习平台服务与建设党建学习平台。</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310,000.00</w:t>
      </w:r>
    </w:p>
    <w:p>
      <w:pPr>
        <w:pStyle w:val="null3"/>
      </w:pPr>
      <w:r>
        <w:rPr/>
        <w:t>采购包最高限价（元）: 310,000.00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网络安全运维服务</w:t>
            </w:r>
          </w:p>
        </w:tc>
        <w:tc>
          <w:tcPr>
            <w:tcW w:type="dxa" w:w="831"/>
          </w:tcPr>
          <w:p>
            <w:pPr>
              <w:pStyle w:val="null3"/>
              <w:jc w:val="right"/>
            </w:pPr>
            <w:r>
              <w:rPr/>
              <w:t>1.00</w:t>
            </w:r>
          </w:p>
        </w:tc>
        <w:tc>
          <w:tcPr>
            <w:tcW w:type="dxa" w:w="831"/>
          </w:tcPr>
          <w:p>
            <w:pPr>
              <w:pStyle w:val="null3"/>
              <w:jc w:val="right"/>
            </w:pPr>
            <w:r>
              <w:rPr/>
              <w:t>310,000.00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320,000.00</w:t>
      </w:r>
    </w:p>
    <w:p>
      <w:pPr>
        <w:pStyle w:val="null3"/>
      </w:pPr>
      <w:r>
        <w:rPr/>
        <w:t>采购包最高限价（元）: 320,000.00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低代码工具平台</w:t>
            </w:r>
          </w:p>
        </w:tc>
        <w:tc>
          <w:tcPr>
            <w:tcW w:type="dxa" w:w="831"/>
          </w:tcPr>
          <w:p>
            <w:pPr>
              <w:pStyle w:val="null3"/>
              <w:jc w:val="right"/>
            </w:pPr>
            <w:r>
              <w:rPr/>
              <w:t>1.00</w:t>
            </w:r>
          </w:p>
        </w:tc>
        <w:tc>
          <w:tcPr>
            <w:tcW w:type="dxa" w:w="831"/>
          </w:tcPr>
          <w:p>
            <w:pPr>
              <w:pStyle w:val="null3"/>
              <w:jc w:val="right"/>
            </w:pPr>
            <w:r>
              <w:rPr/>
              <w:t>225,000.00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党建学习平台</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标的名称：网络安全运维服务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sz w:val="21"/>
              </w:rPr>
              <w:t>网站监测服务：针对学校重要网站提供7×24小时网站监测服务，包括但不限于网站漏洞扫描、挂马监测、可用性监测、页面篡改监测、域名解析监测、敏感内容监测等内容。</w:t>
            </w:r>
          </w:p>
        </w:tc>
      </w:tr>
      <w:tr>
        <w:tc>
          <w:tcPr>
            <w:tcW w:type="dxa" w:w="2769"/>
          </w:tcPr>
          <w:p/>
        </w:tc>
        <w:tc>
          <w:tcPr>
            <w:tcW w:type="dxa" w:w="2769"/>
          </w:tcPr>
          <w:p>
            <w:pPr>
              <w:pStyle w:val="null3"/>
            </w:pPr>
            <w:r>
              <w:rPr/>
              <w:t>2</w:t>
            </w:r>
          </w:p>
        </w:tc>
        <w:tc>
          <w:tcPr>
            <w:tcW w:type="dxa" w:w="2769"/>
          </w:tcPr>
          <w:p>
            <w:pPr>
              <w:pStyle w:val="null3"/>
            </w:pPr>
            <w:r>
              <w:rPr/>
              <w:t>网站漏洞检测：支持检测SQL注入、XSS跨站脚本、目录遍历、脚本源码泄露、目录浏览、可能的敏感文件等常见漏洞。检测内容覆盖WASC分类的多达25种Web应用漏洞和OWASP TOP10 网站漏洞；挂马检测支持对多种挂马方式（如Iframe、CSS、JS、Body挂马）等进行检测。</w:t>
            </w:r>
          </w:p>
        </w:tc>
      </w:tr>
      <w:tr>
        <w:tc>
          <w:tcPr>
            <w:tcW w:type="dxa" w:w="2769"/>
          </w:tcPr>
          <w:p/>
        </w:tc>
        <w:tc>
          <w:tcPr>
            <w:tcW w:type="dxa" w:w="2769"/>
          </w:tcPr>
          <w:p>
            <w:pPr>
              <w:pStyle w:val="null3"/>
            </w:pPr>
            <w:r>
              <w:rPr/>
              <w:t>3</w:t>
            </w:r>
          </w:p>
        </w:tc>
        <w:tc>
          <w:tcPr>
            <w:tcW w:type="dxa" w:w="2769"/>
          </w:tcPr>
          <w:p>
            <w:pPr>
              <w:pStyle w:val="null3"/>
            </w:pPr>
            <w:r>
              <w:rPr/>
              <w:t>可用性监测：支持通过ping、get 和http等方法，分别从域名可用性、网站服务可用性和网站程序可用性进行监测。</w:t>
            </w:r>
          </w:p>
        </w:tc>
      </w:tr>
      <w:tr>
        <w:tc>
          <w:tcPr>
            <w:tcW w:type="dxa" w:w="2769"/>
          </w:tcPr>
          <w:p/>
        </w:tc>
        <w:tc>
          <w:tcPr>
            <w:tcW w:type="dxa" w:w="2769"/>
          </w:tcPr>
          <w:p>
            <w:pPr>
              <w:pStyle w:val="null3"/>
            </w:pPr>
            <w:r>
              <w:rPr/>
              <w:t>4</w:t>
            </w:r>
          </w:p>
        </w:tc>
        <w:tc>
          <w:tcPr>
            <w:tcW w:type="dxa" w:w="2769"/>
          </w:tcPr>
          <w:p>
            <w:pPr>
              <w:pStyle w:val="null3"/>
            </w:pPr>
            <w:r>
              <w:rPr/>
              <w:t>页面变更监测：支持页面框架对比、页面相似度、图片MD5值等技术，能够智能的检测出网站页面出现的变化。</w:t>
            </w:r>
          </w:p>
        </w:tc>
      </w:tr>
      <w:tr>
        <w:tc>
          <w:tcPr>
            <w:tcW w:type="dxa" w:w="2769"/>
          </w:tcPr>
          <w:p/>
        </w:tc>
        <w:tc>
          <w:tcPr>
            <w:tcW w:type="dxa" w:w="2769"/>
          </w:tcPr>
          <w:p>
            <w:pPr>
              <w:pStyle w:val="null3"/>
            </w:pPr>
            <w:r>
              <w:rPr/>
              <w:t>5</w:t>
            </w:r>
          </w:p>
        </w:tc>
        <w:tc>
          <w:tcPr>
            <w:tcW w:type="dxa" w:w="2769"/>
          </w:tcPr>
          <w:p>
            <w:pPr>
              <w:pStyle w:val="null3"/>
            </w:pPr>
            <w:r>
              <w:rPr/>
              <w:t>域名解析监测：支持配置多个DNS服务器，对各DNS服务器的解析结果进行对比及时发现域名劫持等问题。</w:t>
            </w:r>
          </w:p>
        </w:tc>
      </w:tr>
      <w:tr>
        <w:tc>
          <w:tcPr>
            <w:tcW w:type="dxa" w:w="2769"/>
          </w:tcPr>
          <w:p/>
        </w:tc>
        <w:tc>
          <w:tcPr>
            <w:tcW w:type="dxa" w:w="2769"/>
          </w:tcPr>
          <w:p>
            <w:pPr>
              <w:pStyle w:val="null3"/>
            </w:pPr>
            <w:r>
              <w:rPr/>
              <w:t>6</w:t>
            </w:r>
          </w:p>
        </w:tc>
        <w:tc>
          <w:tcPr>
            <w:tcW w:type="dxa" w:w="2769"/>
          </w:tcPr>
          <w:p>
            <w:pPr>
              <w:pStyle w:val="null3"/>
            </w:pPr>
            <w:r>
              <w:rPr/>
              <w:t>敏感内容监测：采用多模式字符串匹配技术，使用内置敏感词库及自定义敏感词对相关网页进行深度解析，判断网站是否存在恶意发布的违法、反动、色情等敏感信息，并进行定位和告警。</w:t>
            </w:r>
          </w:p>
        </w:tc>
      </w:tr>
      <w:tr>
        <w:tc>
          <w:tcPr>
            <w:tcW w:type="dxa" w:w="2769"/>
          </w:tcPr>
          <w:p/>
        </w:tc>
        <w:tc>
          <w:tcPr>
            <w:tcW w:type="dxa" w:w="2769"/>
          </w:tcPr>
          <w:p>
            <w:pPr>
              <w:pStyle w:val="null3"/>
            </w:pPr>
            <w:r>
              <w:rPr/>
              <w:t>7</w:t>
            </w:r>
          </w:p>
        </w:tc>
        <w:tc>
          <w:tcPr>
            <w:tcW w:type="dxa" w:w="2769"/>
          </w:tcPr>
          <w:p>
            <w:pPr>
              <w:pStyle w:val="null3"/>
            </w:pPr>
            <w:r>
              <w:rPr/>
              <w:t>提供不少于10个域名的实时监测服务，按月出具《网站监测报告》。</w:t>
            </w:r>
          </w:p>
        </w:tc>
      </w:tr>
      <w:tr>
        <w:tc>
          <w:tcPr>
            <w:tcW w:type="dxa" w:w="2769"/>
          </w:tcPr>
          <w:p>
            <w:pPr>
              <w:pStyle w:val="null3"/>
            </w:pPr>
            <w:r>
              <w:rPr/>
              <w:t>▲</w:t>
            </w:r>
          </w:p>
        </w:tc>
        <w:tc>
          <w:tcPr>
            <w:tcW w:type="dxa" w:w="2769"/>
          </w:tcPr>
          <w:p>
            <w:pPr>
              <w:pStyle w:val="null3"/>
            </w:pPr>
            <w:r>
              <w:rPr/>
              <w:t>8</w:t>
            </w:r>
          </w:p>
        </w:tc>
        <w:tc>
          <w:tcPr>
            <w:tcW w:type="dxa" w:w="2769"/>
          </w:tcPr>
          <w:p>
            <w:pPr>
              <w:pStyle w:val="null3"/>
            </w:pPr>
            <w:r>
              <w:rPr/>
              <w:t>远程托管运维与处置服务：针对学校重点网络安全设施设备，提供“远程监控”结合“本地处置”为交付模式的托管安全运营服务。通过多种专业网络安全设备与云端AI智能化托管安全运营服务平台，结合学校系统的日志数据，提供在线网络安全值守运营服务，提升学校网络安全风险事件的响应与处置能力。定期从国家信息安全漏洞库进行安全漏洞信息收集、分析，并与应用系统做比对，对可能产生漏洞风险的系统做出预警。通过云端态势感知与安全运营平台，对网络设备、主机操作系统、中间件、数据库等资产进行实时监控。对学校网络中安全设备定期进行版本检查、版本升级、设备巡检等，同时基于场景进行安全策略的应用。对学校网络中发生或可能发生的安全事件进行跟踪闭环分析和处理;发生网络安全事件时，能够第一时间响应和处置，尽快恢复受影响的系统、网络或业务。</w:t>
            </w:r>
          </w:p>
        </w:tc>
      </w:tr>
      <w:tr>
        <w:tc>
          <w:tcPr>
            <w:tcW w:type="dxa" w:w="2769"/>
          </w:tcPr>
          <w:p/>
        </w:tc>
        <w:tc>
          <w:tcPr>
            <w:tcW w:type="dxa" w:w="2769"/>
          </w:tcPr>
          <w:p>
            <w:pPr>
              <w:pStyle w:val="null3"/>
            </w:pPr>
            <w:r>
              <w:rPr/>
              <w:t>9</w:t>
            </w:r>
          </w:p>
        </w:tc>
        <w:tc>
          <w:tcPr>
            <w:tcW w:type="dxa" w:w="2769"/>
          </w:tcPr>
          <w:p>
            <w:pPr>
              <w:pStyle w:val="null3"/>
            </w:pPr>
            <w:r>
              <w:rPr/>
              <w:t>线上监测并进行实时事件预警处置，按周出具周报，线下每季度进行一次设备巡检，出具《漏洞预警通告周报》《安全运营双周报》《安全巡检季报》。</w:t>
            </w:r>
          </w:p>
        </w:tc>
      </w:tr>
      <w:tr>
        <w:tc>
          <w:tcPr>
            <w:tcW w:type="dxa" w:w="2769"/>
          </w:tcPr>
          <w:p>
            <w:pPr>
              <w:pStyle w:val="null3"/>
            </w:pPr>
            <w:r>
              <w:rPr/>
              <w:t>▲</w:t>
            </w:r>
          </w:p>
        </w:tc>
        <w:tc>
          <w:tcPr>
            <w:tcW w:type="dxa" w:w="2769"/>
          </w:tcPr>
          <w:p>
            <w:pPr>
              <w:pStyle w:val="null3"/>
            </w:pPr>
            <w:r>
              <w:rPr/>
              <w:t>10</w:t>
            </w:r>
          </w:p>
        </w:tc>
        <w:tc>
          <w:tcPr>
            <w:tcW w:type="dxa" w:w="2769"/>
          </w:tcPr>
          <w:p>
            <w:pPr>
              <w:pStyle w:val="null3"/>
            </w:pPr>
            <w:r>
              <w:rPr/>
              <w:t>互联网暴露面梳理服务：针对学校在互联网上暴露的信息情况，采用完全模拟攻击者的视角，按照信息收集的逻辑，收集学校及其二级单位等的业务系统暴露在互联网中的资产。进行探测，探测内容包括但不限于IP、域名、开放端口、开放服务、微信小程序、公众号、APP、微博账号等。为保证互联网暴露面梳理的准确性，组织架构应能够与企查查等企业股权穿透信息相同，自动扩展本单位和二级控股单位IP、域名、证书等网络空间线索。官网及重要应用域名信息等应与工信部ICP备案查询系统保持一致，互联网暴露资产信息应涵盖shodan等网络空间搜索引擎的检索内容，最终梳理结果应提出高危安全隐患及互联网暴露面的收敛和整改建议。 每季度出具《互联网暴露面梳理报告》《互联网暴露面梳理明细表》。</w:t>
            </w:r>
          </w:p>
        </w:tc>
      </w:tr>
      <w:tr>
        <w:tc>
          <w:tcPr>
            <w:tcW w:type="dxa" w:w="2769"/>
          </w:tcPr>
          <w:p>
            <w:pPr>
              <w:pStyle w:val="null3"/>
            </w:pPr>
            <w:r>
              <w:rPr/>
              <w:t>▲</w:t>
            </w:r>
          </w:p>
        </w:tc>
        <w:tc>
          <w:tcPr>
            <w:tcW w:type="dxa" w:w="2769"/>
          </w:tcPr>
          <w:p>
            <w:pPr>
              <w:pStyle w:val="null3"/>
            </w:pPr>
            <w:r>
              <w:rPr/>
              <w:t>11</w:t>
            </w:r>
          </w:p>
        </w:tc>
        <w:tc>
          <w:tcPr>
            <w:tcW w:type="dxa" w:w="2769"/>
          </w:tcPr>
          <w:p>
            <w:pPr>
              <w:pStyle w:val="null3"/>
            </w:pPr>
            <w:r>
              <w:rPr/>
              <w:t>红队评估服务：由专业的红队工程师组成攻击队伍（3人以上），模拟黑客APT攻击的攻击形式，对学校开展的持续有效的红队评估活动。红队评估服务模式参照教育部和陕西省教育厅护网行动中红队的执行模式，通过对学校的网络、应用、人员、软件、硬件同时执行多混合、对抗性的模拟攻击，发现学校信息系统、技术、人员和基础架构中存在的网络安全隐患和薄弱环节。</w:t>
            </w:r>
          </w:p>
        </w:tc>
      </w:tr>
      <w:tr>
        <w:tc>
          <w:tcPr>
            <w:tcW w:type="dxa" w:w="2769"/>
          </w:tcPr>
          <w:p>
            <w:pPr>
              <w:pStyle w:val="null3"/>
            </w:pPr>
            <w:r>
              <w:rPr/>
              <w:t>▲</w:t>
            </w:r>
          </w:p>
        </w:tc>
        <w:tc>
          <w:tcPr>
            <w:tcW w:type="dxa" w:w="2769"/>
          </w:tcPr>
          <w:p>
            <w:pPr>
              <w:pStyle w:val="null3"/>
            </w:pPr>
            <w:r>
              <w:rPr/>
              <w:t>12</w:t>
            </w:r>
          </w:p>
        </w:tc>
        <w:tc>
          <w:tcPr>
            <w:tcW w:type="dxa" w:w="2769"/>
          </w:tcPr>
          <w:p>
            <w:pPr>
              <w:pStyle w:val="null3"/>
            </w:pPr>
            <w:r>
              <w:rPr/>
              <w:t>目标侦查与攻击面分析：全面收集并分析互联网信息、组织结构、人员信息、第三方平台(开源平台、云平台等)、供应链体系(设备、人员、服务、DNS、ISP、ICP)等，以及对外服务的业务应用层、系统层、数据层、网络层、平台层等的弱点以及互联网IP、端口、域名、VPN、邮件等以及各方面的用户信息，口令等。</w:t>
            </w:r>
          </w:p>
        </w:tc>
      </w:tr>
      <w:tr>
        <w:tc>
          <w:tcPr>
            <w:tcW w:type="dxa" w:w="2769"/>
          </w:tcPr>
          <w:p/>
        </w:tc>
        <w:tc>
          <w:tcPr>
            <w:tcW w:type="dxa" w:w="2769"/>
          </w:tcPr>
          <w:p>
            <w:pPr>
              <w:pStyle w:val="null3"/>
            </w:pPr>
            <w:r>
              <w:rPr/>
              <w:t>13</w:t>
            </w:r>
          </w:p>
        </w:tc>
        <w:tc>
          <w:tcPr>
            <w:tcW w:type="dxa" w:w="2769"/>
          </w:tcPr>
          <w:p>
            <w:pPr>
              <w:pStyle w:val="null3"/>
            </w:pPr>
            <w:r>
              <w:rPr/>
              <w:t>边界突破：根据攻击面分析与攻击方案推演，分析可以利用的各种漏洞，进行攻击路径的选择、渗透与突破。边界突破利用的攻击手段应涵盖网络攻击测试、应用攻击测试、供应链攻击测试和社会工程学攻击测试。</w:t>
            </w:r>
          </w:p>
        </w:tc>
      </w:tr>
      <w:tr>
        <w:tc>
          <w:tcPr>
            <w:tcW w:type="dxa" w:w="2769"/>
          </w:tcPr>
          <w:p>
            <w:pPr>
              <w:pStyle w:val="null3"/>
            </w:pPr>
            <w:r>
              <w:rPr/>
              <w:t>▲</w:t>
            </w:r>
          </w:p>
        </w:tc>
        <w:tc>
          <w:tcPr>
            <w:tcW w:type="dxa" w:w="2769"/>
          </w:tcPr>
          <w:p>
            <w:pPr>
              <w:pStyle w:val="null3"/>
            </w:pPr>
            <w:r>
              <w:rPr/>
              <w:t>14</w:t>
            </w:r>
          </w:p>
        </w:tc>
        <w:tc>
          <w:tcPr>
            <w:tcW w:type="dxa" w:w="2769"/>
          </w:tcPr>
          <w:p>
            <w:pPr>
              <w:pStyle w:val="null3"/>
            </w:pPr>
            <w:r>
              <w:rPr/>
              <w:t>横向移动：根据边界突破后的成果进行内网隐蔽隧道建立，并尝试搭建跳板机对内网进行横向渗透，通过对关键节点的控制实现权限提升、跨网段攻击等测试。</w:t>
            </w:r>
          </w:p>
        </w:tc>
      </w:tr>
      <w:tr>
        <w:tc>
          <w:tcPr>
            <w:tcW w:type="dxa" w:w="2769"/>
          </w:tcPr>
          <w:p/>
        </w:tc>
        <w:tc>
          <w:tcPr>
            <w:tcW w:type="dxa" w:w="2769"/>
          </w:tcPr>
          <w:p>
            <w:pPr>
              <w:pStyle w:val="null3"/>
            </w:pPr>
            <w:r>
              <w:rPr/>
              <w:t>15</w:t>
            </w:r>
          </w:p>
        </w:tc>
        <w:tc>
          <w:tcPr>
            <w:tcW w:type="dxa" w:w="2769"/>
          </w:tcPr>
          <w:p>
            <w:pPr>
              <w:pStyle w:val="null3"/>
            </w:pPr>
            <w:r>
              <w:rPr/>
              <w:t>整体复盘：针对评估过程以及发现的问题进行整体行动的复盘，梳理出的单位的薄弱点并形成有针对性的整改建议，以提升整体的防护强度。</w:t>
            </w:r>
          </w:p>
        </w:tc>
      </w:tr>
      <w:tr>
        <w:tc>
          <w:tcPr>
            <w:tcW w:type="dxa" w:w="2769"/>
          </w:tcPr>
          <w:p/>
        </w:tc>
        <w:tc>
          <w:tcPr>
            <w:tcW w:type="dxa" w:w="2769"/>
          </w:tcPr>
          <w:p>
            <w:pPr>
              <w:pStyle w:val="null3"/>
            </w:pPr>
            <w:r>
              <w:rPr/>
              <w:t>16</w:t>
            </w:r>
          </w:p>
        </w:tc>
        <w:tc>
          <w:tcPr>
            <w:tcW w:type="dxa" w:w="2769"/>
          </w:tcPr>
          <w:p>
            <w:pPr>
              <w:pStyle w:val="null3"/>
            </w:pPr>
            <w:r>
              <w:rPr/>
              <w:t>红队评估服务每年组织一次，每次时长不少于一周，出具《红队评估报告》《红队评估高危漏洞表》。</w:t>
            </w:r>
          </w:p>
        </w:tc>
      </w:tr>
      <w:tr>
        <w:tc>
          <w:tcPr>
            <w:tcW w:type="dxa" w:w="2769"/>
          </w:tcPr>
          <w:p/>
        </w:tc>
        <w:tc>
          <w:tcPr>
            <w:tcW w:type="dxa" w:w="2769"/>
          </w:tcPr>
          <w:p>
            <w:pPr>
              <w:pStyle w:val="null3"/>
            </w:pPr>
            <w:r>
              <w:rPr/>
              <w:t>17</w:t>
            </w:r>
          </w:p>
        </w:tc>
        <w:tc>
          <w:tcPr>
            <w:tcW w:type="dxa" w:w="2769"/>
          </w:tcPr>
          <w:p>
            <w:pPr>
              <w:pStyle w:val="null3"/>
            </w:pPr>
            <w:r>
              <w:rPr/>
              <w:t>密码使用培训服务：由专业密码服务提供商提供国产密码知识、政策法规、密码应用技术、使用方法等内容的培训，指导学校利用现有技术进一步完善计算机网络系统密码的管理，对目前建设中的系统的体系结构、主要使用的技术和开发手段及其工具有一个完整的认识，培训完成后出具相关培训记录。</w:t>
            </w:r>
          </w:p>
        </w:tc>
      </w:tr>
      <w:tr>
        <w:tc>
          <w:tcPr>
            <w:tcW w:type="dxa" w:w="2769"/>
          </w:tcPr>
          <w:p/>
        </w:tc>
        <w:tc>
          <w:tcPr>
            <w:tcW w:type="dxa" w:w="2769"/>
          </w:tcPr>
          <w:p>
            <w:pPr>
              <w:pStyle w:val="null3"/>
            </w:pPr>
            <w:r>
              <w:rPr/>
              <w:t>18</w:t>
            </w:r>
          </w:p>
        </w:tc>
        <w:tc>
          <w:tcPr>
            <w:tcW w:type="dxa" w:w="2769"/>
          </w:tcPr>
          <w:p>
            <w:pPr>
              <w:pStyle w:val="null3"/>
            </w:pPr>
            <w:r>
              <w:rPr/>
              <w:t>每年两次密码培训服务，出具密码安全技术培训记录及培训PPT等其他资料。</w:t>
            </w:r>
          </w:p>
        </w:tc>
      </w:tr>
      <w:tr>
        <w:tc>
          <w:tcPr>
            <w:tcW w:type="dxa" w:w="2769"/>
          </w:tcPr>
          <w:p/>
        </w:tc>
        <w:tc>
          <w:tcPr>
            <w:tcW w:type="dxa" w:w="2769"/>
          </w:tcPr>
          <w:p>
            <w:pPr>
              <w:pStyle w:val="null3"/>
            </w:pPr>
            <w:r>
              <w:rPr/>
              <w:t>19</w:t>
            </w:r>
          </w:p>
        </w:tc>
        <w:tc>
          <w:tcPr>
            <w:tcW w:type="dxa" w:w="2769"/>
          </w:tcPr>
          <w:p>
            <w:pPr>
              <w:pStyle w:val="null3"/>
            </w:pPr>
            <w:r>
              <w:rPr/>
              <w:t>国产密码安全运维服务：针对学校现有国产密码服务平台提供定期运维服务，发现其在密码配置方面的不合规或薄弱点，并对密码设备进行巡检，对不合理内容进行整改。包括密码应用技术支撑、软硬件问题处理、产品升级迭代、运维保障、日常巡检、客户需求处理、客户问题协助等，并出具报告及整改建议。</w:t>
            </w:r>
          </w:p>
        </w:tc>
      </w:tr>
      <w:tr>
        <w:tc>
          <w:tcPr>
            <w:tcW w:type="dxa" w:w="2769"/>
          </w:tcPr>
          <w:p/>
        </w:tc>
        <w:tc>
          <w:tcPr>
            <w:tcW w:type="dxa" w:w="2769"/>
          </w:tcPr>
          <w:p>
            <w:pPr>
              <w:pStyle w:val="null3"/>
            </w:pPr>
            <w:r>
              <w:rPr/>
              <w:t>20</w:t>
            </w:r>
          </w:p>
        </w:tc>
        <w:tc>
          <w:tcPr>
            <w:tcW w:type="dxa" w:w="2769"/>
          </w:tcPr>
          <w:p>
            <w:pPr>
              <w:pStyle w:val="null3"/>
            </w:pPr>
            <w:r>
              <w:rPr/>
              <w:t>每年提供两次国产密码安全运维服务，出具《密码安全运维报告》。</w:t>
            </w:r>
          </w:p>
        </w:tc>
      </w:tr>
      <w:tr>
        <w:tc>
          <w:tcPr>
            <w:tcW w:type="dxa" w:w="2769"/>
          </w:tcPr>
          <w:p>
            <w:pPr>
              <w:pStyle w:val="null3"/>
            </w:pPr>
            <w:r>
              <w:rPr/>
              <w:t>▲</w:t>
            </w:r>
          </w:p>
        </w:tc>
        <w:tc>
          <w:tcPr>
            <w:tcW w:type="dxa" w:w="2769"/>
          </w:tcPr>
          <w:p>
            <w:pPr>
              <w:pStyle w:val="null3"/>
            </w:pPr>
            <w:r>
              <w:rPr/>
              <w:t>21</w:t>
            </w:r>
          </w:p>
        </w:tc>
        <w:tc>
          <w:tcPr>
            <w:tcW w:type="dxa" w:w="2769"/>
          </w:tcPr>
          <w:p>
            <w:pPr>
              <w:pStyle w:val="null3"/>
            </w:pPr>
            <w:r>
              <w:rPr/>
              <w:t>钓鱼演练及培训服务：通过专业的钓鱼演练平台开展钓鱼演练，保证演习可控。平台应可定制不同需求的钓鱼页面以及免杀木马，真实再现黑客钓鱼攻击的手段和模式。平台应通过嵌入的回溯代码精确追溯各类演习数据，并进行可视化的呈现，让演习结果和成效一目了然，并针对钓鱼演练情况有针对性的进行信息安全意识培训，以提高全员的防钓鱼、反诈骗意识。</w:t>
            </w:r>
          </w:p>
        </w:tc>
      </w:tr>
      <w:tr>
        <w:tc>
          <w:tcPr>
            <w:tcW w:type="dxa" w:w="2769"/>
          </w:tcPr>
          <w:p/>
        </w:tc>
        <w:tc>
          <w:tcPr>
            <w:tcW w:type="dxa" w:w="2769"/>
          </w:tcPr>
          <w:p>
            <w:pPr>
              <w:pStyle w:val="null3"/>
            </w:pPr>
            <w:r>
              <w:rPr/>
              <w:t>22</w:t>
            </w:r>
          </w:p>
        </w:tc>
        <w:tc>
          <w:tcPr>
            <w:tcW w:type="dxa" w:w="2769"/>
          </w:tcPr>
          <w:p>
            <w:pPr>
              <w:pStyle w:val="null3"/>
            </w:pPr>
            <w:r>
              <w:rPr/>
              <w:t>每年组织一次钓鱼演练，时长不少于一周，出具《钓鱼演练报告》《信息安全意识培训》。</w:t>
            </w:r>
          </w:p>
        </w:tc>
      </w:tr>
      <w:tr>
        <w:tc>
          <w:tcPr>
            <w:tcW w:type="dxa" w:w="2769"/>
          </w:tcPr>
          <w:p/>
        </w:tc>
        <w:tc>
          <w:tcPr>
            <w:tcW w:type="dxa" w:w="2769"/>
          </w:tcPr>
          <w:p>
            <w:pPr>
              <w:pStyle w:val="null3"/>
            </w:pPr>
            <w:r>
              <w:rPr/>
              <w:t>23</w:t>
            </w:r>
          </w:p>
        </w:tc>
        <w:tc>
          <w:tcPr>
            <w:tcW w:type="dxa" w:w="2769"/>
          </w:tcPr>
          <w:p>
            <w:pPr>
              <w:pStyle w:val="null3"/>
            </w:pPr>
            <w:r>
              <w:rPr/>
              <w:t>风险评估服务：针对核心机房内网络和应用系统进行全面的风险评估服务，评估网络的脆弱性和威胁，并形成风险评估报告。风险评估应综合国内外相关标准识别和评估客户信息资产重要性、威胁频率、脆弱性严重程度以及已有安全措施的有效性等要素，为学校清晰的展现信息系统所面临的安全风险，并提供公正、客观数据作为决策参考，为下一步控制和降低安全风险、改善安全状况、实施信息系统的风险管理提供依据。风险评估服务内容应涵盖核心网资产评估、网络架构评估、基线核查服务、主机漏洞检测服务，已有安全设备评估以及安全管理评估等子项。</w:t>
            </w:r>
          </w:p>
        </w:tc>
      </w:tr>
      <w:tr>
        <w:tc>
          <w:tcPr>
            <w:tcW w:type="dxa" w:w="2769"/>
          </w:tcPr>
          <w:p/>
        </w:tc>
        <w:tc>
          <w:tcPr>
            <w:tcW w:type="dxa" w:w="2769"/>
          </w:tcPr>
          <w:p>
            <w:pPr>
              <w:pStyle w:val="null3"/>
            </w:pPr>
            <w:r>
              <w:rPr/>
              <w:t>24</w:t>
            </w:r>
          </w:p>
        </w:tc>
        <w:tc>
          <w:tcPr>
            <w:tcW w:type="dxa" w:w="2769"/>
          </w:tcPr>
          <w:p>
            <w:pPr>
              <w:pStyle w:val="null3"/>
            </w:pPr>
            <w:r>
              <w:rPr/>
              <w:t>资产评估：根据资产类别进行识别、资产业务承载性识别和资产关联性识别三个方面。并根据资产的表现形式，将资产分为数据、服务、信息系统、平台或支撑系统等。同时，在资产调研过程中，需要详细识别核心关键资产的安全属性，重点识别出资产在遭受泄密、中断、损害等破坏时所遭受的影响，并据此对资产的价值进行赋值。</w:t>
            </w:r>
          </w:p>
        </w:tc>
      </w:tr>
      <w:tr>
        <w:tc>
          <w:tcPr>
            <w:tcW w:type="dxa" w:w="2769"/>
          </w:tcPr>
          <w:p/>
        </w:tc>
        <w:tc>
          <w:tcPr>
            <w:tcW w:type="dxa" w:w="2769"/>
          </w:tcPr>
          <w:p>
            <w:pPr>
              <w:pStyle w:val="null3"/>
            </w:pPr>
            <w:r>
              <w:rPr/>
              <w:t>25</w:t>
            </w:r>
          </w:p>
        </w:tc>
        <w:tc>
          <w:tcPr>
            <w:tcW w:type="dxa" w:w="2769"/>
          </w:tcPr>
          <w:p>
            <w:pPr>
              <w:pStyle w:val="null3"/>
            </w:pPr>
            <w:r>
              <w:rPr/>
              <w:t>威胁评估：通过威胁调查、取样等手段识别被评估信息系统的关键资产所面临的威胁源，及其威胁所常采用的威胁方法，对资产所产生的影响。</w:t>
            </w:r>
          </w:p>
        </w:tc>
      </w:tr>
      <w:tr>
        <w:tc>
          <w:tcPr>
            <w:tcW w:type="dxa" w:w="2769"/>
          </w:tcPr>
          <w:p/>
        </w:tc>
        <w:tc>
          <w:tcPr>
            <w:tcW w:type="dxa" w:w="2769"/>
          </w:tcPr>
          <w:p>
            <w:pPr>
              <w:pStyle w:val="null3"/>
            </w:pPr>
            <w:r>
              <w:rPr/>
              <w:t>26</w:t>
            </w:r>
          </w:p>
        </w:tc>
        <w:tc>
          <w:tcPr>
            <w:tcW w:type="dxa" w:w="2769"/>
          </w:tcPr>
          <w:p>
            <w:pPr>
              <w:pStyle w:val="null3"/>
            </w:pPr>
            <w:r>
              <w:rPr/>
              <w:t>脆弱性评估：对网络架构中可能存在的各种安全隐患给出相应的安全改造技术建议，对于网络架构中可能存在的冗余或不必须的设备提出调整或淘汰建议；对信息系统中现有的网络设备、安全设备、服务器进行基线核查工作，针对主机的系统漏洞进行全面的漏洞扫描和检测；针对已有安全设备的安全策略进行全面的检查和评估，发现存在的不合理问题，并提出相应的安全建议；</w:t>
            </w:r>
          </w:p>
        </w:tc>
      </w:tr>
      <w:tr>
        <w:tc>
          <w:tcPr>
            <w:tcW w:type="dxa" w:w="2769"/>
          </w:tcPr>
          <w:p/>
        </w:tc>
        <w:tc>
          <w:tcPr>
            <w:tcW w:type="dxa" w:w="2769"/>
          </w:tcPr>
          <w:p>
            <w:pPr>
              <w:pStyle w:val="null3"/>
            </w:pPr>
            <w:r>
              <w:rPr/>
              <w:t>27</w:t>
            </w:r>
          </w:p>
        </w:tc>
        <w:tc>
          <w:tcPr>
            <w:tcW w:type="dxa" w:w="2769"/>
          </w:tcPr>
          <w:p>
            <w:pPr>
              <w:pStyle w:val="null3"/>
            </w:pPr>
            <w:r>
              <w:rPr/>
              <w:t>管理安全评估：管理安全评估主要从两个方面进行考察，即安全管理覆盖范围和安全管理效果。安全管理覆盖范围应包括信息系统生命周期中的各项安全管理要素；安全管理效果指覆盖范围内有效控制安全管理活动的实施质量。本次针对用户建立的信息安全管理体系的完整性、合理性进行评估，寻找管理体系中存在的风险和漏洞，提供相应的改进建议。</w:t>
            </w:r>
          </w:p>
        </w:tc>
      </w:tr>
      <w:tr>
        <w:tc>
          <w:tcPr>
            <w:tcW w:type="dxa" w:w="2769"/>
          </w:tcPr>
          <w:p/>
        </w:tc>
        <w:tc>
          <w:tcPr>
            <w:tcW w:type="dxa" w:w="2769"/>
          </w:tcPr>
          <w:p>
            <w:pPr>
              <w:pStyle w:val="null3"/>
            </w:pPr>
            <w:r>
              <w:rPr/>
              <w:t>28</w:t>
            </w:r>
          </w:p>
        </w:tc>
        <w:tc>
          <w:tcPr>
            <w:tcW w:type="dxa" w:w="2769"/>
          </w:tcPr>
          <w:p>
            <w:pPr>
              <w:pStyle w:val="null3"/>
            </w:pPr>
            <w:r>
              <w:rPr/>
              <w:t>每年组织一次风险评估工作，出具《风险评估综合报告》《风险列表与处置计划表》。</w:t>
            </w:r>
          </w:p>
        </w:tc>
      </w:tr>
      <w:tr>
        <w:tc>
          <w:tcPr>
            <w:tcW w:type="dxa" w:w="2769"/>
          </w:tcPr>
          <w:p/>
        </w:tc>
        <w:tc>
          <w:tcPr>
            <w:tcW w:type="dxa" w:w="2769"/>
          </w:tcPr>
          <w:p>
            <w:pPr>
              <w:pStyle w:val="null3"/>
            </w:pPr>
            <w:r>
              <w:rPr/>
              <w:t>29</w:t>
            </w:r>
          </w:p>
        </w:tc>
        <w:tc>
          <w:tcPr>
            <w:tcW w:type="dxa" w:w="2769"/>
          </w:tcPr>
          <w:p>
            <w:pPr>
              <w:pStyle w:val="null3"/>
            </w:pPr>
            <w:r>
              <w:rPr/>
              <w:t>保密性原则：项目实施应严格遵守保密性原则，签署保密协议，包括实施过程的保密性和输出成果的保密性。对服务过程中获知学校的系统信息均属秘密信息，不得泄露给第三方单位或个人，不得利用这些信息进行任何侵害学校的行为，对服务报告不得扩散给未经授权的第三方单位或个人。</w:t>
            </w:r>
          </w:p>
        </w:tc>
      </w:tr>
      <w:tr>
        <w:tc>
          <w:tcPr>
            <w:tcW w:type="dxa" w:w="2769"/>
          </w:tcPr>
          <w:p/>
        </w:tc>
        <w:tc>
          <w:tcPr>
            <w:tcW w:type="dxa" w:w="2769"/>
          </w:tcPr>
          <w:p>
            <w:pPr>
              <w:pStyle w:val="null3"/>
            </w:pPr>
            <w:r>
              <w:rPr/>
              <w:t>30</w:t>
            </w:r>
          </w:p>
        </w:tc>
        <w:tc>
          <w:tcPr>
            <w:tcW w:type="dxa" w:w="2769"/>
          </w:tcPr>
          <w:p>
            <w:pPr>
              <w:pStyle w:val="null3"/>
            </w:pPr>
            <w:r>
              <w:rPr/>
              <w:t>标准性原则：服务期间，信息安全保障服务应在国家法律、法规允许的范围内进行，特别是遵照并履行《全国人大常委会关于维护互联网安全的决定》、《网络安全法》等相关规定。</w:t>
            </w:r>
          </w:p>
        </w:tc>
      </w:tr>
      <w:tr>
        <w:tc>
          <w:tcPr>
            <w:tcW w:type="dxa" w:w="2769"/>
          </w:tcPr>
          <w:p/>
        </w:tc>
        <w:tc>
          <w:tcPr>
            <w:tcW w:type="dxa" w:w="2769"/>
          </w:tcPr>
          <w:p>
            <w:pPr>
              <w:pStyle w:val="null3"/>
            </w:pPr>
            <w:r>
              <w:rPr/>
              <w:t>31</w:t>
            </w:r>
          </w:p>
        </w:tc>
        <w:tc>
          <w:tcPr>
            <w:tcW w:type="dxa" w:w="2769"/>
          </w:tcPr>
          <w:p>
            <w:pPr>
              <w:pStyle w:val="null3"/>
            </w:pPr>
            <w:r>
              <w:rPr/>
              <w:t>规范性原则：项目应按照安全服务工作规范、相关服务实施规范进行严格落实。实施必须由专业的安全服务人员依照规范的操作流程进行，对操作过程和结果要有相应的记录，提供完整的服务报告。</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标的名称：低代码工具平台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提供拖拽式、所见即所得的图形化表单设计能力，可通过Excel文件导入模式导入创建表单。</w:t>
            </w:r>
          </w:p>
        </w:tc>
      </w:tr>
      <w:tr>
        <w:tc>
          <w:tcPr>
            <w:tcW w:type="dxa" w:w="2769"/>
          </w:tcPr>
          <w:p/>
        </w:tc>
        <w:tc>
          <w:tcPr>
            <w:tcW w:type="dxa" w:w="2769"/>
          </w:tcPr>
          <w:p>
            <w:pPr>
              <w:pStyle w:val="null3"/>
            </w:pPr>
            <w:r>
              <w:rPr/>
              <w:t>2</w:t>
            </w:r>
          </w:p>
        </w:tc>
        <w:tc>
          <w:tcPr>
            <w:tcW w:type="dxa" w:w="2769"/>
          </w:tcPr>
          <w:p>
            <w:pPr>
              <w:pStyle w:val="null3"/>
            </w:pPr>
            <w:r>
              <w:rPr/>
              <w:t>提供页面布局可视化设计，支持双列、多列布局设定；支持设置表单背景图、配色。支持自定义表单提交后的提示词和展示图片。</w:t>
            </w:r>
          </w:p>
        </w:tc>
      </w:tr>
      <w:tr>
        <w:tc>
          <w:tcPr>
            <w:tcW w:type="dxa" w:w="2769"/>
          </w:tcPr>
          <w:p/>
        </w:tc>
        <w:tc>
          <w:tcPr>
            <w:tcW w:type="dxa" w:w="2769"/>
          </w:tcPr>
          <w:p>
            <w:pPr>
              <w:pStyle w:val="null3"/>
            </w:pPr>
            <w:r>
              <w:rPr/>
              <w:t>3</w:t>
            </w:r>
          </w:p>
        </w:tc>
        <w:tc>
          <w:tcPr>
            <w:tcW w:type="dxa" w:w="2769"/>
          </w:tcPr>
          <w:p>
            <w:pPr>
              <w:pStyle w:val="null3"/>
            </w:pPr>
            <w:r>
              <w:rPr/>
              <w:t>提供不少于20个表单控件。包含但不限于单行输入、多行输入、下拉选择、多级下拉、复选框、单选框、数字输入框、富文本、日期、日期区间、图片、附件、矩阵单选、矩阵多选、定位、地址、按钮、自动编号等控件；下拉选择、复选框、单选框等控件支持联动对应数据源的相关数据；地址下拉选择控件支持多级联动，比如行政区（省/市/区(县)/街道...）、二级单位/系所（年级）/班级。</w:t>
            </w:r>
          </w:p>
        </w:tc>
      </w:tr>
      <w:tr>
        <w:tc>
          <w:tcPr>
            <w:tcW w:type="dxa" w:w="2769"/>
          </w:tcPr>
          <w:p/>
        </w:tc>
        <w:tc>
          <w:tcPr>
            <w:tcW w:type="dxa" w:w="2769"/>
          </w:tcPr>
          <w:p>
            <w:pPr>
              <w:pStyle w:val="null3"/>
            </w:pPr>
            <w:r>
              <w:rPr/>
              <w:t>4</w:t>
            </w:r>
          </w:p>
        </w:tc>
        <w:tc>
          <w:tcPr>
            <w:tcW w:type="dxa" w:w="2769"/>
          </w:tcPr>
          <w:p>
            <w:pPr>
              <w:pStyle w:val="null3"/>
            </w:pPr>
            <w:r>
              <w:rPr/>
              <w:t>支持设定常用公式，如日期函数、数字函数、文本函数等，可在前端进行公式计算后自动填充至对应字段。如获取当前日期、截取字符串中的对应长度的内容。</w:t>
            </w:r>
          </w:p>
        </w:tc>
      </w:tr>
      <w:tr>
        <w:tc>
          <w:tcPr>
            <w:tcW w:type="dxa" w:w="2769"/>
          </w:tcPr>
          <w:p/>
        </w:tc>
        <w:tc>
          <w:tcPr>
            <w:tcW w:type="dxa" w:w="2769"/>
          </w:tcPr>
          <w:p>
            <w:pPr>
              <w:pStyle w:val="null3"/>
            </w:pPr>
            <w:r>
              <w:rPr/>
              <w:t>5</w:t>
            </w:r>
          </w:p>
        </w:tc>
        <w:tc>
          <w:tcPr>
            <w:tcW w:type="dxa" w:w="2769"/>
          </w:tcPr>
          <w:p>
            <w:pPr>
              <w:pStyle w:val="null3"/>
            </w:pPr>
            <w:r>
              <w:rPr/>
              <w:t>提供可配置数据联动，即从其他表单按照设定规则关联对应数据，规则包括与或关系，支持多个条件设置。</w:t>
            </w:r>
          </w:p>
        </w:tc>
      </w:tr>
      <w:tr>
        <w:tc>
          <w:tcPr>
            <w:tcW w:type="dxa" w:w="2769"/>
          </w:tcPr>
          <w:p/>
        </w:tc>
        <w:tc>
          <w:tcPr>
            <w:tcW w:type="dxa" w:w="2769"/>
          </w:tcPr>
          <w:p>
            <w:pPr>
              <w:pStyle w:val="null3"/>
            </w:pPr>
            <w:r>
              <w:rPr/>
              <w:t>6</w:t>
            </w:r>
          </w:p>
        </w:tc>
        <w:tc>
          <w:tcPr>
            <w:tcW w:type="dxa" w:w="2769"/>
          </w:tcPr>
          <w:p>
            <w:pPr>
              <w:pStyle w:val="null3"/>
            </w:pPr>
            <w:r>
              <w:rPr/>
              <w:t>提供在线手写签名控件，无缝嵌入业务流程。</w:t>
            </w:r>
          </w:p>
        </w:tc>
      </w:tr>
      <w:tr>
        <w:tc>
          <w:tcPr>
            <w:tcW w:type="dxa" w:w="2769"/>
          </w:tcPr>
          <w:p/>
        </w:tc>
        <w:tc>
          <w:tcPr>
            <w:tcW w:type="dxa" w:w="2769"/>
          </w:tcPr>
          <w:p>
            <w:pPr>
              <w:pStyle w:val="null3"/>
            </w:pPr>
            <w:r>
              <w:rPr/>
              <w:t>7</w:t>
            </w:r>
          </w:p>
        </w:tc>
        <w:tc>
          <w:tcPr>
            <w:tcW w:type="dxa" w:w="2769"/>
          </w:tcPr>
          <w:p>
            <w:pPr>
              <w:pStyle w:val="null3"/>
            </w:pPr>
            <w:r>
              <w:rPr/>
              <w:t>提供表单版本记录功能，存在多版本时数据导出可分版本显示。</w:t>
            </w:r>
          </w:p>
        </w:tc>
      </w:tr>
      <w:tr>
        <w:tc>
          <w:tcPr>
            <w:tcW w:type="dxa" w:w="2769"/>
          </w:tcPr>
          <w:p/>
        </w:tc>
        <w:tc>
          <w:tcPr>
            <w:tcW w:type="dxa" w:w="2769"/>
          </w:tcPr>
          <w:p>
            <w:pPr>
              <w:pStyle w:val="null3"/>
            </w:pPr>
            <w:r>
              <w:rPr/>
              <w:t>8</w:t>
            </w:r>
          </w:p>
        </w:tc>
        <w:tc>
          <w:tcPr>
            <w:tcW w:type="dxa" w:w="2769"/>
          </w:tcPr>
          <w:p>
            <w:pPr>
              <w:pStyle w:val="null3"/>
            </w:pPr>
            <w:r>
              <w:rPr/>
              <w:t>单行输入、数字输入控制支持设定格式校验，如邮箱、手机号、身份证号检验。支持设定字段是否必填、是否允许重复值、限定字符范围。</w:t>
            </w:r>
          </w:p>
        </w:tc>
      </w:tr>
      <w:tr>
        <w:tc>
          <w:tcPr>
            <w:tcW w:type="dxa" w:w="2769"/>
          </w:tcPr>
          <w:p/>
        </w:tc>
        <w:tc>
          <w:tcPr>
            <w:tcW w:type="dxa" w:w="2769"/>
          </w:tcPr>
          <w:p>
            <w:pPr>
              <w:pStyle w:val="null3"/>
            </w:pPr>
            <w:r>
              <w:rPr/>
              <w:t>9</w:t>
            </w:r>
          </w:p>
        </w:tc>
        <w:tc>
          <w:tcPr>
            <w:tcW w:type="dxa" w:w="2769"/>
          </w:tcPr>
          <w:p>
            <w:pPr>
              <w:pStyle w:val="null3"/>
            </w:pPr>
            <w:r>
              <w:rPr/>
              <w:t>单一字段需支持设定字段权限，包括是否前端可见、是否可编辑。</w:t>
            </w:r>
          </w:p>
        </w:tc>
      </w:tr>
      <w:tr>
        <w:tc>
          <w:tcPr>
            <w:tcW w:type="dxa" w:w="2769"/>
          </w:tcPr>
          <w:p/>
        </w:tc>
        <w:tc>
          <w:tcPr>
            <w:tcW w:type="dxa" w:w="2769"/>
          </w:tcPr>
          <w:p>
            <w:pPr>
              <w:pStyle w:val="null3"/>
            </w:pPr>
            <w:r>
              <w:rPr/>
              <w:t>10</w:t>
            </w:r>
          </w:p>
        </w:tc>
        <w:tc>
          <w:tcPr>
            <w:tcW w:type="dxa" w:w="2769"/>
          </w:tcPr>
          <w:p>
            <w:pPr>
              <w:pStyle w:val="null3"/>
            </w:pPr>
            <w:r>
              <w:rPr/>
              <w:t>单选框可批量添加选项、支持设定选项分值、选项颜色。</w:t>
            </w:r>
          </w:p>
        </w:tc>
      </w:tr>
      <w:tr>
        <w:tc>
          <w:tcPr>
            <w:tcW w:type="dxa" w:w="2769"/>
          </w:tcPr>
          <w:p/>
        </w:tc>
        <w:tc>
          <w:tcPr>
            <w:tcW w:type="dxa" w:w="2769"/>
          </w:tcPr>
          <w:p>
            <w:pPr>
              <w:pStyle w:val="null3"/>
            </w:pPr>
            <w:r>
              <w:rPr/>
              <w:t>11</w:t>
            </w:r>
          </w:p>
        </w:tc>
        <w:tc>
          <w:tcPr>
            <w:tcW w:type="dxa" w:w="2769"/>
          </w:tcPr>
          <w:p>
            <w:pPr>
              <w:pStyle w:val="null3"/>
            </w:pPr>
            <w:r>
              <w:rPr/>
              <w:t>通过计算公式控件实现表单内控件值的复杂计算，如自动计算多个单选项的得分、平均分。</w:t>
            </w:r>
          </w:p>
        </w:tc>
      </w:tr>
      <w:tr>
        <w:tc>
          <w:tcPr>
            <w:tcW w:type="dxa" w:w="2769"/>
          </w:tcPr>
          <w:p/>
        </w:tc>
        <w:tc>
          <w:tcPr>
            <w:tcW w:type="dxa" w:w="2769"/>
          </w:tcPr>
          <w:p>
            <w:pPr>
              <w:pStyle w:val="null3"/>
            </w:pPr>
            <w:r>
              <w:rPr/>
              <w:t>12</w:t>
            </w:r>
          </w:p>
        </w:tc>
        <w:tc>
          <w:tcPr>
            <w:tcW w:type="dxa" w:w="2769"/>
          </w:tcPr>
          <w:p>
            <w:pPr>
              <w:pStyle w:val="null3"/>
            </w:pPr>
            <w:r>
              <w:rPr/>
              <w:t>实现文件附件的上传、存储、下载、图片预览。附件上传可限定个数、大小等，图片上传可限定拍照上传、图库上传。</w:t>
            </w:r>
          </w:p>
        </w:tc>
      </w:tr>
      <w:tr>
        <w:tc>
          <w:tcPr>
            <w:tcW w:type="dxa" w:w="2769"/>
          </w:tcPr>
          <w:p/>
        </w:tc>
        <w:tc>
          <w:tcPr>
            <w:tcW w:type="dxa" w:w="2769"/>
          </w:tcPr>
          <w:p>
            <w:pPr>
              <w:pStyle w:val="null3"/>
            </w:pPr>
            <w:r>
              <w:rPr/>
              <w:t>13</w:t>
            </w:r>
          </w:p>
        </w:tc>
        <w:tc>
          <w:tcPr>
            <w:tcW w:type="dxa" w:w="2769"/>
          </w:tcPr>
          <w:p>
            <w:pPr>
              <w:pStyle w:val="null3"/>
            </w:pPr>
            <w:r>
              <w:rPr/>
              <w:t>采用Ｈ5技术构建应用，实现自适应终端设备显示。</w:t>
            </w:r>
          </w:p>
        </w:tc>
      </w:tr>
      <w:tr>
        <w:tc>
          <w:tcPr>
            <w:tcW w:type="dxa" w:w="2769"/>
          </w:tcPr>
          <w:p/>
        </w:tc>
        <w:tc>
          <w:tcPr>
            <w:tcW w:type="dxa" w:w="2769"/>
          </w:tcPr>
          <w:p>
            <w:pPr>
              <w:pStyle w:val="null3"/>
            </w:pPr>
            <w:r>
              <w:rPr/>
              <w:t>14</w:t>
            </w:r>
          </w:p>
        </w:tc>
        <w:tc>
          <w:tcPr>
            <w:tcW w:type="dxa" w:w="2769"/>
          </w:tcPr>
          <w:p>
            <w:pPr>
              <w:pStyle w:val="null3"/>
            </w:pPr>
            <w:r>
              <w:rPr/>
              <w:t>实现表单数据下载为Excel / PDF文件导出。导出Excel表时可选择要导出的字段、可设定导出的文件名称。</w:t>
            </w:r>
          </w:p>
        </w:tc>
      </w:tr>
      <w:tr>
        <w:tc>
          <w:tcPr>
            <w:tcW w:type="dxa" w:w="2769"/>
          </w:tcPr>
          <w:p/>
        </w:tc>
        <w:tc>
          <w:tcPr>
            <w:tcW w:type="dxa" w:w="2769"/>
          </w:tcPr>
          <w:p>
            <w:pPr>
              <w:pStyle w:val="null3"/>
            </w:pPr>
            <w:r>
              <w:rPr/>
              <w:t>15</w:t>
            </w:r>
          </w:p>
        </w:tc>
        <w:tc>
          <w:tcPr>
            <w:tcW w:type="dxa" w:w="2769"/>
          </w:tcPr>
          <w:p>
            <w:pPr>
              <w:pStyle w:val="null3"/>
            </w:pPr>
            <w:r>
              <w:rPr/>
              <w:t>表单设计器所形成的表单能以“所见即所得”方式配置打印模板，即通过打印代码对应至Word 文件中，上传Word模板后实现自动填充模板数据、结果打印及导出。</w:t>
            </w:r>
          </w:p>
        </w:tc>
      </w:tr>
      <w:tr>
        <w:tc>
          <w:tcPr>
            <w:tcW w:type="dxa" w:w="2769"/>
          </w:tcPr>
          <w:p/>
        </w:tc>
        <w:tc>
          <w:tcPr>
            <w:tcW w:type="dxa" w:w="2769"/>
          </w:tcPr>
          <w:p>
            <w:pPr>
              <w:pStyle w:val="null3"/>
            </w:pPr>
            <w:r>
              <w:rPr/>
              <w:t>16</w:t>
            </w:r>
          </w:p>
        </w:tc>
        <w:tc>
          <w:tcPr>
            <w:tcW w:type="dxa" w:w="2769"/>
          </w:tcPr>
          <w:p>
            <w:pPr>
              <w:pStyle w:val="null3"/>
            </w:pPr>
            <w:r>
              <w:rPr/>
              <w:t>需可支持设定多个打印模板，用户可在前端选择套用哪个模板进行打印。</w:t>
            </w:r>
          </w:p>
        </w:tc>
      </w:tr>
      <w:tr>
        <w:tc>
          <w:tcPr>
            <w:tcW w:type="dxa" w:w="2769"/>
          </w:tcPr>
          <w:p/>
        </w:tc>
        <w:tc>
          <w:tcPr>
            <w:tcW w:type="dxa" w:w="2769"/>
          </w:tcPr>
          <w:p>
            <w:pPr>
              <w:pStyle w:val="null3"/>
            </w:pPr>
            <w:r>
              <w:rPr/>
              <w:t>17</w:t>
            </w:r>
          </w:p>
        </w:tc>
        <w:tc>
          <w:tcPr>
            <w:tcW w:type="dxa" w:w="2769"/>
          </w:tcPr>
          <w:p>
            <w:pPr>
              <w:pStyle w:val="null3"/>
            </w:pPr>
            <w:r>
              <w:rPr/>
              <w:t>打印支持图片打印、勾选值打印，支持多条记录合并打印至一个文件或每条记录独立打印。</w:t>
            </w:r>
          </w:p>
        </w:tc>
      </w:tr>
      <w:tr>
        <w:tc>
          <w:tcPr>
            <w:tcW w:type="dxa" w:w="2769"/>
          </w:tcPr>
          <w:p/>
        </w:tc>
        <w:tc>
          <w:tcPr>
            <w:tcW w:type="dxa" w:w="2769"/>
          </w:tcPr>
          <w:p>
            <w:pPr>
              <w:pStyle w:val="null3"/>
            </w:pPr>
            <w:r>
              <w:rPr/>
              <w:t>18</w:t>
            </w:r>
          </w:p>
        </w:tc>
        <w:tc>
          <w:tcPr>
            <w:tcW w:type="dxa" w:w="2769"/>
          </w:tcPr>
          <w:p>
            <w:pPr>
              <w:pStyle w:val="null3"/>
            </w:pPr>
            <w:r>
              <w:rPr/>
              <w:t>实现数据管理端的可视化配置，能够设定显示字段、筛选字段、字段排序、操作按钮、数据条目样式、分页规则等。</w:t>
            </w:r>
          </w:p>
        </w:tc>
      </w:tr>
      <w:tr>
        <w:tc>
          <w:tcPr>
            <w:tcW w:type="dxa" w:w="2769"/>
          </w:tcPr>
          <w:p/>
        </w:tc>
        <w:tc>
          <w:tcPr>
            <w:tcW w:type="dxa" w:w="2769"/>
          </w:tcPr>
          <w:p>
            <w:pPr>
              <w:pStyle w:val="null3"/>
            </w:pPr>
            <w:r>
              <w:rPr/>
              <w:t>19</w:t>
            </w:r>
          </w:p>
        </w:tc>
        <w:tc>
          <w:tcPr>
            <w:tcW w:type="dxa" w:w="2769"/>
          </w:tcPr>
          <w:p>
            <w:pPr>
              <w:pStyle w:val="null3"/>
            </w:pPr>
            <w:r>
              <w:rPr/>
              <w:t>支持管理员进行操作按钮自定义，按钮名称可自定义，操作事件需支持修改字段值、打开关联表、发放编辑、发起填报、发起审批、打开外部URL等。</w:t>
            </w:r>
          </w:p>
        </w:tc>
      </w:tr>
      <w:tr>
        <w:tc>
          <w:tcPr>
            <w:tcW w:type="dxa" w:w="2769"/>
          </w:tcPr>
          <w:p/>
        </w:tc>
        <w:tc>
          <w:tcPr>
            <w:tcW w:type="dxa" w:w="2769"/>
          </w:tcPr>
          <w:p>
            <w:pPr>
              <w:pStyle w:val="null3"/>
            </w:pPr>
            <w:r>
              <w:rPr/>
              <w:t>20</w:t>
            </w:r>
          </w:p>
        </w:tc>
        <w:tc>
          <w:tcPr>
            <w:tcW w:type="dxa" w:w="2769"/>
          </w:tcPr>
          <w:p>
            <w:pPr>
              <w:pStyle w:val="null3"/>
            </w:pPr>
            <w:r>
              <w:rPr/>
              <w:t>数据管理端操作需支持添加、导入、导出、删除、发放采集、发放编辑、批量编辑、统计未提交人员、发通知等。</w:t>
            </w:r>
          </w:p>
        </w:tc>
      </w:tr>
      <w:tr>
        <w:tc>
          <w:tcPr>
            <w:tcW w:type="dxa" w:w="2769"/>
          </w:tcPr>
          <w:p/>
        </w:tc>
        <w:tc>
          <w:tcPr>
            <w:tcW w:type="dxa" w:w="2769"/>
          </w:tcPr>
          <w:p>
            <w:pPr>
              <w:pStyle w:val="null3"/>
            </w:pPr>
            <w:r>
              <w:rPr/>
              <w:t>21</w:t>
            </w:r>
          </w:p>
        </w:tc>
        <w:tc>
          <w:tcPr>
            <w:tcW w:type="dxa" w:w="2769"/>
          </w:tcPr>
          <w:p>
            <w:pPr>
              <w:pStyle w:val="null3"/>
            </w:pPr>
            <w:r>
              <w:rPr/>
              <w:t>实现填报提醒的可视化配置，能够设定提醒规则，在有数据提交或修改时按照设定的规则进行提醒的推送。</w:t>
            </w:r>
          </w:p>
        </w:tc>
      </w:tr>
      <w:tr>
        <w:tc>
          <w:tcPr>
            <w:tcW w:type="dxa" w:w="2769"/>
          </w:tcPr>
          <w:p/>
        </w:tc>
        <w:tc>
          <w:tcPr>
            <w:tcW w:type="dxa" w:w="2769"/>
          </w:tcPr>
          <w:p>
            <w:pPr>
              <w:pStyle w:val="null3"/>
            </w:pPr>
            <w:r>
              <w:rPr/>
              <w:t>22</w:t>
            </w:r>
          </w:p>
        </w:tc>
        <w:tc>
          <w:tcPr>
            <w:tcW w:type="dxa" w:w="2769"/>
          </w:tcPr>
          <w:p>
            <w:pPr>
              <w:pStyle w:val="null3"/>
            </w:pPr>
            <w:r>
              <w:rPr/>
              <w:t>实现提交校验规则的配置，能够设定校验公式和提示语，只有满足规则的数据方可提交。</w:t>
            </w:r>
          </w:p>
        </w:tc>
      </w:tr>
      <w:tr>
        <w:tc>
          <w:tcPr>
            <w:tcW w:type="dxa" w:w="2769"/>
          </w:tcPr>
          <w:p/>
        </w:tc>
        <w:tc>
          <w:tcPr>
            <w:tcW w:type="dxa" w:w="2769"/>
          </w:tcPr>
          <w:p>
            <w:pPr>
              <w:pStyle w:val="null3"/>
            </w:pPr>
            <w:r>
              <w:rPr/>
              <w:t>23</w:t>
            </w:r>
          </w:p>
        </w:tc>
        <w:tc>
          <w:tcPr>
            <w:tcW w:type="dxa" w:w="2769"/>
          </w:tcPr>
          <w:p>
            <w:pPr>
              <w:pStyle w:val="null3"/>
            </w:pPr>
            <w:r>
              <w:rPr/>
              <w:t>基于用户、角色、组织架构分配用户的字段权限（对哪些数据可见、可编辑）、操作权限（对数据能够执行哪些操作，包括导入导出、增删改查）、数据权限（能够查看哪些数据）。</w:t>
            </w:r>
          </w:p>
        </w:tc>
      </w:tr>
      <w:tr>
        <w:tc>
          <w:tcPr>
            <w:tcW w:type="dxa" w:w="2769"/>
          </w:tcPr>
          <w:p/>
        </w:tc>
        <w:tc>
          <w:tcPr>
            <w:tcW w:type="dxa" w:w="2769"/>
          </w:tcPr>
          <w:p>
            <w:pPr>
              <w:pStyle w:val="null3"/>
            </w:pPr>
            <w:r>
              <w:rPr/>
              <w:t>24</w:t>
            </w:r>
          </w:p>
        </w:tc>
        <w:tc>
          <w:tcPr>
            <w:tcW w:type="dxa" w:w="2769"/>
          </w:tcPr>
          <w:p>
            <w:pPr>
              <w:pStyle w:val="null3"/>
            </w:pPr>
            <w:r>
              <w:rPr/>
              <w:t>支持设定表单填报的开启时间段、收集上限、用户填写次数限制、填报记录操作权限。</w:t>
            </w:r>
          </w:p>
        </w:tc>
      </w:tr>
      <w:tr>
        <w:tc>
          <w:tcPr>
            <w:tcW w:type="dxa" w:w="2769"/>
          </w:tcPr>
          <w:p/>
        </w:tc>
        <w:tc>
          <w:tcPr>
            <w:tcW w:type="dxa" w:w="2769"/>
          </w:tcPr>
          <w:p>
            <w:pPr>
              <w:pStyle w:val="null3"/>
            </w:pPr>
            <w:r>
              <w:rPr/>
              <w:t>25</w:t>
            </w:r>
          </w:p>
        </w:tc>
        <w:tc>
          <w:tcPr>
            <w:tcW w:type="dxa" w:w="2769"/>
          </w:tcPr>
          <w:p>
            <w:pPr>
              <w:pStyle w:val="null3"/>
            </w:pPr>
            <w:r>
              <w:rPr/>
              <w:t>支持表单管理端发放采集，采集对象支持按照部门、人员选择，支持设定随机比例，并可设定是否匿名提交，是否限定发放采集对象以外的人员不得提交。支持设定发放采集可见和可编辑字段，支持统计填报进度和针对未填报人员发起提醒。</w:t>
            </w:r>
          </w:p>
        </w:tc>
      </w:tr>
      <w:tr>
        <w:tc>
          <w:tcPr>
            <w:tcW w:type="dxa" w:w="2769"/>
          </w:tcPr>
          <w:p/>
        </w:tc>
        <w:tc>
          <w:tcPr>
            <w:tcW w:type="dxa" w:w="2769"/>
          </w:tcPr>
          <w:p>
            <w:pPr>
              <w:pStyle w:val="null3"/>
            </w:pPr>
            <w:r>
              <w:rPr/>
              <w:t>26</w:t>
            </w:r>
          </w:p>
        </w:tc>
        <w:tc>
          <w:tcPr>
            <w:tcW w:type="dxa" w:w="2769"/>
          </w:tcPr>
          <w:p>
            <w:pPr>
              <w:pStyle w:val="null3"/>
            </w:pPr>
            <w:r>
              <w:rPr/>
              <w:t>支持包括处理节点、条件节点、条件节点嵌套、抄送流程等各种流程要素。</w:t>
            </w:r>
          </w:p>
        </w:tc>
      </w:tr>
      <w:tr>
        <w:tc>
          <w:tcPr>
            <w:tcW w:type="dxa" w:w="2769"/>
          </w:tcPr>
          <w:p/>
        </w:tc>
        <w:tc>
          <w:tcPr>
            <w:tcW w:type="dxa" w:w="2769"/>
          </w:tcPr>
          <w:p>
            <w:pPr>
              <w:pStyle w:val="null3"/>
            </w:pPr>
            <w:r>
              <w:rPr/>
              <w:t>27</w:t>
            </w:r>
          </w:p>
        </w:tc>
        <w:tc>
          <w:tcPr>
            <w:tcW w:type="dxa" w:w="2769"/>
          </w:tcPr>
          <w:p>
            <w:pPr>
              <w:pStyle w:val="null3"/>
            </w:pPr>
            <w:r>
              <w:rPr/>
              <w:t>支持包括支持单一审批、多人顺序、串并组合、多人会签、或签、抄送、转办等常用流程模式。支持自定义节点名称和条件。</w:t>
            </w:r>
          </w:p>
        </w:tc>
      </w:tr>
      <w:tr>
        <w:tc>
          <w:tcPr>
            <w:tcW w:type="dxa" w:w="2769"/>
          </w:tcPr>
          <w:p/>
        </w:tc>
        <w:tc>
          <w:tcPr>
            <w:tcW w:type="dxa" w:w="2769"/>
          </w:tcPr>
          <w:p>
            <w:pPr>
              <w:pStyle w:val="null3"/>
            </w:pPr>
            <w:r>
              <w:rPr/>
              <w:t>28</w:t>
            </w:r>
          </w:p>
        </w:tc>
        <w:tc>
          <w:tcPr>
            <w:tcW w:type="dxa" w:w="2769"/>
          </w:tcPr>
          <w:p>
            <w:pPr>
              <w:pStyle w:val="null3"/>
            </w:pPr>
            <w:r>
              <w:rPr/>
              <w:t>支持撤回、超时提醒、拒绝、通过、转他人办理、打回修改等常用操作。支持自定义操作名称。</w:t>
            </w:r>
          </w:p>
        </w:tc>
      </w:tr>
      <w:tr>
        <w:tc>
          <w:tcPr>
            <w:tcW w:type="dxa" w:w="2769"/>
          </w:tcPr>
          <w:p/>
        </w:tc>
        <w:tc>
          <w:tcPr>
            <w:tcW w:type="dxa" w:w="2769"/>
          </w:tcPr>
          <w:p>
            <w:pPr>
              <w:pStyle w:val="null3"/>
            </w:pPr>
            <w:r>
              <w:rPr/>
              <w:t>29</w:t>
            </w:r>
          </w:p>
        </w:tc>
        <w:tc>
          <w:tcPr>
            <w:tcW w:type="dxa" w:w="2769"/>
          </w:tcPr>
          <w:p>
            <w:pPr>
              <w:pStyle w:val="null3"/>
            </w:pPr>
            <w:r>
              <w:rPr/>
              <w:t>支持与表单工具结合，实现流程应用的填报表单可视化设计。可根据表单填写的内容设置不同的流程流转条件。</w:t>
            </w:r>
          </w:p>
        </w:tc>
      </w:tr>
      <w:tr>
        <w:tc>
          <w:tcPr>
            <w:tcW w:type="dxa" w:w="2769"/>
          </w:tcPr>
          <w:p/>
        </w:tc>
        <w:tc>
          <w:tcPr>
            <w:tcW w:type="dxa" w:w="2769"/>
          </w:tcPr>
          <w:p>
            <w:pPr>
              <w:pStyle w:val="null3"/>
            </w:pPr>
            <w:r>
              <w:rPr/>
              <w:t>30</w:t>
            </w:r>
          </w:p>
        </w:tc>
        <w:tc>
          <w:tcPr>
            <w:tcW w:type="dxa" w:w="2769"/>
          </w:tcPr>
          <w:p>
            <w:pPr>
              <w:pStyle w:val="null3"/>
            </w:pPr>
            <w:r>
              <w:rPr/>
              <w:t>支持配置流程条件分支的优先级，当流程任务满足多个条件时根据优先级顺序执行。</w:t>
            </w:r>
          </w:p>
        </w:tc>
      </w:tr>
      <w:tr>
        <w:tc>
          <w:tcPr>
            <w:tcW w:type="dxa" w:w="2769"/>
          </w:tcPr>
          <w:p/>
        </w:tc>
        <w:tc>
          <w:tcPr>
            <w:tcW w:type="dxa" w:w="2769"/>
          </w:tcPr>
          <w:p>
            <w:pPr>
              <w:pStyle w:val="null3"/>
            </w:pPr>
            <w:r>
              <w:rPr/>
              <w:t>31</w:t>
            </w:r>
          </w:p>
        </w:tc>
        <w:tc>
          <w:tcPr>
            <w:tcW w:type="dxa" w:w="2769"/>
          </w:tcPr>
          <w:p>
            <w:pPr>
              <w:pStyle w:val="null3"/>
            </w:pPr>
            <w:r>
              <w:rPr/>
              <w:t>支持设定单一节点的处理人规则，包括发起人自选、管理员指定部门/院系管理员（系统内体现为部门主管）、角色等属性。</w:t>
            </w:r>
          </w:p>
        </w:tc>
      </w:tr>
      <w:tr>
        <w:tc>
          <w:tcPr>
            <w:tcW w:type="dxa" w:w="2769"/>
          </w:tcPr>
          <w:p/>
        </w:tc>
        <w:tc>
          <w:tcPr>
            <w:tcW w:type="dxa" w:w="2769"/>
          </w:tcPr>
          <w:p>
            <w:pPr>
              <w:pStyle w:val="null3"/>
            </w:pPr>
            <w:r>
              <w:rPr/>
              <w:t>32</w:t>
            </w:r>
          </w:p>
        </w:tc>
        <w:tc>
          <w:tcPr>
            <w:tcW w:type="dxa" w:w="2769"/>
          </w:tcPr>
          <w:p>
            <w:pPr>
              <w:pStyle w:val="null3"/>
            </w:pPr>
            <w:r>
              <w:rPr/>
              <w:t>支持按照节点设定表单操作权限，包括可见、可编辑、只读、隐藏等。</w:t>
            </w:r>
          </w:p>
        </w:tc>
      </w:tr>
      <w:tr>
        <w:tc>
          <w:tcPr>
            <w:tcW w:type="dxa" w:w="2769"/>
          </w:tcPr>
          <w:p/>
        </w:tc>
        <w:tc>
          <w:tcPr>
            <w:tcW w:type="dxa" w:w="2769"/>
          </w:tcPr>
          <w:p>
            <w:pPr>
              <w:pStyle w:val="null3"/>
            </w:pPr>
            <w:r>
              <w:rPr/>
              <w:t>33</w:t>
            </w:r>
          </w:p>
        </w:tc>
        <w:tc>
          <w:tcPr>
            <w:tcW w:type="dxa" w:w="2769"/>
          </w:tcPr>
          <w:p>
            <w:pPr>
              <w:pStyle w:val="null3"/>
            </w:pPr>
            <w:r>
              <w:rPr/>
              <w:t>可配置是否开启手写签名、处理意见，可一键应用至全局。</w:t>
            </w:r>
          </w:p>
        </w:tc>
      </w:tr>
      <w:tr>
        <w:tc>
          <w:tcPr>
            <w:tcW w:type="dxa" w:w="2769"/>
          </w:tcPr>
          <w:p/>
        </w:tc>
        <w:tc>
          <w:tcPr>
            <w:tcW w:type="dxa" w:w="2769"/>
          </w:tcPr>
          <w:p>
            <w:pPr>
              <w:pStyle w:val="null3"/>
            </w:pPr>
            <w:r>
              <w:rPr/>
              <w:t>34</w:t>
            </w:r>
          </w:p>
        </w:tc>
        <w:tc>
          <w:tcPr>
            <w:tcW w:type="dxa" w:w="2769"/>
          </w:tcPr>
          <w:p>
            <w:pPr>
              <w:pStyle w:val="null3"/>
            </w:pPr>
            <w:r>
              <w:rPr/>
              <w:t>可配置超时提醒规则，可设定超时时间和提醒内容。</w:t>
            </w:r>
          </w:p>
        </w:tc>
      </w:tr>
      <w:tr>
        <w:tc>
          <w:tcPr>
            <w:tcW w:type="dxa" w:w="2769"/>
          </w:tcPr>
          <w:p/>
        </w:tc>
        <w:tc>
          <w:tcPr>
            <w:tcW w:type="dxa" w:w="2769"/>
          </w:tcPr>
          <w:p>
            <w:pPr>
              <w:pStyle w:val="null3"/>
            </w:pPr>
            <w:r>
              <w:rPr/>
              <w:t>35</w:t>
            </w:r>
          </w:p>
        </w:tc>
        <w:tc>
          <w:tcPr>
            <w:tcW w:type="dxa" w:w="2769"/>
          </w:tcPr>
          <w:p>
            <w:pPr>
              <w:pStyle w:val="null3"/>
            </w:pPr>
            <w:r>
              <w:rPr/>
              <w:t>可配置提交规则（提交时间段、提交次数等）、撤回规则、审批人去重规则。</w:t>
            </w:r>
          </w:p>
        </w:tc>
      </w:tr>
      <w:tr>
        <w:tc>
          <w:tcPr>
            <w:tcW w:type="dxa" w:w="2769"/>
          </w:tcPr>
          <w:p/>
        </w:tc>
        <w:tc>
          <w:tcPr>
            <w:tcW w:type="dxa" w:w="2769"/>
          </w:tcPr>
          <w:p>
            <w:pPr>
              <w:pStyle w:val="null3"/>
            </w:pPr>
            <w:r>
              <w:rPr/>
              <w:t>36</w:t>
            </w:r>
          </w:p>
        </w:tc>
        <w:tc>
          <w:tcPr>
            <w:tcW w:type="dxa" w:w="2769"/>
          </w:tcPr>
          <w:p>
            <w:pPr>
              <w:pStyle w:val="null3"/>
            </w:pPr>
            <w:r>
              <w:rPr/>
              <w:t>实现多级组织架构管理，可选择应用使用的对应组织架构。组织架构可进行可视化管理，包括修改、导入、导出、设置部门负责人。</w:t>
            </w:r>
          </w:p>
        </w:tc>
      </w:tr>
      <w:tr>
        <w:tc>
          <w:tcPr>
            <w:tcW w:type="dxa" w:w="2769"/>
          </w:tcPr>
          <w:p/>
        </w:tc>
        <w:tc>
          <w:tcPr>
            <w:tcW w:type="dxa" w:w="2769"/>
          </w:tcPr>
          <w:p>
            <w:pPr>
              <w:pStyle w:val="null3"/>
            </w:pPr>
            <w:r>
              <w:rPr/>
              <w:t>37</w:t>
            </w:r>
          </w:p>
        </w:tc>
        <w:tc>
          <w:tcPr>
            <w:tcW w:type="dxa" w:w="2769"/>
          </w:tcPr>
          <w:p>
            <w:pPr>
              <w:pStyle w:val="null3"/>
            </w:pPr>
            <w:r>
              <w:rPr/>
              <w:t>实现基于角色的权限体系，包括应用是否可见、管理范围等。可授权单一应用管理员，包括数据权限、操作权限等。</w:t>
            </w:r>
          </w:p>
        </w:tc>
      </w:tr>
      <w:tr>
        <w:tc>
          <w:tcPr>
            <w:tcW w:type="dxa" w:w="2769"/>
          </w:tcPr>
          <w:p/>
        </w:tc>
        <w:tc>
          <w:tcPr>
            <w:tcW w:type="dxa" w:w="2769"/>
          </w:tcPr>
          <w:p>
            <w:pPr>
              <w:pStyle w:val="null3"/>
            </w:pPr>
            <w:r>
              <w:rPr/>
              <w:t>38</w:t>
            </w:r>
          </w:p>
        </w:tc>
        <w:tc>
          <w:tcPr>
            <w:tcW w:type="dxa" w:w="2769"/>
          </w:tcPr>
          <w:p>
            <w:pPr>
              <w:pStyle w:val="null3"/>
            </w:pPr>
            <w:r>
              <w:rPr/>
              <w:t>实现管理员配置流程服务时，操作日志的跟踪，可查看对于流程修改的详细日志。</w:t>
            </w:r>
          </w:p>
        </w:tc>
      </w:tr>
      <w:tr>
        <w:tc>
          <w:tcPr>
            <w:tcW w:type="dxa" w:w="2769"/>
          </w:tcPr>
          <w:p/>
        </w:tc>
        <w:tc>
          <w:tcPr>
            <w:tcW w:type="dxa" w:w="2769"/>
          </w:tcPr>
          <w:p>
            <w:pPr>
              <w:pStyle w:val="null3"/>
            </w:pPr>
            <w:r>
              <w:rPr/>
              <w:t>39</w:t>
            </w:r>
          </w:p>
        </w:tc>
        <w:tc>
          <w:tcPr>
            <w:tcW w:type="dxa" w:w="2769"/>
          </w:tcPr>
          <w:p>
            <w:pPr>
              <w:pStyle w:val="null3"/>
            </w:pPr>
            <w:r>
              <w:rPr/>
              <w:t>实现基于表单数据直接配置数据权限和流转条件。</w:t>
            </w:r>
          </w:p>
        </w:tc>
      </w:tr>
      <w:tr>
        <w:tc>
          <w:tcPr>
            <w:tcW w:type="dxa" w:w="2769"/>
          </w:tcPr>
          <w:p/>
        </w:tc>
        <w:tc>
          <w:tcPr>
            <w:tcW w:type="dxa" w:w="2769"/>
          </w:tcPr>
          <w:p>
            <w:pPr>
              <w:pStyle w:val="null3"/>
            </w:pPr>
            <w:r>
              <w:rPr/>
              <w:t>40</w:t>
            </w:r>
          </w:p>
        </w:tc>
        <w:tc>
          <w:tcPr>
            <w:tcW w:type="dxa" w:w="2769"/>
          </w:tcPr>
          <w:p>
            <w:pPr>
              <w:pStyle w:val="null3"/>
            </w:pPr>
            <w:r>
              <w:rPr/>
              <w:t>对移动终端表单提供完善支持，在无需程序开发的情况下实现多种终端适配。</w:t>
            </w:r>
          </w:p>
        </w:tc>
      </w:tr>
      <w:tr>
        <w:tc>
          <w:tcPr>
            <w:tcW w:type="dxa" w:w="2769"/>
          </w:tcPr>
          <w:p/>
        </w:tc>
        <w:tc>
          <w:tcPr>
            <w:tcW w:type="dxa" w:w="2769"/>
          </w:tcPr>
          <w:p>
            <w:pPr>
              <w:pStyle w:val="null3"/>
            </w:pPr>
            <w:r>
              <w:rPr/>
              <w:t>41</w:t>
            </w:r>
          </w:p>
        </w:tc>
        <w:tc>
          <w:tcPr>
            <w:tcW w:type="dxa" w:w="2769"/>
          </w:tcPr>
          <w:p>
            <w:pPr>
              <w:pStyle w:val="null3"/>
            </w:pPr>
            <w:r>
              <w:rPr/>
              <w:t>实现表单+流程的可视化打印模板配置，实现自动填充表单数据、审批过程数据，实现打印及导出。</w:t>
            </w:r>
          </w:p>
        </w:tc>
      </w:tr>
      <w:tr>
        <w:tc>
          <w:tcPr>
            <w:tcW w:type="dxa" w:w="2769"/>
          </w:tcPr>
          <w:p/>
        </w:tc>
        <w:tc>
          <w:tcPr>
            <w:tcW w:type="dxa" w:w="2769"/>
          </w:tcPr>
          <w:p>
            <w:pPr>
              <w:pStyle w:val="null3"/>
            </w:pPr>
            <w:r>
              <w:rPr/>
              <w:t>42</w:t>
            </w:r>
          </w:p>
        </w:tc>
        <w:tc>
          <w:tcPr>
            <w:tcW w:type="dxa" w:w="2769"/>
          </w:tcPr>
          <w:p>
            <w:pPr>
              <w:pStyle w:val="null3"/>
            </w:pPr>
            <w:r>
              <w:rPr/>
              <w:t>支持根据流程图及当前执行状态生成易于用户理解的流程办理过程记录及后续执行路径、数据日志等。</w:t>
            </w:r>
          </w:p>
        </w:tc>
      </w:tr>
      <w:tr>
        <w:tc>
          <w:tcPr>
            <w:tcW w:type="dxa" w:w="2769"/>
          </w:tcPr>
          <w:p/>
        </w:tc>
        <w:tc>
          <w:tcPr>
            <w:tcW w:type="dxa" w:w="2769"/>
          </w:tcPr>
          <w:p>
            <w:pPr>
              <w:pStyle w:val="null3"/>
            </w:pPr>
            <w:r>
              <w:rPr/>
              <w:t>43</w:t>
            </w:r>
          </w:p>
        </w:tc>
        <w:tc>
          <w:tcPr>
            <w:tcW w:type="dxa" w:w="2769"/>
          </w:tcPr>
          <w:p>
            <w:pPr>
              <w:pStyle w:val="null3"/>
            </w:pPr>
            <w:r>
              <w:rPr/>
              <w:t>可设定是否隐藏具体审批人。</w:t>
            </w:r>
          </w:p>
        </w:tc>
      </w:tr>
      <w:tr>
        <w:tc>
          <w:tcPr>
            <w:tcW w:type="dxa" w:w="2769"/>
          </w:tcPr>
          <w:p/>
        </w:tc>
        <w:tc>
          <w:tcPr>
            <w:tcW w:type="dxa" w:w="2769"/>
          </w:tcPr>
          <w:p>
            <w:pPr>
              <w:pStyle w:val="null3"/>
            </w:pPr>
            <w:r>
              <w:rPr/>
              <w:t>44</w:t>
            </w:r>
          </w:p>
        </w:tc>
        <w:tc>
          <w:tcPr>
            <w:tcW w:type="dxa" w:w="2769"/>
          </w:tcPr>
          <w:p>
            <w:pPr>
              <w:pStyle w:val="null3"/>
            </w:pPr>
            <w:r>
              <w:rPr/>
              <w:t>可视化过程监控，跟踪活动状态，发现流程错误时可人工干预，包括修改审批人、强制通过、强制拒绝。</w:t>
            </w:r>
          </w:p>
        </w:tc>
      </w:tr>
      <w:tr>
        <w:tc>
          <w:tcPr>
            <w:tcW w:type="dxa" w:w="2769"/>
          </w:tcPr>
          <w:p/>
        </w:tc>
        <w:tc>
          <w:tcPr>
            <w:tcW w:type="dxa" w:w="2769"/>
          </w:tcPr>
          <w:p>
            <w:pPr>
              <w:pStyle w:val="null3"/>
            </w:pPr>
            <w:r>
              <w:rPr/>
              <w:t>45</w:t>
            </w:r>
          </w:p>
        </w:tc>
        <w:tc>
          <w:tcPr>
            <w:tcW w:type="dxa" w:w="2769"/>
          </w:tcPr>
          <w:p>
            <w:pPr>
              <w:pStyle w:val="null3"/>
            </w:pPr>
            <w:r>
              <w:rPr/>
              <w:t>支持对流程执行情况统计、筛选以及数据的导出和下载。</w:t>
            </w:r>
          </w:p>
        </w:tc>
      </w:tr>
      <w:tr>
        <w:tc>
          <w:tcPr>
            <w:tcW w:type="dxa" w:w="2769"/>
          </w:tcPr>
          <w:p/>
        </w:tc>
        <w:tc>
          <w:tcPr>
            <w:tcW w:type="dxa" w:w="2769"/>
          </w:tcPr>
          <w:p>
            <w:pPr>
              <w:pStyle w:val="null3"/>
            </w:pPr>
            <w:r>
              <w:rPr/>
              <w:t>46</w:t>
            </w:r>
          </w:p>
        </w:tc>
        <w:tc>
          <w:tcPr>
            <w:tcW w:type="dxa" w:w="2769"/>
          </w:tcPr>
          <w:p>
            <w:pPr>
              <w:pStyle w:val="null3"/>
            </w:pPr>
            <w:r>
              <w:rPr/>
              <w:t>支持实现统一的消息通知服务，能够实现任务流转状态变化时自动执行通知。</w:t>
            </w:r>
          </w:p>
        </w:tc>
      </w:tr>
      <w:tr>
        <w:tc>
          <w:tcPr>
            <w:tcW w:type="dxa" w:w="2769"/>
          </w:tcPr>
          <w:p/>
        </w:tc>
        <w:tc>
          <w:tcPr>
            <w:tcW w:type="dxa" w:w="2769"/>
          </w:tcPr>
          <w:p>
            <w:pPr>
              <w:pStyle w:val="null3"/>
            </w:pPr>
            <w:r>
              <w:rPr/>
              <w:t>47</w:t>
            </w:r>
          </w:p>
        </w:tc>
        <w:tc>
          <w:tcPr>
            <w:tcW w:type="dxa" w:w="2769"/>
          </w:tcPr>
          <w:p>
            <w:pPr>
              <w:pStyle w:val="null3"/>
            </w:pPr>
            <w:r>
              <w:rPr/>
              <w:t>能够让流程管理人员自行定义审批管理页面上哪些表单元素需要在列表中显示，还可以指定显示顺序、筛选条件、操作按钮等。</w:t>
            </w:r>
          </w:p>
        </w:tc>
      </w:tr>
      <w:tr>
        <w:tc>
          <w:tcPr>
            <w:tcW w:type="dxa" w:w="2769"/>
          </w:tcPr>
          <w:p/>
        </w:tc>
        <w:tc>
          <w:tcPr>
            <w:tcW w:type="dxa" w:w="2769"/>
          </w:tcPr>
          <w:p>
            <w:pPr>
              <w:pStyle w:val="null3"/>
            </w:pPr>
            <w:r>
              <w:rPr/>
              <w:t>48</w:t>
            </w:r>
          </w:p>
        </w:tc>
        <w:tc>
          <w:tcPr>
            <w:tcW w:type="dxa" w:w="2769"/>
          </w:tcPr>
          <w:p>
            <w:pPr>
              <w:pStyle w:val="null3"/>
            </w:pPr>
            <w:r>
              <w:rPr/>
              <w:t>支持手动添加和批量导入预约对象。支持配置预约对象的属性，比如会议室的描述、设备等，能支持上传预约对象图片。</w:t>
            </w:r>
          </w:p>
        </w:tc>
      </w:tr>
      <w:tr>
        <w:tc>
          <w:tcPr>
            <w:tcW w:type="dxa" w:w="2769"/>
          </w:tcPr>
          <w:p/>
        </w:tc>
        <w:tc>
          <w:tcPr>
            <w:tcW w:type="dxa" w:w="2769"/>
          </w:tcPr>
          <w:p>
            <w:pPr>
              <w:pStyle w:val="null3"/>
            </w:pPr>
            <w:r>
              <w:rPr/>
              <w:t>49</w:t>
            </w:r>
          </w:p>
        </w:tc>
        <w:tc>
          <w:tcPr>
            <w:tcW w:type="dxa" w:w="2769"/>
          </w:tcPr>
          <w:p>
            <w:pPr>
              <w:pStyle w:val="null3"/>
            </w:pPr>
            <w:r>
              <w:rPr/>
              <w:t>支持针对单一预约对象设定管理员。</w:t>
            </w:r>
          </w:p>
        </w:tc>
      </w:tr>
      <w:tr>
        <w:tc>
          <w:tcPr>
            <w:tcW w:type="dxa" w:w="2769"/>
          </w:tcPr>
          <w:p/>
        </w:tc>
        <w:tc>
          <w:tcPr>
            <w:tcW w:type="dxa" w:w="2769"/>
          </w:tcPr>
          <w:p>
            <w:pPr>
              <w:pStyle w:val="null3"/>
            </w:pPr>
            <w:r>
              <w:rPr/>
              <w:t>50</w:t>
            </w:r>
          </w:p>
        </w:tc>
        <w:tc>
          <w:tcPr>
            <w:tcW w:type="dxa" w:w="2769"/>
          </w:tcPr>
          <w:p>
            <w:pPr>
              <w:pStyle w:val="null3"/>
            </w:pPr>
            <w:r>
              <w:rPr/>
              <w:t>支持与表单、流程工具进行结合，可配置预约时需填报的</w:t>
            </w:r>
          </w:p>
        </w:tc>
      </w:tr>
      <w:tr>
        <w:tc>
          <w:tcPr>
            <w:tcW w:type="dxa" w:w="2769"/>
          </w:tcPr>
          <w:p/>
        </w:tc>
        <w:tc>
          <w:tcPr>
            <w:tcW w:type="dxa" w:w="2769"/>
          </w:tcPr>
          <w:p>
            <w:pPr>
              <w:pStyle w:val="null3"/>
            </w:pPr>
            <w:r>
              <w:rPr/>
              <w:t>51</w:t>
            </w:r>
          </w:p>
        </w:tc>
        <w:tc>
          <w:tcPr>
            <w:tcW w:type="dxa" w:w="2769"/>
          </w:tcPr>
          <w:p>
            <w:pPr>
              <w:pStyle w:val="null3"/>
            </w:pPr>
            <w:r>
              <w:rPr/>
              <w:t>支持为预约对象生成二维码，扫码进行预约。</w:t>
            </w:r>
          </w:p>
        </w:tc>
      </w:tr>
      <w:tr>
        <w:tc>
          <w:tcPr>
            <w:tcW w:type="dxa" w:w="2769"/>
          </w:tcPr>
          <w:p/>
        </w:tc>
        <w:tc>
          <w:tcPr>
            <w:tcW w:type="dxa" w:w="2769"/>
          </w:tcPr>
          <w:p>
            <w:pPr>
              <w:pStyle w:val="null3"/>
            </w:pPr>
            <w:r>
              <w:rPr/>
              <w:t>52</w:t>
            </w:r>
          </w:p>
        </w:tc>
        <w:tc>
          <w:tcPr>
            <w:tcW w:type="dxa" w:w="2769"/>
          </w:tcPr>
          <w:p>
            <w:pPr>
              <w:pStyle w:val="null3"/>
            </w:pPr>
            <w:r>
              <w:rPr/>
              <w:t>支持配置提前预约的时间范围、同时进行预约的数量、单次预约的最大时长等属性。</w:t>
            </w:r>
          </w:p>
        </w:tc>
      </w:tr>
      <w:tr>
        <w:tc>
          <w:tcPr>
            <w:tcW w:type="dxa" w:w="2769"/>
          </w:tcPr>
          <w:p/>
        </w:tc>
        <w:tc>
          <w:tcPr>
            <w:tcW w:type="dxa" w:w="2769"/>
          </w:tcPr>
          <w:p>
            <w:pPr>
              <w:pStyle w:val="null3"/>
            </w:pPr>
            <w:r>
              <w:rPr/>
              <w:t>53</w:t>
            </w:r>
          </w:p>
        </w:tc>
        <w:tc>
          <w:tcPr>
            <w:tcW w:type="dxa" w:w="2769"/>
          </w:tcPr>
          <w:p>
            <w:pPr>
              <w:pStyle w:val="null3"/>
            </w:pPr>
            <w:r>
              <w:rPr/>
              <w:t>支持动态限定用户取消预约的最小提前量，如至少提前一小时进行取消。</w:t>
            </w:r>
          </w:p>
        </w:tc>
      </w:tr>
      <w:tr>
        <w:tc>
          <w:tcPr>
            <w:tcW w:type="dxa" w:w="2769"/>
          </w:tcPr>
          <w:p/>
        </w:tc>
        <w:tc>
          <w:tcPr>
            <w:tcW w:type="dxa" w:w="2769"/>
          </w:tcPr>
          <w:p>
            <w:pPr>
              <w:pStyle w:val="null3"/>
            </w:pPr>
            <w:r>
              <w:rPr/>
              <w:t>54</w:t>
            </w:r>
          </w:p>
        </w:tc>
        <w:tc>
          <w:tcPr>
            <w:tcW w:type="dxa" w:w="2769"/>
          </w:tcPr>
          <w:p>
            <w:pPr>
              <w:pStyle w:val="null3"/>
            </w:pPr>
            <w:r>
              <w:rPr/>
              <w:t>支持跨预约对象、预约应用判断时间冲突，避免同一用户抢占相同时间的多个对象。</w:t>
            </w:r>
          </w:p>
        </w:tc>
      </w:tr>
      <w:tr>
        <w:tc>
          <w:tcPr>
            <w:tcW w:type="dxa" w:w="2769"/>
          </w:tcPr>
          <w:p/>
        </w:tc>
        <w:tc>
          <w:tcPr>
            <w:tcW w:type="dxa" w:w="2769"/>
          </w:tcPr>
          <w:p>
            <w:pPr>
              <w:pStyle w:val="null3"/>
            </w:pPr>
            <w:r>
              <w:rPr/>
              <w:t>55</w:t>
            </w:r>
          </w:p>
        </w:tc>
        <w:tc>
          <w:tcPr>
            <w:tcW w:type="dxa" w:w="2769"/>
          </w:tcPr>
          <w:p>
            <w:pPr>
              <w:pStyle w:val="null3"/>
            </w:pPr>
            <w:r>
              <w:rPr/>
              <w:t>支持周期预约，用户可一次性预约一个周期的相同时间段。</w:t>
            </w:r>
          </w:p>
        </w:tc>
      </w:tr>
      <w:tr>
        <w:tc>
          <w:tcPr>
            <w:tcW w:type="dxa" w:w="2769"/>
          </w:tcPr>
          <w:p/>
        </w:tc>
        <w:tc>
          <w:tcPr>
            <w:tcW w:type="dxa" w:w="2769"/>
          </w:tcPr>
          <w:p>
            <w:pPr>
              <w:pStyle w:val="null3"/>
            </w:pPr>
            <w:r>
              <w:rPr/>
              <w:t>56</w:t>
            </w:r>
          </w:p>
        </w:tc>
        <w:tc>
          <w:tcPr>
            <w:tcW w:type="dxa" w:w="2769"/>
          </w:tcPr>
          <w:p>
            <w:pPr>
              <w:pStyle w:val="null3"/>
            </w:pPr>
            <w:r>
              <w:rPr/>
              <w:t>支持开启签到签退限定。签到需支持位置签到、二维码签到、扫码签到等；支持弹性签到签退时间；支持手动签退和自动签退。</w:t>
            </w:r>
          </w:p>
        </w:tc>
      </w:tr>
      <w:tr>
        <w:tc>
          <w:tcPr>
            <w:tcW w:type="dxa" w:w="2769"/>
          </w:tcPr>
          <w:p/>
        </w:tc>
        <w:tc>
          <w:tcPr>
            <w:tcW w:type="dxa" w:w="2769"/>
          </w:tcPr>
          <w:p>
            <w:pPr>
              <w:pStyle w:val="null3"/>
            </w:pPr>
            <w:r>
              <w:rPr/>
              <w:t>57</w:t>
            </w:r>
          </w:p>
        </w:tc>
        <w:tc>
          <w:tcPr>
            <w:tcW w:type="dxa" w:w="2769"/>
          </w:tcPr>
          <w:p>
            <w:pPr>
              <w:pStyle w:val="null3"/>
            </w:pPr>
            <w:r>
              <w:rPr/>
              <w:t>支持设定违约处罚措施，超过设定的违约次数上限后暂停用户预约权限。</w:t>
            </w:r>
          </w:p>
        </w:tc>
      </w:tr>
      <w:tr>
        <w:tc>
          <w:tcPr>
            <w:tcW w:type="dxa" w:w="2769"/>
          </w:tcPr>
          <w:p/>
        </w:tc>
        <w:tc>
          <w:tcPr>
            <w:tcW w:type="dxa" w:w="2769"/>
          </w:tcPr>
          <w:p>
            <w:pPr>
              <w:pStyle w:val="null3"/>
            </w:pPr>
            <w:r>
              <w:rPr/>
              <w:t>58</w:t>
            </w:r>
          </w:p>
        </w:tc>
        <w:tc>
          <w:tcPr>
            <w:tcW w:type="dxa" w:w="2769"/>
          </w:tcPr>
          <w:p>
            <w:pPr>
              <w:pStyle w:val="null3"/>
            </w:pPr>
            <w:r>
              <w:rPr/>
              <w:t>支持特殊对象预约规则设定，在通用预约规则下需支持单独设定某个对象的预约规则。支持特殊角色预约规则设定，可针对单独角色设置预约规则。</w:t>
            </w:r>
          </w:p>
        </w:tc>
      </w:tr>
      <w:tr>
        <w:tc>
          <w:tcPr>
            <w:tcW w:type="dxa" w:w="2769"/>
          </w:tcPr>
          <w:p/>
        </w:tc>
        <w:tc>
          <w:tcPr>
            <w:tcW w:type="dxa" w:w="2769"/>
          </w:tcPr>
          <w:p>
            <w:pPr>
              <w:pStyle w:val="null3"/>
            </w:pPr>
            <w:r>
              <w:rPr/>
              <w:t>59</w:t>
            </w:r>
          </w:p>
        </w:tc>
        <w:tc>
          <w:tcPr>
            <w:tcW w:type="dxa" w:w="2769"/>
          </w:tcPr>
          <w:p>
            <w:pPr>
              <w:pStyle w:val="null3"/>
            </w:pPr>
            <w:r>
              <w:rPr/>
              <w:t>要能支持将每日开放时间划分为多个时间段，支持自定义时间段区间。支持设定每周的开放时间。支持设定暂停开放日期区间。</w:t>
            </w:r>
          </w:p>
        </w:tc>
      </w:tr>
      <w:tr>
        <w:tc>
          <w:tcPr>
            <w:tcW w:type="dxa" w:w="2769"/>
          </w:tcPr>
          <w:p/>
        </w:tc>
        <w:tc>
          <w:tcPr>
            <w:tcW w:type="dxa" w:w="2769"/>
          </w:tcPr>
          <w:p>
            <w:pPr>
              <w:pStyle w:val="null3"/>
            </w:pPr>
            <w:r>
              <w:rPr/>
              <w:t>60</w:t>
            </w:r>
          </w:p>
        </w:tc>
        <w:tc>
          <w:tcPr>
            <w:tcW w:type="dxa" w:w="2769"/>
          </w:tcPr>
          <w:p>
            <w:pPr>
              <w:pStyle w:val="null3"/>
            </w:pPr>
            <w:r>
              <w:rPr/>
              <w:t>要能支持批量设定多个预约对象的每周、每日的开放时间，也能针对单一对象进行特殊化设置。</w:t>
            </w:r>
          </w:p>
        </w:tc>
      </w:tr>
      <w:tr>
        <w:tc>
          <w:tcPr>
            <w:tcW w:type="dxa" w:w="2769"/>
          </w:tcPr>
          <w:p/>
        </w:tc>
        <w:tc>
          <w:tcPr>
            <w:tcW w:type="dxa" w:w="2769"/>
          </w:tcPr>
          <w:p>
            <w:pPr>
              <w:pStyle w:val="null3"/>
            </w:pPr>
            <w:r>
              <w:rPr/>
              <w:t>61</w:t>
            </w:r>
          </w:p>
        </w:tc>
        <w:tc>
          <w:tcPr>
            <w:tcW w:type="dxa" w:w="2769"/>
          </w:tcPr>
          <w:p>
            <w:pPr>
              <w:pStyle w:val="null3"/>
            </w:pPr>
            <w:r>
              <w:rPr/>
              <w:t>管理员要能查看所有的预约记录、违约记录，可在后台取消预约记录和消除违约记录。要支持记录的批量导出。</w:t>
            </w:r>
          </w:p>
        </w:tc>
      </w:tr>
      <w:tr>
        <w:tc>
          <w:tcPr>
            <w:tcW w:type="dxa" w:w="2769"/>
          </w:tcPr>
          <w:p/>
        </w:tc>
        <w:tc>
          <w:tcPr>
            <w:tcW w:type="dxa" w:w="2769"/>
          </w:tcPr>
          <w:p>
            <w:pPr>
              <w:pStyle w:val="null3"/>
            </w:pPr>
            <w:r>
              <w:rPr/>
              <w:t>62</w:t>
            </w:r>
          </w:p>
        </w:tc>
        <w:tc>
          <w:tcPr>
            <w:tcW w:type="dxa" w:w="2769"/>
          </w:tcPr>
          <w:p>
            <w:pPr>
              <w:pStyle w:val="null3"/>
            </w:pPr>
            <w:r>
              <w:rPr/>
              <w:t>支持设定黑名单，在黑名单内的用户无法使用预约功能。</w:t>
            </w:r>
          </w:p>
        </w:tc>
      </w:tr>
      <w:tr>
        <w:tc>
          <w:tcPr>
            <w:tcW w:type="dxa" w:w="2769"/>
          </w:tcPr>
          <w:p/>
        </w:tc>
        <w:tc>
          <w:tcPr>
            <w:tcW w:type="dxa" w:w="2769"/>
          </w:tcPr>
          <w:p>
            <w:pPr>
              <w:pStyle w:val="null3"/>
            </w:pPr>
            <w:r>
              <w:rPr/>
              <w:t>63</w:t>
            </w:r>
          </w:p>
        </w:tc>
        <w:tc>
          <w:tcPr>
            <w:tcW w:type="dxa" w:w="2769"/>
          </w:tcPr>
          <w:p>
            <w:pPr>
              <w:pStyle w:val="null3"/>
            </w:pPr>
            <w:r>
              <w:rPr/>
              <w:t>活动管理：支持新建、预览、发布下架、管理活动，根据活动状态、分类、报名数、评论数和时间排序筛选，根据活动名称等关键信息搜索活动，支持列表和卡片视图切换，便于查阅管理。</w:t>
            </w:r>
          </w:p>
        </w:tc>
      </w:tr>
      <w:tr>
        <w:tc>
          <w:tcPr>
            <w:tcW w:type="dxa" w:w="2769"/>
          </w:tcPr>
          <w:p/>
        </w:tc>
        <w:tc>
          <w:tcPr>
            <w:tcW w:type="dxa" w:w="2769"/>
          </w:tcPr>
          <w:p>
            <w:pPr>
              <w:pStyle w:val="null3"/>
            </w:pPr>
            <w:r>
              <w:rPr/>
              <w:t>64</w:t>
            </w:r>
          </w:p>
        </w:tc>
        <w:tc>
          <w:tcPr>
            <w:tcW w:type="dxa" w:w="2769"/>
          </w:tcPr>
          <w:p>
            <w:pPr>
              <w:pStyle w:val="null3"/>
            </w:pPr>
            <w:r>
              <w:rPr/>
              <w:t>管理员权限：管理员可以查看、审核、上架下架、删除所有活动。</w:t>
            </w:r>
          </w:p>
        </w:tc>
      </w:tr>
      <w:tr>
        <w:tc>
          <w:tcPr>
            <w:tcW w:type="dxa" w:w="2769"/>
          </w:tcPr>
          <w:p/>
        </w:tc>
        <w:tc>
          <w:tcPr>
            <w:tcW w:type="dxa" w:w="2769"/>
          </w:tcPr>
          <w:p>
            <w:pPr>
              <w:pStyle w:val="null3"/>
            </w:pPr>
            <w:r>
              <w:rPr/>
              <w:t>65</w:t>
            </w:r>
          </w:p>
        </w:tc>
        <w:tc>
          <w:tcPr>
            <w:tcW w:type="dxa" w:w="2769"/>
          </w:tcPr>
          <w:p>
            <w:pPr>
              <w:pStyle w:val="null3"/>
            </w:pPr>
            <w:r>
              <w:rPr/>
              <w:t>活动基本信息：支持设置活动标题、封面、活动开始结束时间、活动分类、主办方、举办形式，线下活动支持地图选点和详细地址、图文混排的活动介绍，支持直接预览文档内容，播放视频、活动奖励的学分和学时。</w:t>
            </w:r>
          </w:p>
        </w:tc>
      </w:tr>
      <w:tr>
        <w:tc>
          <w:tcPr>
            <w:tcW w:type="dxa" w:w="2769"/>
          </w:tcPr>
          <w:p/>
        </w:tc>
        <w:tc>
          <w:tcPr>
            <w:tcW w:type="dxa" w:w="2769"/>
          </w:tcPr>
          <w:p>
            <w:pPr>
              <w:pStyle w:val="null3"/>
            </w:pPr>
            <w:r>
              <w:rPr/>
              <w:t>66</w:t>
            </w:r>
          </w:p>
        </w:tc>
        <w:tc>
          <w:tcPr>
            <w:tcW w:type="dxa" w:w="2769"/>
          </w:tcPr>
          <w:p>
            <w:pPr>
              <w:pStyle w:val="null3"/>
            </w:pPr>
            <w:r>
              <w:rPr/>
              <w:t>报名设置：支持进行报名设置，一个活动可以添加多个报名项目，每个报名项目可以设置名称、报名时间、报名人数限制、报名填报表单、报名范围限制、用户取消报名限制、是否支持现场报名。</w:t>
            </w:r>
          </w:p>
        </w:tc>
      </w:tr>
      <w:tr>
        <w:tc>
          <w:tcPr>
            <w:tcW w:type="dxa" w:w="2769"/>
          </w:tcPr>
          <w:p/>
        </w:tc>
        <w:tc>
          <w:tcPr>
            <w:tcW w:type="dxa" w:w="2769"/>
          </w:tcPr>
          <w:p>
            <w:pPr>
              <w:pStyle w:val="null3"/>
            </w:pPr>
            <w:r>
              <w:rPr/>
              <w:t>67</w:t>
            </w:r>
          </w:p>
        </w:tc>
        <w:tc>
          <w:tcPr>
            <w:tcW w:type="dxa" w:w="2769"/>
          </w:tcPr>
          <w:p>
            <w:pPr>
              <w:pStyle w:val="null3"/>
            </w:pPr>
            <w:r>
              <w:rPr/>
              <w:t>报名采集信息：可以根据实际需要添加表单字段，用于采集信息，支持必要字段：单行输入、数字输入、时间日期输入、联系人输入、下拉选择输入、矩阵表格等，支持设置手机号或邮箱格式限制，可以设置字段的默认值，并且部分默认值可以根据报名用户自动填充，减少用户填写时间。</w:t>
            </w:r>
          </w:p>
        </w:tc>
      </w:tr>
      <w:tr>
        <w:tc>
          <w:tcPr>
            <w:tcW w:type="dxa" w:w="2769"/>
          </w:tcPr>
          <w:p/>
        </w:tc>
        <w:tc>
          <w:tcPr>
            <w:tcW w:type="dxa" w:w="2769"/>
          </w:tcPr>
          <w:p>
            <w:pPr>
              <w:pStyle w:val="null3"/>
            </w:pPr>
            <w:r>
              <w:rPr/>
              <w:t>68</w:t>
            </w:r>
          </w:p>
        </w:tc>
        <w:tc>
          <w:tcPr>
            <w:tcW w:type="dxa" w:w="2769"/>
          </w:tcPr>
          <w:p>
            <w:pPr>
              <w:pStyle w:val="null3"/>
            </w:pPr>
            <w:r>
              <w:rPr/>
              <w:t>展示页面设置：不同活动可以选择不同的展示页面，已创建的活动也可以切换展示页面，展示页面多端适配，至少支持：电脑端、APP端、微信端。</w:t>
            </w:r>
          </w:p>
        </w:tc>
      </w:tr>
      <w:tr>
        <w:tc>
          <w:tcPr>
            <w:tcW w:type="dxa" w:w="2769"/>
          </w:tcPr>
          <w:p/>
        </w:tc>
        <w:tc>
          <w:tcPr>
            <w:tcW w:type="dxa" w:w="2769"/>
          </w:tcPr>
          <w:p>
            <w:pPr>
              <w:pStyle w:val="null3"/>
            </w:pPr>
            <w:r>
              <w:rPr/>
              <w:t>69</w:t>
            </w:r>
          </w:p>
        </w:tc>
        <w:tc>
          <w:tcPr>
            <w:tcW w:type="dxa" w:w="2769"/>
          </w:tcPr>
          <w:p>
            <w:pPr>
              <w:pStyle w:val="null3"/>
            </w:pPr>
            <w:r>
              <w:rPr/>
              <w:t>模板库：提供上百个精美活动预置模板，可以从活动模板直接创建活动，减少活动配置和界面设计工作量，包含讲座类、征集类、打卡类、答题类、问卷采集类多种模板。</w:t>
            </w:r>
          </w:p>
        </w:tc>
      </w:tr>
      <w:tr>
        <w:tc>
          <w:tcPr>
            <w:tcW w:type="dxa" w:w="2769"/>
          </w:tcPr>
          <w:p/>
        </w:tc>
        <w:tc>
          <w:tcPr>
            <w:tcW w:type="dxa" w:w="2769"/>
          </w:tcPr>
          <w:p>
            <w:pPr>
              <w:pStyle w:val="null3"/>
            </w:pPr>
            <w:r>
              <w:rPr/>
              <w:t>70</w:t>
            </w:r>
          </w:p>
        </w:tc>
        <w:tc>
          <w:tcPr>
            <w:tcW w:type="dxa" w:w="2769"/>
          </w:tcPr>
          <w:p>
            <w:pPr>
              <w:pStyle w:val="null3"/>
            </w:pPr>
            <w:r>
              <w:rPr/>
              <w:t>定时发布：支持指定一个时间自动发布活动。</w:t>
            </w:r>
          </w:p>
        </w:tc>
      </w:tr>
      <w:tr>
        <w:tc>
          <w:tcPr>
            <w:tcW w:type="dxa" w:w="2769"/>
          </w:tcPr>
          <w:p/>
        </w:tc>
        <w:tc>
          <w:tcPr>
            <w:tcW w:type="dxa" w:w="2769"/>
          </w:tcPr>
          <w:p>
            <w:pPr>
              <w:pStyle w:val="null3"/>
            </w:pPr>
            <w:r>
              <w:rPr/>
              <w:t>71</w:t>
            </w:r>
          </w:p>
        </w:tc>
        <w:tc>
          <w:tcPr>
            <w:tcW w:type="dxa" w:w="2769"/>
          </w:tcPr>
          <w:p>
            <w:pPr>
              <w:pStyle w:val="null3"/>
            </w:pPr>
            <w:r>
              <w:rPr/>
              <w:t>活动提醒：支持为选定范围的用户发送活动通知，提醒用户参与活动。</w:t>
            </w:r>
          </w:p>
        </w:tc>
      </w:tr>
      <w:tr>
        <w:tc>
          <w:tcPr>
            <w:tcW w:type="dxa" w:w="2769"/>
          </w:tcPr>
          <w:p/>
        </w:tc>
        <w:tc>
          <w:tcPr>
            <w:tcW w:type="dxa" w:w="2769"/>
          </w:tcPr>
          <w:p>
            <w:pPr>
              <w:pStyle w:val="null3"/>
            </w:pPr>
            <w:r>
              <w:rPr/>
              <w:t>72</w:t>
            </w:r>
          </w:p>
        </w:tc>
        <w:tc>
          <w:tcPr>
            <w:tcW w:type="dxa" w:w="2769"/>
          </w:tcPr>
          <w:p>
            <w:pPr>
              <w:pStyle w:val="null3"/>
            </w:pPr>
            <w:r>
              <w:rPr/>
              <w:t>作品征集：支持设置征集规则和作品投票规则，可设置需提交的作品格式，提交份数、投票时间、投票规则等，采集完成后支持多环节评审，每次评审支持审核和专家评分，评选出最佳作品，并支持颁发获奖证书。</w:t>
            </w:r>
          </w:p>
        </w:tc>
      </w:tr>
      <w:tr>
        <w:tc>
          <w:tcPr>
            <w:tcW w:type="dxa" w:w="2769"/>
          </w:tcPr>
          <w:p/>
        </w:tc>
        <w:tc>
          <w:tcPr>
            <w:tcW w:type="dxa" w:w="2769"/>
          </w:tcPr>
          <w:p>
            <w:pPr>
              <w:pStyle w:val="null3"/>
            </w:pPr>
            <w:r>
              <w:rPr/>
              <w:t>73</w:t>
            </w:r>
          </w:p>
        </w:tc>
        <w:tc>
          <w:tcPr>
            <w:tcW w:type="dxa" w:w="2769"/>
          </w:tcPr>
          <w:p>
            <w:pPr>
              <w:pStyle w:val="null3"/>
            </w:pPr>
            <w:r>
              <w:rPr/>
              <w:t>知识竞答：支持创建在线答题竞赛类活动，提供多种类型题库直接使用。</w:t>
            </w:r>
          </w:p>
        </w:tc>
      </w:tr>
      <w:tr>
        <w:tc>
          <w:tcPr>
            <w:tcW w:type="dxa" w:w="2769"/>
          </w:tcPr>
          <w:p/>
        </w:tc>
        <w:tc>
          <w:tcPr>
            <w:tcW w:type="dxa" w:w="2769"/>
          </w:tcPr>
          <w:p>
            <w:pPr>
              <w:pStyle w:val="null3"/>
            </w:pPr>
            <w:r>
              <w:rPr/>
              <w:t>74</w:t>
            </w:r>
          </w:p>
        </w:tc>
        <w:tc>
          <w:tcPr>
            <w:tcW w:type="dxa" w:w="2769"/>
          </w:tcPr>
          <w:p>
            <w:pPr>
              <w:pStyle w:val="null3"/>
            </w:pPr>
            <w:r>
              <w:rPr/>
              <w:t>报名规则：为防止用户报名过多活动造成浪费，可以限制用户最大报名活动数和最多申报活动数，也可以设置活动时间重叠校验，防止报名的活动同时进行的情况。</w:t>
            </w:r>
          </w:p>
        </w:tc>
      </w:tr>
      <w:tr>
        <w:tc>
          <w:tcPr>
            <w:tcW w:type="dxa" w:w="2769"/>
          </w:tcPr>
          <w:p/>
        </w:tc>
        <w:tc>
          <w:tcPr>
            <w:tcW w:type="dxa" w:w="2769"/>
          </w:tcPr>
          <w:p>
            <w:pPr>
              <w:pStyle w:val="null3"/>
            </w:pPr>
            <w:r>
              <w:rPr/>
              <w:t>75</w:t>
            </w:r>
          </w:p>
        </w:tc>
        <w:tc>
          <w:tcPr>
            <w:tcW w:type="dxa" w:w="2769"/>
          </w:tcPr>
          <w:p>
            <w:pPr>
              <w:pStyle w:val="null3"/>
            </w:pPr>
            <w:r>
              <w:rPr/>
              <w:t>黑名单规则：支持查看违约记录、管理黑名单人员，符合设定条件的人员会自动加入黑名单，也支持自动移除黑名单，减少管理员操作。</w:t>
            </w:r>
          </w:p>
        </w:tc>
      </w:tr>
      <w:tr>
        <w:tc>
          <w:tcPr>
            <w:tcW w:type="dxa" w:w="2769"/>
          </w:tcPr>
          <w:p/>
        </w:tc>
        <w:tc>
          <w:tcPr>
            <w:tcW w:type="dxa" w:w="2769"/>
          </w:tcPr>
          <w:p>
            <w:pPr>
              <w:pStyle w:val="null3"/>
            </w:pPr>
            <w:r>
              <w:rPr/>
              <w:t>76</w:t>
            </w:r>
          </w:p>
        </w:tc>
        <w:tc>
          <w:tcPr>
            <w:tcW w:type="dxa" w:w="2769"/>
          </w:tcPr>
          <w:p>
            <w:pPr>
              <w:pStyle w:val="null3"/>
            </w:pPr>
            <w:r>
              <w:rPr/>
              <w:t>自动通知：支持根据活动关键节点自动发送活动的通知，通知内容包括标题、内容、收件人，可动态插入活动相关字段，例如活动时间、名称、地点等。</w:t>
            </w:r>
          </w:p>
        </w:tc>
      </w:tr>
      <w:tr>
        <w:tc>
          <w:tcPr>
            <w:tcW w:type="dxa" w:w="2769"/>
          </w:tcPr>
          <w:p/>
        </w:tc>
        <w:tc>
          <w:tcPr>
            <w:tcW w:type="dxa" w:w="2769"/>
          </w:tcPr>
          <w:p>
            <w:pPr>
              <w:pStyle w:val="null3"/>
            </w:pPr>
            <w:r>
              <w:rPr/>
              <w:t>77</w:t>
            </w:r>
          </w:p>
        </w:tc>
        <w:tc>
          <w:tcPr>
            <w:tcW w:type="dxa" w:w="2769"/>
          </w:tcPr>
          <w:p>
            <w:pPr>
              <w:pStyle w:val="null3"/>
            </w:pPr>
            <w:r>
              <w:rPr/>
              <w:t>活动类型模板：允许用户根据活动类型对活动字段进行修改，支持拖拽调整顺序，删减字段、编辑标题说明、设置必填选填、设置分页标题，内置多个实用活动组件，支持新增输入字段，用于填写特殊的活动信息，减少开发量，包括选择、输入类型，支持新增应用，应用包含：前台地址、后台地址、接口推送等功能。</w:t>
            </w:r>
          </w:p>
        </w:tc>
      </w:tr>
      <w:tr>
        <w:tc>
          <w:tcPr>
            <w:tcW w:type="dxa" w:w="2769"/>
          </w:tcPr>
          <w:p/>
        </w:tc>
        <w:tc>
          <w:tcPr>
            <w:tcW w:type="dxa" w:w="2769"/>
          </w:tcPr>
          <w:p>
            <w:pPr>
              <w:pStyle w:val="null3"/>
            </w:pPr>
            <w:r>
              <w:rPr/>
              <w:t>78</w:t>
            </w:r>
          </w:p>
        </w:tc>
        <w:tc>
          <w:tcPr>
            <w:tcW w:type="dxa" w:w="2769"/>
          </w:tcPr>
          <w:p>
            <w:pPr>
              <w:pStyle w:val="null3"/>
            </w:pPr>
            <w:r>
              <w:rPr/>
              <w:t>报名审核：支持报名审批机制，用户提交报名申请，活动管理员审批是否可以成功报名，审批通过自动发通知告知用户报名成功；已报名用户也可以直接删除或改为审核不通过。</w:t>
            </w:r>
          </w:p>
        </w:tc>
      </w:tr>
      <w:tr>
        <w:tc>
          <w:tcPr>
            <w:tcW w:type="dxa" w:w="2769"/>
          </w:tcPr>
          <w:p/>
        </w:tc>
        <w:tc>
          <w:tcPr>
            <w:tcW w:type="dxa" w:w="2769"/>
          </w:tcPr>
          <w:p>
            <w:pPr>
              <w:pStyle w:val="null3"/>
            </w:pPr>
            <w:r>
              <w:rPr/>
              <w:t>79</w:t>
            </w:r>
          </w:p>
        </w:tc>
        <w:tc>
          <w:tcPr>
            <w:tcW w:type="dxa" w:w="2769"/>
          </w:tcPr>
          <w:p>
            <w:pPr>
              <w:pStyle w:val="null3"/>
            </w:pPr>
            <w:r>
              <w:rPr/>
              <w:t>报名填报信：报名填报信息展示在报名名单的列表中，一个界面展示所有的字段，支持设置隐藏字段、冻结常用字段、直接在线预览用户提交的文档和视频内容。</w:t>
            </w:r>
          </w:p>
        </w:tc>
      </w:tr>
      <w:tr>
        <w:tc>
          <w:tcPr>
            <w:tcW w:type="dxa" w:w="2769"/>
          </w:tcPr>
          <w:p/>
        </w:tc>
        <w:tc>
          <w:tcPr>
            <w:tcW w:type="dxa" w:w="2769"/>
          </w:tcPr>
          <w:p>
            <w:pPr>
              <w:pStyle w:val="null3"/>
            </w:pPr>
            <w:r>
              <w:rPr/>
              <w:t>80</w:t>
            </w:r>
          </w:p>
        </w:tc>
        <w:tc>
          <w:tcPr>
            <w:tcW w:type="dxa" w:w="2769"/>
          </w:tcPr>
          <w:p>
            <w:pPr>
              <w:pStyle w:val="null3"/>
            </w:pPr>
            <w:r>
              <w:rPr/>
              <w:t>报名名单管理：支持对已报名学生发放信息采集和变更通知，实现对报名时填写字段的订正修改，支持批量导入用户，按部门选择并导入用户。</w:t>
            </w:r>
          </w:p>
        </w:tc>
      </w:tr>
      <w:tr>
        <w:tc>
          <w:tcPr>
            <w:tcW w:type="dxa" w:w="2769"/>
          </w:tcPr>
          <w:p/>
        </w:tc>
        <w:tc>
          <w:tcPr>
            <w:tcW w:type="dxa" w:w="2769"/>
          </w:tcPr>
          <w:p>
            <w:pPr>
              <w:pStyle w:val="null3"/>
            </w:pPr>
            <w:r>
              <w:rPr/>
              <w:t>81</w:t>
            </w:r>
          </w:p>
        </w:tc>
        <w:tc>
          <w:tcPr>
            <w:tcW w:type="dxa" w:w="2769"/>
          </w:tcPr>
          <w:p>
            <w:pPr>
              <w:pStyle w:val="null3"/>
            </w:pPr>
            <w:r>
              <w:rPr/>
              <w:t>提前报名：把报名表单独发布给组织架构内部分人群，并设置接收比例，按照报名设置条件进行提前报名，支持管理员提前添加参与活动的人员，并且通知学生已成功报名活动。</w:t>
            </w:r>
          </w:p>
        </w:tc>
      </w:tr>
      <w:tr>
        <w:tc>
          <w:tcPr>
            <w:tcW w:type="dxa" w:w="2769"/>
          </w:tcPr>
          <w:p/>
        </w:tc>
        <w:tc>
          <w:tcPr>
            <w:tcW w:type="dxa" w:w="2769"/>
          </w:tcPr>
          <w:p>
            <w:pPr>
              <w:pStyle w:val="null3"/>
            </w:pPr>
            <w:r>
              <w:rPr/>
              <w:t>82</w:t>
            </w:r>
          </w:p>
        </w:tc>
        <w:tc>
          <w:tcPr>
            <w:tcW w:type="dxa" w:w="2769"/>
          </w:tcPr>
          <w:p>
            <w:pPr>
              <w:pStyle w:val="null3"/>
            </w:pPr>
            <w:r>
              <w:rPr/>
              <w:t>现场签到：支持灵活发放签到，包含时间限制签到、位置签到、扫码签到，根据使用情况可以随意组合使用，例如同时打开位置和扫码，实现必须在现场指定位置进行扫码的场景。</w:t>
            </w:r>
          </w:p>
        </w:tc>
      </w:tr>
      <w:tr>
        <w:tc>
          <w:tcPr>
            <w:tcW w:type="dxa" w:w="2769"/>
          </w:tcPr>
          <w:p/>
        </w:tc>
        <w:tc>
          <w:tcPr>
            <w:tcW w:type="dxa" w:w="2769"/>
          </w:tcPr>
          <w:p>
            <w:pPr>
              <w:pStyle w:val="null3"/>
            </w:pPr>
            <w:r>
              <w:rPr/>
              <w:t>83</w:t>
            </w:r>
          </w:p>
        </w:tc>
        <w:tc>
          <w:tcPr>
            <w:tcW w:type="dxa" w:w="2769"/>
          </w:tcPr>
          <w:p>
            <w:pPr>
              <w:pStyle w:val="null3"/>
            </w:pPr>
            <w:r>
              <w:rPr/>
              <w:t>签到码投屏：扫码签到的二维码支持定时刷新和投到大屏幕展示，投屏时支持动态显示已签到人员头像。</w:t>
            </w:r>
          </w:p>
        </w:tc>
      </w:tr>
      <w:tr>
        <w:tc>
          <w:tcPr>
            <w:tcW w:type="dxa" w:w="2769"/>
          </w:tcPr>
          <w:p/>
        </w:tc>
        <w:tc>
          <w:tcPr>
            <w:tcW w:type="dxa" w:w="2769"/>
          </w:tcPr>
          <w:p>
            <w:pPr>
              <w:pStyle w:val="null3"/>
            </w:pPr>
            <w:r>
              <w:rPr/>
              <w:t>84</w:t>
            </w:r>
          </w:p>
        </w:tc>
        <w:tc>
          <w:tcPr>
            <w:tcW w:type="dxa" w:w="2769"/>
          </w:tcPr>
          <w:p>
            <w:pPr>
              <w:pStyle w:val="null3"/>
            </w:pPr>
            <w:r>
              <w:rPr/>
              <w:t>重复签到：针对长期活动支持发放循环的签到，可设置按天、周、月自动发放，减少管理员操作量。</w:t>
            </w:r>
          </w:p>
        </w:tc>
      </w:tr>
      <w:tr>
        <w:tc>
          <w:tcPr>
            <w:tcW w:type="dxa" w:w="2769"/>
          </w:tcPr>
          <w:p/>
        </w:tc>
        <w:tc>
          <w:tcPr>
            <w:tcW w:type="dxa" w:w="2769"/>
          </w:tcPr>
          <w:p>
            <w:pPr>
              <w:pStyle w:val="null3"/>
            </w:pPr>
            <w:r>
              <w:rPr/>
              <w:t>85</w:t>
            </w:r>
          </w:p>
        </w:tc>
        <w:tc>
          <w:tcPr>
            <w:tcW w:type="dxa" w:w="2769"/>
          </w:tcPr>
          <w:p>
            <w:pPr>
              <w:pStyle w:val="null3"/>
            </w:pPr>
            <w:r>
              <w:rPr/>
              <w:t>签退管理：针对需要离场的活动，可以发放签退，和签到类似，签退也支持位置和扫码验证条件，支持设置必须签到后才能签退以及签到后一定时间才能签退，例如志愿服务类活动，需要至少服务2小时才能签退。</w:t>
            </w:r>
          </w:p>
        </w:tc>
      </w:tr>
      <w:tr>
        <w:tc>
          <w:tcPr>
            <w:tcW w:type="dxa" w:w="2769"/>
          </w:tcPr>
          <w:p/>
        </w:tc>
        <w:tc>
          <w:tcPr>
            <w:tcW w:type="dxa" w:w="2769"/>
          </w:tcPr>
          <w:p>
            <w:pPr>
              <w:pStyle w:val="null3"/>
            </w:pPr>
            <w:r>
              <w:rPr/>
              <w:t>86</w:t>
            </w:r>
          </w:p>
        </w:tc>
        <w:tc>
          <w:tcPr>
            <w:tcW w:type="dxa" w:w="2769"/>
          </w:tcPr>
          <w:p>
            <w:pPr>
              <w:pStyle w:val="null3"/>
            </w:pPr>
            <w:r>
              <w:rPr/>
              <w:t>扫码核销：支持管理者扫参与者出示的二维码完成签到核销。</w:t>
            </w:r>
          </w:p>
        </w:tc>
      </w:tr>
      <w:tr>
        <w:tc>
          <w:tcPr>
            <w:tcW w:type="dxa" w:w="2769"/>
          </w:tcPr>
          <w:p/>
        </w:tc>
        <w:tc>
          <w:tcPr>
            <w:tcW w:type="dxa" w:w="2769"/>
          </w:tcPr>
          <w:p>
            <w:pPr>
              <w:pStyle w:val="null3"/>
            </w:pPr>
            <w:r>
              <w:rPr/>
              <w:t>87</w:t>
            </w:r>
          </w:p>
        </w:tc>
        <w:tc>
          <w:tcPr>
            <w:tcW w:type="dxa" w:w="2769"/>
          </w:tcPr>
          <w:p>
            <w:pPr>
              <w:pStyle w:val="null3"/>
            </w:pPr>
            <w:r>
              <w:rPr/>
              <w:t>多个活动管理者：一个活动支持分配不同模块的权限。</w:t>
            </w:r>
          </w:p>
        </w:tc>
      </w:tr>
      <w:tr>
        <w:tc>
          <w:tcPr>
            <w:tcW w:type="dxa" w:w="2769"/>
          </w:tcPr>
          <w:p/>
        </w:tc>
        <w:tc>
          <w:tcPr>
            <w:tcW w:type="dxa" w:w="2769"/>
          </w:tcPr>
          <w:p>
            <w:pPr>
              <w:pStyle w:val="null3"/>
            </w:pPr>
            <w:r>
              <w:rPr/>
              <w:t>88</w:t>
            </w:r>
          </w:p>
        </w:tc>
        <w:tc>
          <w:tcPr>
            <w:tcW w:type="dxa" w:w="2769"/>
          </w:tcPr>
          <w:p>
            <w:pPr>
              <w:pStyle w:val="null3"/>
            </w:pPr>
            <w:r>
              <w:rPr/>
              <w:t>表单采集：根据活动需求发放问卷，可以随意添加表单字段，支持：单行输入、数字输入、时间日期输入、联系人输入、下拉选择输入、矩阵表格等，采集后的数据支持在线查看和批量导出，活动管理员可以查看到问卷提交人员以及未提交人员。</w:t>
            </w:r>
          </w:p>
        </w:tc>
      </w:tr>
      <w:tr>
        <w:tc>
          <w:tcPr>
            <w:tcW w:type="dxa" w:w="2769"/>
          </w:tcPr>
          <w:p/>
        </w:tc>
        <w:tc>
          <w:tcPr>
            <w:tcW w:type="dxa" w:w="2769"/>
          </w:tcPr>
          <w:p>
            <w:pPr>
              <w:pStyle w:val="null3"/>
            </w:pPr>
            <w:r>
              <w:rPr/>
              <w:t>89</w:t>
            </w:r>
          </w:p>
        </w:tc>
        <w:tc>
          <w:tcPr>
            <w:tcW w:type="dxa" w:w="2769"/>
          </w:tcPr>
          <w:p>
            <w:pPr>
              <w:pStyle w:val="null3"/>
            </w:pPr>
            <w:r>
              <w:rPr/>
              <w:t>考核管理：支持汇总查看参与人员的参与数据，包含签到数、签到率、请假数等，可以对参与人员进行合格与不合格的评审，支持手动评审，也支持自动评审，包含按名额评审、按比例评审、按得分评审的方式</w:t>
            </w:r>
          </w:p>
        </w:tc>
      </w:tr>
      <w:tr>
        <w:tc>
          <w:tcPr>
            <w:tcW w:type="dxa" w:w="2769"/>
          </w:tcPr>
          <w:p/>
        </w:tc>
        <w:tc>
          <w:tcPr>
            <w:tcW w:type="dxa" w:w="2769"/>
          </w:tcPr>
          <w:p>
            <w:pPr>
              <w:pStyle w:val="null3"/>
            </w:pPr>
            <w:r>
              <w:rPr/>
              <w:t>90</w:t>
            </w:r>
          </w:p>
        </w:tc>
        <w:tc>
          <w:tcPr>
            <w:tcW w:type="dxa" w:w="2769"/>
          </w:tcPr>
          <w:p>
            <w:pPr>
              <w:pStyle w:val="null3"/>
            </w:pPr>
            <w:r>
              <w:rPr/>
              <w:t>证书管理：支持设置活动证书，通过拖拽的形式增减字段以及背景图、插图、文本，可以设置文字大小、字体、粗细、排版等，对于考核合格参与者可以自动发放证书，也可以管理员手动发放证书，已发放的证书支持撤回。</w:t>
            </w:r>
          </w:p>
        </w:tc>
      </w:tr>
      <w:tr>
        <w:tc>
          <w:tcPr>
            <w:tcW w:type="dxa" w:w="2769"/>
          </w:tcPr>
          <w:p/>
        </w:tc>
        <w:tc>
          <w:tcPr>
            <w:tcW w:type="dxa" w:w="2769"/>
          </w:tcPr>
          <w:p>
            <w:pPr>
              <w:pStyle w:val="null3"/>
            </w:pPr>
            <w:r>
              <w:rPr/>
              <w:t>91</w:t>
            </w:r>
          </w:p>
        </w:tc>
        <w:tc>
          <w:tcPr>
            <w:tcW w:type="dxa" w:w="2769"/>
          </w:tcPr>
          <w:p>
            <w:pPr>
              <w:pStyle w:val="null3"/>
            </w:pPr>
            <w:r>
              <w:rPr/>
              <w:t>活动信息修改：活动管理员可以修改活动设置，包含活动名称、封面、时间、报名设置等。</w:t>
            </w:r>
          </w:p>
        </w:tc>
      </w:tr>
      <w:tr>
        <w:tc>
          <w:tcPr>
            <w:tcW w:type="dxa" w:w="2769"/>
          </w:tcPr>
          <w:p/>
        </w:tc>
        <w:tc>
          <w:tcPr>
            <w:tcW w:type="dxa" w:w="2769"/>
          </w:tcPr>
          <w:p>
            <w:pPr>
              <w:pStyle w:val="null3"/>
            </w:pPr>
            <w:r>
              <w:rPr/>
              <w:t>92</w:t>
            </w:r>
          </w:p>
        </w:tc>
        <w:tc>
          <w:tcPr>
            <w:tcW w:type="dxa" w:w="2769"/>
          </w:tcPr>
          <w:p>
            <w:pPr>
              <w:pStyle w:val="null3"/>
            </w:pPr>
            <w:r>
              <w:rPr/>
              <w:t>页面配置：支持自定义配置活动展示页面，含活动地图、活动信息及介绍、活动数据、推荐活动等，可以通过拖拽形式改变页面内容位置，可以新增删减模块，可以再次添加活动页面展示内容，内容包含图文混排的文章、视频、文档等。</w:t>
            </w:r>
          </w:p>
        </w:tc>
      </w:tr>
      <w:tr>
        <w:tc>
          <w:tcPr>
            <w:tcW w:type="dxa" w:w="2769"/>
          </w:tcPr>
          <w:p/>
        </w:tc>
        <w:tc>
          <w:tcPr>
            <w:tcW w:type="dxa" w:w="2769"/>
          </w:tcPr>
          <w:p>
            <w:pPr>
              <w:pStyle w:val="null3"/>
            </w:pPr>
            <w:r>
              <w:rPr/>
              <w:t>93</w:t>
            </w:r>
          </w:p>
        </w:tc>
        <w:tc>
          <w:tcPr>
            <w:tcW w:type="dxa" w:w="2769"/>
          </w:tcPr>
          <w:p>
            <w:pPr>
              <w:pStyle w:val="null3"/>
            </w:pPr>
            <w:r>
              <w:rPr/>
              <w:t>服务应用可实现精细化管理，应用功能菜单按钮、数据权限、字段权限、操作权限的分级授权和管控。同时提供业务管理后台封装，可将应用按照管理需求进行封装，形成业务管理后台。</w:t>
            </w:r>
          </w:p>
        </w:tc>
      </w:tr>
      <w:tr>
        <w:tc>
          <w:tcPr>
            <w:tcW w:type="dxa" w:w="2769"/>
          </w:tcPr>
          <w:p/>
        </w:tc>
        <w:tc>
          <w:tcPr>
            <w:tcW w:type="dxa" w:w="2769"/>
          </w:tcPr>
          <w:p>
            <w:pPr>
              <w:pStyle w:val="null3"/>
            </w:pPr>
            <w:r>
              <w:rPr/>
              <w:t>94</w:t>
            </w:r>
          </w:p>
        </w:tc>
        <w:tc>
          <w:tcPr>
            <w:tcW w:type="dxa" w:w="2769"/>
          </w:tcPr>
          <w:p>
            <w:pPr>
              <w:pStyle w:val="null3"/>
            </w:pPr>
            <w:r>
              <w:rPr/>
              <w:t>支持业务管理后台配置：需支持按照角色封装不同的管理后台，如学工管理后台、人事管理后台、请销假管理后台等，支持自定义后台顶部菜单、左侧导航。</w:t>
            </w:r>
          </w:p>
        </w:tc>
      </w:tr>
      <w:tr>
        <w:tc>
          <w:tcPr>
            <w:tcW w:type="dxa" w:w="2769"/>
          </w:tcPr>
          <w:p/>
        </w:tc>
        <w:tc>
          <w:tcPr>
            <w:tcW w:type="dxa" w:w="2769"/>
          </w:tcPr>
          <w:p>
            <w:pPr>
              <w:pStyle w:val="null3"/>
            </w:pPr>
            <w:r>
              <w:rPr/>
              <w:t>95</w:t>
            </w:r>
          </w:p>
        </w:tc>
        <w:tc>
          <w:tcPr>
            <w:tcW w:type="dxa" w:w="2769"/>
          </w:tcPr>
          <w:p>
            <w:pPr>
              <w:pStyle w:val="null3"/>
            </w:pPr>
            <w:r>
              <w:rPr/>
              <w:t>支持配置业务管理后台的的菜单样式，包括：logo、菜单背景颜色、背景图、字体颜色等，支持配置业务管理后台平台的banner图。</w:t>
            </w:r>
          </w:p>
        </w:tc>
      </w:tr>
      <w:tr>
        <w:tc>
          <w:tcPr>
            <w:tcW w:type="dxa" w:w="2769"/>
          </w:tcPr>
          <w:p/>
        </w:tc>
        <w:tc>
          <w:tcPr>
            <w:tcW w:type="dxa" w:w="2769"/>
          </w:tcPr>
          <w:p>
            <w:pPr>
              <w:pStyle w:val="null3"/>
            </w:pPr>
            <w:r>
              <w:rPr/>
              <w:t>96</w:t>
            </w:r>
          </w:p>
        </w:tc>
        <w:tc>
          <w:tcPr>
            <w:tcW w:type="dxa" w:w="2769"/>
          </w:tcPr>
          <w:p>
            <w:pPr>
              <w:pStyle w:val="null3"/>
            </w:pPr>
            <w:r>
              <w:rPr/>
              <w:t>业务管理后台可按照角色进行功能导航授权，以满足不同角色管理权限细分的要求。</w:t>
            </w:r>
          </w:p>
        </w:tc>
      </w:tr>
      <w:tr>
        <w:tc>
          <w:tcPr>
            <w:tcW w:type="dxa" w:w="2769"/>
          </w:tcPr>
          <w:p/>
        </w:tc>
        <w:tc>
          <w:tcPr>
            <w:tcW w:type="dxa" w:w="2769"/>
          </w:tcPr>
          <w:p>
            <w:pPr>
              <w:pStyle w:val="null3"/>
            </w:pPr>
            <w:r>
              <w:rPr/>
              <w:t>97</w:t>
            </w:r>
          </w:p>
        </w:tc>
        <w:tc>
          <w:tcPr>
            <w:tcW w:type="dxa" w:w="2769"/>
          </w:tcPr>
          <w:p>
            <w:pPr>
              <w:pStyle w:val="null3"/>
            </w:pPr>
            <w:r>
              <w:rPr/>
              <w:t>业务管理后台的菜单支持多级模式，可自定义一级菜单、二级菜单等，支持菜单排序。</w:t>
            </w:r>
          </w:p>
        </w:tc>
      </w:tr>
      <w:tr>
        <w:tc>
          <w:tcPr>
            <w:tcW w:type="dxa" w:w="2769"/>
          </w:tcPr>
          <w:p/>
        </w:tc>
        <w:tc>
          <w:tcPr>
            <w:tcW w:type="dxa" w:w="2769"/>
          </w:tcPr>
          <w:p>
            <w:pPr>
              <w:pStyle w:val="null3"/>
            </w:pPr>
            <w:r>
              <w:rPr/>
              <w:t>98</w:t>
            </w:r>
          </w:p>
        </w:tc>
        <w:tc>
          <w:tcPr>
            <w:tcW w:type="dxa" w:w="2769"/>
          </w:tcPr>
          <w:p>
            <w:pPr>
              <w:pStyle w:val="null3"/>
            </w:pPr>
            <w:r>
              <w:rPr/>
              <w:t>功能菜单可从服务中台中进行前后台应用添加。</w:t>
            </w:r>
          </w:p>
        </w:tc>
      </w:tr>
      <w:tr>
        <w:tc>
          <w:tcPr>
            <w:tcW w:type="dxa" w:w="2769"/>
          </w:tcPr>
          <w:p/>
        </w:tc>
        <w:tc>
          <w:tcPr>
            <w:tcW w:type="dxa" w:w="2769"/>
          </w:tcPr>
          <w:p>
            <w:pPr>
              <w:pStyle w:val="null3"/>
            </w:pPr>
            <w:r>
              <w:rPr/>
              <w:t>99</w:t>
            </w:r>
          </w:p>
        </w:tc>
        <w:tc>
          <w:tcPr>
            <w:tcW w:type="dxa" w:w="2769"/>
          </w:tcPr>
          <w:p>
            <w:pPr>
              <w:pStyle w:val="null3"/>
            </w:pPr>
            <w:r>
              <w:rPr/>
              <w:t>服务周期内包含不超过50个微应用建设，需协作学校进行业务需求调研、分析、细化及服务搭建。</w:t>
            </w:r>
          </w:p>
        </w:tc>
      </w:tr>
      <w:tr>
        <w:tc>
          <w:tcPr>
            <w:tcW w:type="dxa" w:w="2769"/>
          </w:tcPr>
          <w:p/>
        </w:tc>
        <w:tc>
          <w:tcPr>
            <w:tcW w:type="dxa" w:w="2769"/>
          </w:tcPr>
          <w:p>
            <w:pPr>
              <w:pStyle w:val="null3"/>
            </w:pPr>
            <w:r>
              <w:rPr/>
              <w:t>100</w:t>
            </w:r>
          </w:p>
        </w:tc>
        <w:tc>
          <w:tcPr>
            <w:tcW w:type="dxa" w:w="2769"/>
          </w:tcPr>
          <w:p>
            <w:pPr>
              <w:pStyle w:val="null3"/>
            </w:pPr>
            <w:r>
              <w:rPr/>
              <w:t>在服务期内免费为学校提供智慧延大APP版本升级，免费提供版本改版1次。根据学校国产化推进要求，免费进行国产化操作系统的适配，并保证业务系统的正常运行。</w:t>
            </w:r>
          </w:p>
        </w:tc>
      </w:tr>
      <w:tr>
        <w:tc>
          <w:tcPr>
            <w:tcW w:type="dxa" w:w="2769"/>
          </w:tcPr>
          <w:p/>
        </w:tc>
        <w:tc>
          <w:tcPr>
            <w:tcW w:type="dxa" w:w="2769"/>
          </w:tcPr>
          <w:p>
            <w:pPr>
              <w:pStyle w:val="null3"/>
            </w:pPr>
            <w:r>
              <w:rPr/>
              <w:t>101</w:t>
            </w:r>
          </w:p>
        </w:tc>
        <w:tc>
          <w:tcPr>
            <w:tcW w:type="dxa" w:w="2769"/>
          </w:tcPr>
          <w:p>
            <w:pPr>
              <w:pStyle w:val="null3"/>
            </w:pPr>
            <w:r>
              <w:rPr/>
              <w:t>培训：根据采购人要求，提供线下培训和远程指导相结合的培训工作。培训教师、培训教材、培训内容由成交供应商负责。培训要保证被培训的技术人员能熟练掌握对系统进行运行、管理、诊断、维护和管理，其他人员能熟练掌握对系统的操作和使用，培训时间累计不少于10人天。</w:t>
            </w:r>
          </w:p>
        </w:tc>
      </w:tr>
      <w:tr>
        <w:tc>
          <w:tcPr>
            <w:tcW w:type="dxa" w:w="2769"/>
          </w:tcPr>
          <w:p/>
        </w:tc>
        <w:tc>
          <w:tcPr>
            <w:tcW w:type="dxa" w:w="2769"/>
          </w:tcPr>
          <w:p>
            <w:pPr>
              <w:pStyle w:val="null3"/>
            </w:pPr>
            <w:r>
              <w:rPr/>
              <w:t>102</w:t>
            </w:r>
          </w:p>
        </w:tc>
        <w:tc>
          <w:tcPr>
            <w:tcW w:type="dxa" w:w="2769"/>
          </w:tcPr>
          <w:p>
            <w:pPr>
              <w:pStyle w:val="null3"/>
            </w:pPr>
            <w:r>
              <w:rPr/>
              <w:t>售后服务：提供7×24小时技术支持服务，在接到技术支持要求时，为系统使用人员提供如何使用系统的咨询。提供热线电话、E-mail、传真、网站等途径，随时接受建设单位提出的各种技术问题，并在24小时内提出解决方案。</w:t>
            </w:r>
          </w:p>
        </w:tc>
      </w:tr>
    </w:tbl>
    <w:p>
      <w:pPr>
        <w:pStyle w:val="null3"/>
      </w:pPr>
      <w:r>
        <w:rPr/>
        <w:t>标的名称：党建学习平台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搭建专属党建门户网站，支持门户可编辑性要求，支持随时根据需求对已建网站进行修改编辑，可视化页面设计后台，拖拽式页面布局。</w:t>
            </w:r>
          </w:p>
        </w:tc>
      </w:tr>
      <w:tr>
        <w:tc>
          <w:tcPr>
            <w:tcW w:type="dxa" w:w="2769"/>
          </w:tcPr>
          <w:p/>
        </w:tc>
        <w:tc>
          <w:tcPr>
            <w:tcW w:type="dxa" w:w="2769"/>
          </w:tcPr>
          <w:p>
            <w:pPr>
              <w:pStyle w:val="null3"/>
            </w:pPr>
            <w:r>
              <w:rPr/>
              <w:t>2</w:t>
            </w:r>
          </w:p>
        </w:tc>
        <w:tc>
          <w:tcPr>
            <w:tcW w:type="dxa" w:w="2769"/>
          </w:tcPr>
          <w:p>
            <w:pPr>
              <w:pStyle w:val="null3"/>
            </w:pPr>
            <w:r>
              <w:rPr/>
              <w:t>提供多种网页模板，选择模板后可快速生成新网站。</w:t>
            </w:r>
          </w:p>
        </w:tc>
      </w:tr>
      <w:tr>
        <w:tc>
          <w:tcPr>
            <w:tcW w:type="dxa" w:w="2769"/>
          </w:tcPr>
          <w:p/>
        </w:tc>
        <w:tc>
          <w:tcPr>
            <w:tcW w:type="dxa" w:w="2769"/>
          </w:tcPr>
          <w:p>
            <w:pPr>
              <w:pStyle w:val="null3"/>
            </w:pPr>
            <w:r>
              <w:rPr/>
              <w:t>3</w:t>
            </w:r>
          </w:p>
        </w:tc>
        <w:tc>
          <w:tcPr>
            <w:tcW w:type="dxa" w:w="2769"/>
          </w:tcPr>
          <w:p>
            <w:pPr>
              <w:pStyle w:val="null3"/>
            </w:pPr>
            <w:r>
              <w:rPr/>
              <w:t>支持添加和设置应用基础模块，包含图标列表、图文列表、轮播图、多图列表、日期、插件、IP、地图等多种基础模块用以生成网站应用模块和页面，满足绝大部分网站内容的展现形式。</w:t>
            </w:r>
          </w:p>
        </w:tc>
      </w:tr>
      <w:tr>
        <w:tc>
          <w:tcPr>
            <w:tcW w:type="dxa" w:w="2769"/>
          </w:tcPr>
          <w:p/>
        </w:tc>
        <w:tc>
          <w:tcPr>
            <w:tcW w:type="dxa" w:w="2769"/>
          </w:tcPr>
          <w:p>
            <w:pPr>
              <w:pStyle w:val="null3"/>
            </w:pPr>
            <w:r>
              <w:rPr/>
              <w:t>4</w:t>
            </w:r>
          </w:p>
        </w:tc>
        <w:tc>
          <w:tcPr>
            <w:tcW w:type="dxa" w:w="2769"/>
          </w:tcPr>
          <w:p>
            <w:pPr>
              <w:pStyle w:val="null3"/>
            </w:pPr>
            <w:r>
              <w:rPr/>
              <w:t>支持文本、按钮、图片、视频、天气、搜索条、日期、IP基础模块支持设置颜色、形状、粗细等自定义样式。</w:t>
            </w:r>
          </w:p>
        </w:tc>
      </w:tr>
      <w:tr>
        <w:tc>
          <w:tcPr>
            <w:tcW w:type="dxa" w:w="2769"/>
          </w:tcPr>
          <w:p/>
        </w:tc>
        <w:tc>
          <w:tcPr>
            <w:tcW w:type="dxa" w:w="2769"/>
          </w:tcPr>
          <w:p>
            <w:pPr>
              <w:pStyle w:val="null3"/>
            </w:pPr>
            <w:r>
              <w:rPr/>
              <w:t>5</w:t>
            </w:r>
          </w:p>
        </w:tc>
        <w:tc>
          <w:tcPr>
            <w:tcW w:type="dxa" w:w="2769"/>
          </w:tcPr>
          <w:p>
            <w:pPr>
              <w:pStyle w:val="null3"/>
            </w:pPr>
            <w:r>
              <w:rPr/>
              <w:t>支持设置全局模块，包含头部、全局轮播图、底部、飘窗、快捷入口等模块，支持隐藏或开启全局模块。</w:t>
            </w:r>
          </w:p>
        </w:tc>
      </w:tr>
      <w:tr>
        <w:tc>
          <w:tcPr>
            <w:tcW w:type="dxa" w:w="2769"/>
          </w:tcPr>
          <w:p/>
        </w:tc>
        <w:tc>
          <w:tcPr>
            <w:tcW w:type="dxa" w:w="2769"/>
          </w:tcPr>
          <w:p>
            <w:pPr>
              <w:pStyle w:val="null3"/>
            </w:pPr>
            <w:r>
              <w:rPr/>
              <w:t>6</w:t>
            </w:r>
          </w:p>
        </w:tc>
        <w:tc>
          <w:tcPr>
            <w:tcW w:type="dxa" w:w="2769"/>
          </w:tcPr>
          <w:p>
            <w:pPr>
              <w:pStyle w:val="null3"/>
            </w:pPr>
            <w:r>
              <w:rPr/>
              <w:t>支持调整所有应用模块的布局及排列，更新内容或删除模块，快速更新页面排版。</w:t>
            </w:r>
          </w:p>
        </w:tc>
      </w:tr>
      <w:tr>
        <w:tc>
          <w:tcPr>
            <w:tcW w:type="dxa" w:w="2769"/>
          </w:tcPr>
          <w:p/>
        </w:tc>
        <w:tc>
          <w:tcPr>
            <w:tcW w:type="dxa" w:w="2769"/>
          </w:tcPr>
          <w:p>
            <w:pPr>
              <w:pStyle w:val="null3"/>
            </w:pPr>
            <w:r>
              <w:rPr/>
              <w:t>7</w:t>
            </w:r>
          </w:p>
        </w:tc>
        <w:tc>
          <w:tcPr>
            <w:tcW w:type="dxa" w:w="2769"/>
          </w:tcPr>
          <w:p>
            <w:pPr>
              <w:pStyle w:val="null3"/>
            </w:pPr>
            <w:r>
              <w:rPr/>
              <w:t>支持网站内增加、修改、删除新页面。新页面包含所有的编辑功能，可拖拽式编辑的页面、内容页、侧边导航页等，建设多个新页面可快速实现专业、学科分页、分站点等需求。</w:t>
            </w:r>
          </w:p>
        </w:tc>
      </w:tr>
      <w:tr>
        <w:tc>
          <w:tcPr>
            <w:tcW w:type="dxa" w:w="2769"/>
          </w:tcPr>
          <w:p/>
        </w:tc>
        <w:tc>
          <w:tcPr>
            <w:tcW w:type="dxa" w:w="2769"/>
          </w:tcPr>
          <w:p>
            <w:pPr>
              <w:pStyle w:val="null3"/>
            </w:pPr>
            <w:r>
              <w:rPr/>
              <w:t>8</w:t>
            </w:r>
          </w:p>
        </w:tc>
        <w:tc>
          <w:tcPr>
            <w:tcW w:type="dxa" w:w="2769"/>
          </w:tcPr>
          <w:p>
            <w:pPr>
              <w:pStyle w:val="null3"/>
            </w:pPr>
            <w:r>
              <w:rPr/>
              <w:t>支持设置网站IP白名单，支持查看和导出网站操作记录，支持数据敏感词审核。</w:t>
            </w:r>
          </w:p>
        </w:tc>
      </w:tr>
      <w:tr>
        <w:tc>
          <w:tcPr>
            <w:tcW w:type="dxa" w:w="2769"/>
          </w:tcPr>
          <w:p/>
        </w:tc>
        <w:tc>
          <w:tcPr>
            <w:tcW w:type="dxa" w:w="2769"/>
          </w:tcPr>
          <w:p>
            <w:pPr>
              <w:pStyle w:val="null3"/>
            </w:pPr>
            <w:r>
              <w:rPr/>
              <w:t>9</w:t>
            </w:r>
          </w:p>
        </w:tc>
        <w:tc>
          <w:tcPr>
            <w:tcW w:type="dxa" w:w="2769"/>
          </w:tcPr>
          <w:p>
            <w:pPr>
              <w:pStyle w:val="null3"/>
            </w:pPr>
            <w:r>
              <w:rPr/>
              <w:t>建立党建图书资源库，提供不少于1500册畅销党建图书，图书每日更新。图书分类需包含、党员教育、改革开放、党史研究、干部教育、历史军事、政治法律、领导人传记等多个分类展示。</w:t>
            </w:r>
          </w:p>
        </w:tc>
      </w:tr>
      <w:tr>
        <w:tc>
          <w:tcPr>
            <w:tcW w:type="dxa" w:w="2769"/>
          </w:tcPr>
          <w:p/>
        </w:tc>
        <w:tc>
          <w:tcPr>
            <w:tcW w:type="dxa" w:w="2769"/>
          </w:tcPr>
          <w:p>
            <w:pPr>
              <w:pStyle w:val="null3"/>
            </w:pPr>
            <w:r>
              <w:rPr/>
              <w:t>10</w:t>
            </w:r>
          </w:p>
        </w:tc>
        <w:tc>
          <w:tcPr>
            <w:tcW w:type="dxa" w:w="2769"/>
          </w:tcPr>
          <w:p>
            <w:pPr>
              <w:pStyle w:val="null3"/>
            </w:pPr>
            <w:r>
              <w:rPr/>
              <w:t>建立党建视频资源库，提供不少于5000集党建相关的红色视频资源，视频分类需包含党史纵横、风云人物、中外政治、国学经典、红色文化、一代一路、抗日时期、马列主义、哲学思想等多个分类展示。</w:t>
            </w:r>
          </w:p>
        </w:tc>
      </w:tr>
      <w:tr>
        <w:tc>
          <w:tcPr>
            <w:tcW w:type="dxa" w:w="2769"/>
          </w:tcPr>
          <w:p/>
        </w:tc>
        <w:tc>
          <w:tcPr>
            <w:tcW w:type="dxa" w:w="2769"/>
          </w:tcPr>
          <w:p>
            <w:pPr>
              <w:pStyle w:val="null3"/>
            </w:pPr>
            <w:r>
              <w:rPr/>
              <w:t>11</w:t>
            </w:r>
          </w:p>
        </w:tc>
        <w:tc>
          <w:tcPr>
            <w:tcW w:type="dxa" w:w="2769"/>
          </w:tcPr>
          <w:p>
            <w:pPr>
              <w:pStyle w:val="null3"/>
            </w:pPr>
            <w:r>
              <w:rPr/>
              <w:t>建立党建期刊资源库，提供不少于200种党政期刊，期刊分类需包含全国党刊、党校学报、党史研究等多个分类展示。</w:t>
            </w:r>
          </w:p>
        </w:tc>
      </w:tr>
      <w:tr>
        <w:tc>
          <w:tcPr>
            <w:tcW w:type="dxa" w:w="2769"/>
          </w:tcPr>
          <w:p>
            <w:pPr>
              <w:pStyle w:val="null3"/>
            </w:pPr>
            <w:r>
              <w:rPr/>
              <w:t>▲</w:t>
            </w:r>
          </w:p>
        </w:tc>
        <w:tc>
          <w:tcPr>
            <w:tcW w:type="dxa" w:w="2769"/>
          </w:tcPr>
          <w:p>
            <w:pPr>
              <w:pStyle w:val="null3"/>
            </w:pPr>
            <w:r>
              <w:rPr/>
              <w:t>12</w:t>
            </w:r>
          </w:p>
        </w:tc>
        <w:tc>
          <w:tcPr>
            <w:tcW w:type="dxa" w:w="2769"/>
          </w:tcPr>
          <w:p>
            <w:pPr>
              <w:pStyle w:val="null3"/>
            </w:pPr>
            <w:r>
              <w:rPr>
                <w:rFonts w:ascii="宋体" w:hAnsi="宋体" w:cs="宋体" w:eastAsia="宋体"/>
                <w:sz w:val="21"/>
              </w:rPr>
              <w:t>提供党建学习平台的计算机软件著作权登记证书。（需提供相关证明材料）</w:t>
            </w:r>
          </w:p>
        </w:tc>
      </w:tr>
      <w:tr>
        <w:tc>
          <w:tcPr>
            <w:tcW w:type="dxa" w:w="2769"/>
          </w:tcPr>
          <w:p>
            <w:pPr>
              <w:pStyle w:val="null3"/>
            </w:pPr>
            <w:r>
              <w:rPr/>
              <w:t>▲</w:t>
            </w:r>
          </w:p>
        </w:tc>
        <w:tc>
          <w:tcPr>
            <w:tcW w:type="dxa" w:w="2769"/>
          </w:tcPr>
          <w:p>
            <w:pPr>
              <w:pStyle w:val="null3"/>
            </w:pPr>
            <w:r>
              <w:rPr/>
              <w:t>13</w:t>
            </w:r>
          </w:p>
        </w:tc>
        <w:tc>
          <w:tcPr>
            <w:tcW w:type="dxa" w:w="2769"/>
          </w:tcPr>
          <w:p>
            <w:pPr>
              <w:pStyle w:val="null3"/>
            </w:pPr>
            <w:r>
              <w:rPr>
                <w:rFonts w:ascii="宋体" w:hAnsi="宋体" w:cs="宋体" w:eastAsia="宋体"/>
                <w:sz w:val="21"/>
              </w:rPr>
              <w:t>提供的党建类图书、党建类视频、党建类期刊必须取得著作权人的授权，没有版权问题。（提供有效证明原件扫描件，每个类别不少于</w:t>
            </w:r>
            <w:r>
              <w:rPr>
                <w:rFonts w:ascii="宋体" w:hAnsi="宋体" w:cs="宋体" w:eastAsia="宋体"/>
                <w:sz w:val="21"/>
              </w:rPr>
              <w:t>5份），所有知识产权、信息网络传播权纠纷由供货方承担责任</w:t>
            </w:r>
            <w:r>
              <w:rPr>
                <w:rFonts w:ascii="宋体" w:hAnsi="宋体" w:cs="宋体" w:eastAsia="宋体"/>
                <w:sz w:val="21"/>
              </w:rPr>
              <w:t>。</w:t>
            </w:r>
          </w:p>
        </w:tc>
      </w:tr>
      <w:tr>
        <w:tc>
          <w:tcPr>
            <w:tcW w:type="dxa" w:w="2769"/>
          </w:tcPr>
          <w:p>
            <w:pPr>
              <w:pStyle w:val="null3"/>
            </w:pPr>
            <w:r>
              <w:rPr/>
              <w:t>▲</w:t>
            </w:r>
          </w:p>
        </w:tc>
        <w:tc>
          <w:tcPr>
            <w:tcW w:type="dxa" w:w="2769"/>
          </w:tcPr>
          <w:p>
            <w:pPr>
              <w:pStyle w:val="null3"/>
            </w:pPr>
            <w:r>
              <w:rPr/>
              <w:t>14</w:t>
            </w:r>
          </w:p>
        </w:tc>
        <w:tc>
          <w:tcPr>
            <w:tcW w:type="dxa" w:w="2769"/>
          </w:tcPr>
          <w:p>
            <w:pPr>
              <w:pStyle w:val="null3"/>
            </w:pPr>
            <w:r>
              <w:rPr>
                <w:rFonts w:ascii="宋体" w:hAnsi="宋体" w:cs="宋体" w:eastAsia="宋体"/>
                <w:sz w:val="21"/>
              </w:rPr>
              <w:t>系统迁移：按照学校要求，完成系统迁移与适配。</w:t>
            </w:r>
          </w:p>
        </w:tc>
      </w:tr>
      <w:tr>
        <w:tc>
          <w:tcPr>
            <w:tcW w:type="dxa" w:w="2769"/>
          </w:tcPr>
          <w:p/>
        </w:tc>
        <w:tc>
          <w:tcPr>
            <w:tcW w:type="dxa" w:w="2769"/>
          </w:tcPr>
          <w:p>
            <w:pPr>
              <w:pStyle w:val="null3"/>
            </w:pPr>
            <w:r>
              <w:rPr/>
              <w:t>15</w:t>
            </w:r>
          </w:p>
        </w:tc>
        <w:tc>
          <w:tcPr>
            <w:tcW w:type="dxa" w:w="2769"/>
          </w:tcPr>
          <w:p>
            <w:pPr>
              <w:pStyle w:val="null3"/>
              <w:jc w:val="both"/>
            </w:pPr>
            <w:r>
              <w:rPr>
                <w:rFonts w:ascii="宋体" w:hAnsi="宋体" w:cs="宋体" w:eastAsia="宋体"/>
                <w:sz w:val="21"/>
              </w:rPr>
              <w:t>培训：在进行部署实施、运行、优化等阶段工作时，根据采购人要求，组织开展培训工作。培训教师、培训教材、培训内容由成交供应商负责。培训要保证被培训的技术人员能熟练掌握对系统进行运行、管理、诊断、维护和管理，其他人员能熟练掌握对系统的操作和使用。</w:t>
            </w:r>
          </w:p>
        </w:tc>
      </w:tr>
      <w:tr>
        <w:tc>
          <w:tcPr>
            <w:tcW w:type="dxa" w:w="2769"/>
          </w:tcPr>
          <w:p/>
        </w:tc>
        <w:tc>
          <w:tcPr>
            <w:tcW w:type="dxa" w:w="2769"/>
          </w:tcPr>
          <w:p>
            <w:pPr>
              <w:pStyle w:val="null3"/>
            </w:pPr>
            <w:r>
              <w:rPr/>
              <w:t>16</w:t>
            </w:r>
          </w:p>
        </w:tc>
        <w:tc>
          <w:tcPr>
            <w:tcW w:type="dxa" w:w="2769"/>
          </w:tcPr>
          <w:p>
            <w:pPr>
              <w:pStyle w:val="null3"/>
              <w:jc w:val="both"/>
            </w:pPr>
            <w:r>
              <w:rPr>
                <w:rFonts w:ascii="宋体" w:hAnsi="宋体" w:cs="宋体" w:eastAsia="宋体"/>
                <w:sz w:val="21"/>
              </w:rPr>
              <w:t>售后服务：提供</w:t>
            </w:r>
            <w:r>
              <w:rPr>
                <w:rFonts w:ascii="宋体" w:hAnsi="宋体" w:cs="宋体" w:eastAsia="宋体"/>
                <w:sz w:val="21"/>
              </w:rPr>
              <w:t>7×24小时技术支持服务，在接到技术支持要求时，为系统使用人员提供如何使用系统的咨询。提供热线电话、E-mail、传真、网站等途径，随时接受建设单位提出的各种技术问题，并在24小时内提出解决方案。</w:t>
            </w:r>
          </w:p>
        </w:tc>
      </w:tr>
    </w:tbl>
    <w:p>
      <w:pPr>
        <w:pStyle w:val="null3"/>
        <w:outlineLvl w:val="2"/>
      </w:pPr>
      <w:r>
        <w:rPr>
          <w:sz w:val="28"/>
          <w:b/>
        </w:rPr>
        <w:t>3.2.3人员配置要求</w:t>
      </w:r>
    </w:p>
    <w:p>
      <w:pPr>
        <w:pStyle w:val="null3"/>
      </w:pPr>
      <w:r>
        <w:rPr/>
        <w:t>采购包1：</w:t>
      </w:r>
    </w:p>
    <w:p>
      <w:pPr>
        <w:pStyle w:val="null3"/>
      </w:pPr>
      <w:r>
        <w:rPr/>
        <w:t>以采购文件的规定及合同约定为准。</w:t>
      </w:r>
    </w:p>
    <w:p>
      <w:pPr>
        <w:pStyle w:val="null3"/>
      </w:pPr>
      <w:r>
        <w:rPr/>
        <w:t>采购包2：</w:t>
      </w:r>
    </w:p>
    <w:p>
      <w:pPr>
        <w:pStyle w:val="null3"/>
      </w:pPr>
      <w:r>
        <w:rPr/>
        <w:t>以采购文件的规定及合同约定为准。</w:t>
      </w:r>
    </w:p>
    <w:p>
      <w:pPr>
        <w:pStyle w:val="null3"/>
        <w:outlineLvl w:val="2"/>
      </w:pPr>
      <w:r>
        <w:rPr>
          <w:sz w:val="28"/>
          <w:b/>
        </w:rPr>
        <w:t>3.2.4设施设备要求</w:t>
      </w:r>
    </w:p>
    <w:p>
      <w:pPr>
        <w:pStyle w:val="null3"/>
      </w:pPr>
      <w:r>
        <w:rPr/>
        <w:t>采购包1：</w:t>
      </w:r>
    </w:p>
    <w:p>
      <w:pPr>
        <w:pStyle w:val="null3"/>
      </w:pPr>
      <w:r>
        <w:rPr/>
        <w:t>以采购文件的规定及合同约定为准。</w:t>
      </w:r>
    </w:p>
    <w:p>
      <w:pPr>
        <w:pStyle w:val="null3"/>
      </w:pPr>
      <w:r>
        <w:rPr/>
        <w:t>采购包2：</w:t>
      </w:r>
    </w:p>
    <w:p>
      <w:pPr>
        <w:pStyle w:val="null3"/>
      </w:pPr>
      <w:r>
        <w:rPr/>
        <w:t>以采购文件的规定及合同约定为准。</w:t>
      </w:r>
    </w:p>
    <w:p>
      <w:pPr>
        <w:pStyle w:val="null3"/>
        <w:outlineLvl w:val="2"/>
      </w:pPr>
      <w:r>
        <w:rPr>
          <w:sz w:val="28"/>
          <w:b/>
        </w:rPr>
        <w:t>3.2.5其他要求</w:t>
      </w:r>
    </w:p>
    <w:p>
      <w:pPr>
        <w:pStyle w:val="null3"/>
      </w:pPr>
      <w:r>
        <w:rPr/>
        <w:t>采购包1：</w:t>
      </w:r>
    </w:p>
    <w:p>
      <w:pPr>
        <w:pStyle w:val="null3"/>
      </w:pPr>
      <w:r>
        <w:rPr/>
        <w:t>以采购文件的规定及合同约定为准。</w:t>
      </w:r>
    </w:p>
    <w:p>
      <w:pPr>
        <w:pStyle w:val="null3"/>
      </w:pPr>
      <w:r>
        <w:rPr/>
        <w:t>采购包2：</w:t>
      </w:r>
    </w:p>
    <w:p>
      <w:pPr>
        <w:pStyle w:val="null3"/>
      </w:pPr>
      <w:r>
        <w:rPr/>
        <w:t>以采购文件的规定及合同约定为准。</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合同签订之日起365日</w:t>
      </w:r>
    </w:p>
    <w:p>
      <w:pPr>
        <w:pStyle w:val="null3"/>
      </w:pPr>
      <w:r>
        <w:rPr/>
        <w:t>采购包2：</w:t>
      </w:r>
    </w:p>
    <w:p>
      <w:pPr>
        <w:pStyle w:val="null3"/>
      </w:pPr>
      <w:r>
        <w:rPr/>
        <w:t>合同签订之日起365日</w:t>
      </w:r>
    </w:p>
    <w:p>
      <w:pPr>
        <w:pStyle w:val="null3"/>
        <w:outlineLvl w:val="3"/>
      </w:pPr>
      <w:r>
        <w:rPr>
          <w:sz w:val="24"/>
          <w:b/>
        </w:rPr>
        <w:t>3.3.2服务地点</w:t>
      </w:r>
    </w:p>
    <w:p>
      <w:pPr>
        <w:pStyle w:val="null3"/>
      </w:pPr>
      <w:r>
        <w:rPr/>
        <w:t>采购包1：</w:t>
      </w:r>
    </w:p>
    <w:p>
      <w:pPr>
        <w:pStyle w:val="null3"/>
      </w:pPr>
      <w:r>
        <w:rPr/>
        <w:t>延安大学指定地点（校内）</w:t>
      </w:r>
    </w:p>
    <w:p>
      <w:pPr>
        <w:pStyle w:val="null3"/>
      </w:pPr>
      <w:r>
        <w:rPr/>
        <w:t>采购包2：</w:t>
      </w:r>
    </w:p>
    <w:p>
      <w:pPr>
        <w:pStyle w:val="null3"/>
      </w:pPr>
      <w:r>
        <w:rPr/>
        <w:t>延安大学指定地点（校内）</w:t>
      </w:r>
    </w:p>
    <w:p>
      <w:pPr>
        <w:pStyle w:val="null3"/>
        <w:outlineLvl w:val="3"/>
      </w:pPr>
      <w:r>
        <w:rPr>
          <w:sz w:val="24"/>
          <w:b/>
        </w:rPr>
        <w:t>3.3.3考核（验收）标准和方法</w:t>
      </w:r>
    </w:p>
    <w:p>
      <w:pPr>
        <w:pStyle w:val="null3"/>
      </w:pPr>
      <w:r>
        <w:rPr/>
        <w:t>采购包1：</w:t>
      </w:r>
    </w:p>
    <w:p>
      <w:pPr>
        <w:pStyle w:val="null3"/>
      </w:pPr>
      <w:r>
        <w:rPr/>
        <w:t>完成第一个月的网站监测服务，第一季度的互联网暴露面梳理服务及风险评估服务并提供第一个月的《网站监测报告》，第一季度《互联网暴露面梳理报告》《互联网暴露面梳理明细表》及《风险评估综合报告》《风险列表与处置计划表》等相关报告后进行项目初验，服务期结束后提供《网站监测报告》《漏洞预警通告周报》《安全运营双周报》《安全巡检季报》《互联网暴露面梳理报告》《互联网暴露面梳理明细表》《红队评估报告》《红队评估高危漏洞表》《密码安全运维报告》《钓鱼演练报告》《信息安全意识培训》《风险评估综合报告》《风险列表与处置计划表》及密码安全技术培训记录及培训PPT等其他资料进行项目终验。验收依据：1、合同文本、合同附件。2、国内相应的标准、规范。3、其他相关资料。</w:t>
      </w:r>
    </w:p>
    <w:p>
      <w:pPr>
        <w:pStyle w:val="null3"/>
      </w:pPr>
      <w:r>
        <w:rPr/>
        <w:t>采购包2：</w:t>
      </w:r>
    </w:p>
    <w:p>
      <w:pPr>
        <w:pStyle w:val="null3"/>
      </w:pPr>
      <w:r>
        <w:rPr/>
        <w:t>在本期项目的开发过程中和交付使用后，要求将各个阶段产生的全面、规范的成果和文档资料交付给采购方，需提供明确的交付清单。同时，成果和文档资料必须符合软件工程的相关要求。交付的成果和文档资料需要包括但不限于可运行的系统、定制开发的所有源代码、技术文档、管理文档、操作手册等。 验收依据： 1、合同文本、合同附件。 2、国内相应的标准、规范。 3、其他相关资料。</w:t>
      </w:r>
    </w:p>
    <w:p>
      <w:pPr>
        <w:pStyle w:val="null3"/>
        <w:outlineLvl w:val="3"/>
      </w:pPr>
      <w:r>
        <w:rPr>
          <w:sz w:val="24"/>
          <w:b/>
        </w:rPr>
        <w:t>3.3.4支付方式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w:t>
      </w:r>
      <w:r>
        <w:rPr/>
        <w:t xml:space="preserve"> ，达到付款条件起 </w:t>
      </w:r>
      <w:r>
        <w:rPr/>
        <w:t>30</w:t>
      </w:r>
      <w:r>
        <w:rPr/>
        <w:t xml:space="preserve"> 日内，支付合同总金额的 </w:t>
      </w:r>
      <w:r>
        <w:rPr/>
        <w:t>40.00</w:t>
      </w:r>
      <w:r>
        <w:rPr/>
        <w:t>%。</w:t>
      </w:r>
    </w:p>
    <w:p>
      <w:pPr>
        <w:pStyle w:val="null3"/>
      </w:pPr>
      <w:r>
        <w:rPr/>
        <w:t>采购包1：</w:t>
      </w:r>
      <w:r>
        <w:rPr/>
        <w:t xml:space="preserve"> 付款条件说明： </w:t>
      </w:r>
      <w:r>
        <w:rPr/>
        <w:t>服务时间达到6个月</w:t>
      </w:r>
      <w:r>
        <w:rPr/>
        <w:t xml:space="preserve"> ，达到付款条件起 </w:t>
      </w:r>
      <w:r>
        <w:rPr/>
        <w:t>30</w:t>
      </w:r>
      <w:r>
        <w:rPr/>
        <w:t xml:space="preserve"> 日内，支付合同总金额的 </w:t>
      </w:r>
      <w:r>
        <w:rPr/>
        <w:t>40.00</w:t>
      </w:r>
      <w:r>
        <w:rPr/>
        <w:t>%。</w:t>
      </w:r>
    </w:p>
    <w:p>
      <w:pPr>
        <w:pStyle w:val="null3"/>
      </w:pPr>
      <w:r>
        <w:rPr/>
        <w:t>采购包1：</w:t>
      </w:r>
      <w:r>
        <w:rPr/>
        <w:t xml:space="preserve"> 付款条件说明： </w:t>
      </w:r>
      <w:r>
        <w:rPr/>
        <w:t>项目完成验收</w:t>
      </w:r>
      <w:r>
        <w:rPr/>
        <w:t xml:space="preserve"> ，达到付款条件起 </w:t>
      </w:r>
      <w:r>
        <w:rPr/>
        <w:t>30</w:t>
      </w:r>
      <w:r>
        <w:rPr/>
        <w:t xml:space="preserve"> 日内，支付合同总金额的 </w:t>
      </w:r>
      <w:r>
        <w:rPr/>
        <w:t>20.00</w:t>
      </w:r>
      <w:r>
        <w:rPr/>
        <w:t>%。</w:t>
      </w:r>
    </w:p>
    <w:p>
      <w:pPr>
        <w:pStyle w:val="null3"/>
      </w:pPr>
      <w:r>
        <w:rPr/>
        <w:t>采购包2：</w:t>
      </w:r>
      <w:r>
        <w:rPr/>
        <w:t xml:space="preserve"> 付款条件说明： </w:t>
      </w:r>
      <w:r>
        <w:rPr/>
        <w:t>合同签订之日</w:t>
      </w:r>
      <w:r>
        <w:rPr/>
        <w:t xml:space="preserve"> ，达到付款条件起 </w:t>
      </w:r>
      <w:r>
        <w:rPr/>
        <w:t>30</w:t>
      </w:r>
      <w:r>
        <w:rPr/>
        <w:t xml:space="preserve"> 日内，支付合同总金额的 </w:t>
      </w:r>
      <w:r>
        <w:rPr/>
        <w:t>40.00</w:t>
      </w:r>
      <w:r>
        <w:rPr/>
        <w:t>%。</w:t>
      </w:r>
    </w:p>
    <w:p>
      <w:pPr>
        <w:pStyle w:val="null3"/>
      </w:pPr>
      <w:r>
        <w:rPr/>
        <w:t>采购包2：</w:t>
      </w:r>
      <w:r>
        <w:rPr/>
        <w:t xml:space="preserve"> 付款条件说明： </w:t>
      </w:r>
      <w:r>
        <w:rPr/>
        <w:t>终验合格之日</w:t>
      </w:r>
      <w:r>
        <w:rPr/>
        <w:t xml:space="preserve"> ，达到付款条件起 </w:t>
      </w:r>
      <w:r>
        <w:rPr/>
        <w:t>30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中标人未按合同约定提供货物、服务或未达到约定的标准的，采购人有权解除合同，并可依法向中标人主张不低于合同总价款30%的违约金，造成损害的，可一并主张损害赔偿。采购人违约的，应当赔偿中标人的经济损失。 双方发生争议的，应协商解决，协商不成的，向采购人所在地人民法院提起诉讼解决。</w:t>
      </w:r>
    </w:p>
    <w:p>
      <w:pPr>
        <w:pStyle w:val="null3"/>
      </w:pPr>
      <w:r>
        <w:rPr/>
        <w:t>采购包2：</w:t>
      </w:r>
    </w:p>
    <w:p>
      <w:pPr>
        <w:pStyle w:val="null3"/>
      </w:pPr>
      <w:r>
        <w:rPr/>
        <w:t>中标人未按合同约定提供货物、服务或未达到约定的标准的，采购人有权解除合同，并可依法向中标人主张不低于合同总价款30%的违约金，造成损害的，可一并主张损害赔偿。采购人违约的，应当赔偿中标人的经济损失。 双方发生争议的，应协商解决，协商不成的，向采购人所在地人民法院提起诉讼解决。</w:t>
      </w:r>
    </w:p>
    <w:p>
      <w:pPr>
        <w:pStyle w:val="null3"/>
        <w:outlineLvl w:val="2"/>
      </w:pPr>
      <w:r>
        <w:rPr>
          <w:sz w:val="28"/>
          <w:b/>
        </w:rPr>
        <w:t>3.4其他要求</w:t>
      </w:r>
    </w:p>
    <w:p>
      <w:pPr>
        <w:pStyle w:val="null3"/>
      </w:pPr>
      <w:r>
        <w:rPr/>
        <w:t>成交通知书发出后，成交单位需提供响应文件正本壹套、副本贰套、电子版壹套（U盘一套标明供应商名称）且提供的响应文件纸质版与电子版必须与在陕西省政府采购网电子化交易系统上提交的电子响应文件内容一致。</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社会保障资金缴纳存证明</w:t>
            </w:r>
          </w:p>
        </w:tc>
        <w:tc>
          <w:tcPr>
            <w:tcW w:type="dxa" w:w="3322"/>
          </w:tcPr>
          <w:p>
            <w:pPr>
              <w:pStyle w:val="null3"/>
            </w:pPr>
            <w:r>
              <w:rPr/>
              <w:t>提供2024年1月至今已缴存的至少一个月的社会保障资金缴存单据或社保机构开具的社会保险参保缴费情况证明，依法不需要缴存社会保障资金的单位应提供相关证明材料。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法定代表人授权书及被授权人身份证明。（法定代表人直接投标只须提供其身份证明）。</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中小企业声明函</w:t>
            </w:r>
          </w:p>
        </w:tc>
        <w:tc>
          <w:tcPr>
            <w:tcW w:type="dxa" w:w="3322"/>
          </w:tcPr>
          <w:p>
            <w:pPr>
              <w:pStyle w:val="null3"/>
            </w:pPr>
            <w:r>
              <w:rPr/>
              <w:t>本项目专门面向中小企业采购，供应商须为中小企业，并提供中小企业声明函。</w:t>
            </w:r>
          </w:p>
        </w:tc>
        <w:tc>
          <w:tcPr>
            <w:tcW w:type="dxa" w:w="1661"/>
          </w:tcPr>
          <w:p>
            <w:pPr>
              <w:pStyle w:val="null3"/>
            </w:pPr>
            <w:r>
              <w:rPr/>
              <w:t>中小企业声明函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四表一注”，即资产负情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社会保障资金缴纳存证明</w:t>
            </w:r>
          </w:p>
        </w:tc>
        <w:tc>
          <w:tcPr>
            <w:tcW w:type="dxa" w:w="3322"/>
          </w:tcPr>
          <w:p>
            <w:pPr>
              <w:pStyle w:val="null3"/>
            </w:pPr>
            <w:r>
              <w:rPr/>
              <w:t>提供2024年1月至今已缴存的至少一个月的社会保障资金缴存单据或社保机构开具的社会保险参保缴费情况证明，依法不需要缴存社会保障资金的单位应提供相关证明材料。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法定代表人授权书及被授权人身份证明。(法定代表人直接投标只须提供其身份证明)。</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中小企业声明函</w:t>
            </w:r>
          </w:p>
        </w:tc>
        <w:tc>
          <w:tcPr>
            <w:tcW w:type="dxa" w:w="3322"/>
          </w:tcPr>
          <w:p>
            <w:pPr>
              <w:pStyle w:val="null3"/>
            </w:pPr>
            <w:r>
              <w:rPr/>
              <w:t>本项目专门面向中小企业采购，供应商须为中小企业，并提供中小企业声明函。</w:t>
            </w:r>
          </w:p>
        </w:tc>
        <w:tc>
          <w:tcPr>
            <w:tcW w:type="dxa" w:w="1661"/>
          </w:tcPr>
          <w:p>
            <w:pPr>
              <w:pStyle w:val="null3"/>
            </w:pPr>
            <w:r>
              <w:rPr/>
              <w:t>中小企业声明函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供应商名称</w:t>
            </w:r>
          </w:p>
        </w:tc>
        <w:tc>
          <w:tcPr>
            <w:tcW w:type="dxa" w:w="3322"/>
          </w:tcPr>
          <w:p>
            <w:pPr>
              <w:pStyle w:val="null3"/>
            </w:pPr>
            <w:r>
              <w:rPr/>
              <w:t>供应商名称与营业执照、资质证书一致</w:t>
            </w:r>
          </w:p>
        </w:tc>
        <w:tc>
          <w:tcPr>
            <w:tcW w:type="dxa" w:w="1661"/>
          </w:tcPr>
          <w:p>
            <w:pPr>
              <w:pStyle w:val="null3"/>
            </w:pPr>
            <w:r>
              <w:rPr/>
              <w:t>响应方案说明--供应商认为有必要说明的事项 服务内容及服务邀请应答表 分项报价表 响应方案说明--应急处置 响应方案说明--履约方案 中小企业声明函 保证金交纳凭证 商务应答表 供应商应提交的相关资格证明材料 投标人承诺书 报价表 响应方案说明--服务方案 响应方案说明-业绩 响应文件封面 残疾人福利性单位声明函 标的清单 响应函 监狱企业的证明文件 响应方案说明--技术参数</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3</w:t>
            </w:r>
          </w:p>
        </w:tc>
        <w:tc>
          <w:tcPr>
            <w:tcW w:type="dxa" w:w="2492"/>
          </w:tcPr>
          <w:p>
            <w:pPr>
              <w:pStyle w:val="null3"/>
            </w:pPr>
            <w:r>
              <w:rPr/>
              <w:t>响应文件的签署、盖章</w:t>
            </w:r>
          </w:p>
        </w:tc>
        <w:tc>
          <w:tcPr>
            <w:tcW w:type="dxa" w:w="3322"/>
          </w:tcPr>
          <w:p>
            <w:pPr>
              <w:pStyle w:val="null3"/>
            </w:pPr>
            <w:r>
              <w:rPr/>
              <w:t>响应文件按磋商文件要求签字盖章</w:t>
            </w:r>
          </w:p>
        </w:tc>
        <w:tc>
          <w:tcPr>
            <w:tcW w:type="dxa" w:w="1661"/>
          </w:tcPr>
          <w:p>
            <w:pPr>
              <w:pStyle w:val="null3"/>
            </w:pPr>
            <w:r>
              <w:rPr/>
              <w:t>响应方案说明--供应商认为有必要说明的事项 服务内容及服务邀请应答表 分项报价表 响应方案说明--应急处置 响应方案说明--履约方案 中小企业声明函 保证金交纳凭证 商务应答表 供应商应提交的相关资格证明材料 投标人承诺书 报价表 响应方案说明--服务方案 响应方案说明-业绩 响应文件封面 残疾人福利性单位声明函 标的清单 响应函 监狱企业的证明文件 响应方案说明--技术参数</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投标有效期达到磋商文件要求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磋商保证金</w:t>
            </w:r>
          </w:p>
        </w:tc>
        <w:tc>
          <w:tcPr>
            <w:tcW w:type="dxa" w:w="3322"/>
          </w:tcPr>
          <w:p>
            <w:pPr>
              <w:pStyle w:val="null3"/>
            </w:pPr>
            <w:r>
              <w:rPr/>
              <w:t>保证金交纳符合磋商文件要求</w:t>
            </w:r>
          </w:p>
        </w:tc>
        <w:tc>
          <w:tcPr>
            <w:tcW w:type="dxa" w:w="1661"/>
          </w:tcPr>
          <w:p>
            <w:pPr>
              <w:pStyle w:val="null3"/>
            </w:pPr>
            <w:r>
              <w:rPr/>
              <w:t>保证金交纳凭证</w:t>
            </w:r>
          </w:p>
        </w:tc>
      </w:tr>
      <w:tr>
        <w:tc>
          <w:tcPr>
            <w:tcW w:type="dxa" w:w="831"/>
          </w:tcPr>
          <w:p>
            <w:pPr>
              <w:pStyle w:val="null3"/>
            </w:pPr>
            <w:r>
              <w:rPr/>
              <w:t>6</w:t>
            </w:r>
          </w:p>
        </w:tc>
        <w:tc>
          <w:tcPr>
            <w:tcW w:type="dxa" w:w="2492"/>
          </w:tcPr>
          <w:p>
            <w:pPr>
              <w:pStyle w:val="null3"/>
            </w:pPr>
            <w:r>
              <w:rPr/>
              <w:t>其他实质性要求</w:t>
            </w:r>
          </w:p>
        </w:tc>
        <w:tc>
          <w:tcPr>
            <w:tcW w:type="dxa" w:w="3322"/>
          </w:tcPr>
          <w:p>
            <w:pPr>
              <w:pStyle w:val="null3"/>
            </w:pPr>
            <w:r>
              <w:rPr/>
              <w:t>符合法律、法规和磋商文件中规定的其他实质性要求</w:t>
            </w:r>
          </w:p>
        </w:tc>
        <w:tc>
          <w:tcPr>
            <w:tcW w:type="dxa" w:w="1661"/>
          </w:tcPr>
          <w:p>
            <w:pPr>
              <w:pStyle w:val="null3"/>
            </w:pPr>
            <w:r>
              <w:rPr/>
              <w:t>响应方案说明--供应商认为有必要说明的事项 服务内容及服务邀请应答表 分项报价表 响应方案说明--应急处置 响应方案说明--履约方案 中小企业声明函 保证金交纳凭证 商务应答表 供应商应提交的相关资格证明材料 投标人承诺书 报价表 响应方案说明--服务方案 响应方案说明-业绩 响应文件封面 残疾人福利性单位声明函 标的清单 响应函 监狱企业的证明文件 响应方案说明--技术参数</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供应商名称</w:t>
            </w:r>
          </w:p>
        </w:tc>
        <w:tc>
          <w:tcPr>
            <w:tcW w:type="dxa" w:w="3322"/>
          </w:tcPr>
          <w:p>
            <w:pPr>
              <w:pStyle w:val="null3"/>
            </w:pPr>
            <w:r>
              <w:rPr/>
              <w:t>供应商名称与营业执照、资质证书一致</w:t>
            </w:r>
          </w:p>
        </w:tc>
        <w:tc>
          <w:tcPr>
            <w:tcW w:type="dxa" w:w="1661"/>
          </w:tcPr>
          <w:p>
            <w:pPr>
              <w:pStyle w:val="null3"/>
            </w:pPr>
            <w:r>
              <w:rPr/>
              <w:t>响应方案说明--供应商认为有必要说明的事项 服务内容及服务邀请应答表 分项报价表 响应方案说明--履约方案 中小企业声明函 保证金交纳凭证 商务应答表 供应商应提交的相关资格证明材料 投标人承诺书 报价表 响应方案说明--服务方案 响应方案说明-业绩 响应文件封面 残疾人福利性单位声明函 标的清单 响应方案说明--人员配置 响应函 监狱企业的证明文件 响应方案说明--技术参数</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3</w:t>
            </w:r>
          </w:p>
        </w:tc>
        <w:tc>
          <w:tcPr>
            <w:tcW w:type="dxa" w:w="2492"/>
          </w:tcPr>
          <w:p>
            <w:pPr>
              <w:pStyle w:val="null3"/>
            </w:pPr>
            <w:r>
              <w:rPr/>
              <w:t>响应文件的签署、盖章</w:t>
            </w:r>
          </w:p>
        </w:tc>
        <w:tc>
          <w:tcPr>
            <w:tcW w:type="dxa" w:w="3322"/>
          </w:tcPr>
          <w:p>
            <w:pPr>
              <w:pStyle w:val="null3"/>
            </w:pPr>
            <w:r>
              <w:rPr/>
              <w:t>响应文件按磋商文件要求签字盖章</w:t>
            </w:r>
          </w:p>
        </w:tc>
        <w:tc>
          <w:tcPr>
            <w:tcW w:type="dxa" w:w="1661"/>
          </w:tcPr>
          <w:p>
            <w:pPr>
              <w:pStyle w:val="null3"/>
            </w:pPr>
            <w:r>
              <w:rPr/>
              <w:t>响应方案说明--供应商认为有必要说明的事项 服务内容及服务邀请应答表 分项报价表 响应方案说明--履约方案 保证金交纳凭证 中小企业声明函 商务应答表 供应商应提交的相关资格证明材料 投标人承诺书 报价表 响应方案说明--服务方案 响应方案说明-业绩 响应文件封面 残疾人福利性单位声明函 标的清单 响应方案说明--人员配置 响应函 监狱企业的证明文件 响应方案说明--技术参数</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投标有效期达到磋商文件要求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磋商保证金</w:t>
            </w:r>
          </w:p>
        </w:tc>
        <w:tc>
          <w:tcPr>
            <w:tcW w:type="dxa" w:w="3322"/>
          </w:tcPr>
          <w:p>
            <w:pPr>
              <w:pStyle w:val="null3"/>
            </w:pPr>
            <w:r>
              <w:rPr/>
              <w:t>保证金交纳符合磋商文件要求</w:t>
            </w:r>
          </w:p>
        </w:tc>
        <w:tc>
          <w:tcPr>
            <w:tcW w:type="dxa" w:w="1661"/>
          </w:tcPr>
          <w:p>
            <w:pPr>
              <w:pStyle w:val="null3"/>
            </w:pPr>
            <w:r>
              <w:rPr/>
              <w:t>保证金交纳凭证</w:t>
            </w:r>
          </w:p>
        </w:tc>
      </w:tr>
      <w:tr>
        <w:tc>
          <w:tcPr>
            <w:tcW w:type="dxa" w:w="831"/>
          </w:tcPr>
          <w:p>
            <w:pPr>
              <w:pStyle w:val="null3"/>
            </w:pPr>
            <w:r>
              <w:rPr/>
              <w:t>6</w:t>
            </w:r>
          </w:p>
        </w:tc>
        <w:tc>
          <w:tcPr>
            <w:tcW w:type="dxa" w:w="2492"/>
          </w:tcPr>
          <w:p>
            <w:pPr>
              <w:pStyle w:val="null3"/>
            </w:pPr>
            <w:r>
              <w:rPr/>
              <w:t>其他实质性要求</w:t>
            </w:r>
          </w:p>
        </w:tc>
        <w:tc>
          <w:tcPr>
            <w:tcW w:type="dxa" w:w="3322"/>
          </w:tcPr>
          <w:p>
            <w:pPr>
              <w:pStyle w:val="null3"/>
            </w:pPr>
            <w:r>
              <w:rPr/>
              <w:t>符合法律、法规和磋商文件中规定的其他实质性要求</w:t>
            </w:r>
          </w:p>
        </w:tc>
        <w:tc>
          <w:tcPr>
            <w:tcW w:type="dxa" w:w="1661"/>
          </w:tcPr>
          <w:p>
            <w:pPr>
              <w:pStyle w:val="null3"/>
            </w:pPr>
            <w:r>
              <w:rPr/>
              <w:t>响应方案说明--供应商认为有必要说明的事项 服务内容及服务邀请应答表 分项报价表 响应方案说明--履约方案 中小企业声明函 保证金交纳凭证 商务应答表 供应商应提交的相关资格证明材料 投标人承诺书 报价表 响应方案说明--服务方案 响应方案说明-业绩 响应文件封面 残疾人福利性单位声明函 标的清单 响应方案说明--人员配置 响应函 监狱企业的证明文件 响应方案说明--技术参数</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完全符合、响应招标文件要求，参数没有负偏离的得31分，参数中关键参数（▲）负偏离每项扣1分，其它参数负偏离每项扣0.5分，扣完为止。</w:t>
            </w:r>
          </w:p>
        </w:tc>
        <w:tc>
          <w:tcPr>
            <w:tcW w:type="dxa" w:w="831"/>
          </w:tcPr>
          <w:p>
            <w:pPr>
              <w:pStyle w:val="null3"/>
              <w:jc w:val="right"/>
            </w:pPr>
            <w:r>
              <w:rPr/>
              <w:t>31.0000</w:t>
            </w:r>
          </w:p>
        </w:tc>
        <w:tc>
          <w:tcPr>
            <w:tcW w:type="dxa" w:w="831"/>
          </w:tcPr>
          <w:p>
            <w:pPr>
              <w:pStyle w:val="null3"/>
            </w:pPr>
            <w:r>
              <w:rPr/>
              <w:t>客观</w:t>
            </w:r>
          </w:p>
        </w:tc>
        <w:tc>
          <w:tcPr>
            <w:tcW w:type="dxa" w:w="1661"/>
          </w:tcPr>
          <w:p>
            <w:pPr>
              <w:pStyle w:val="null3"/>
            </w:pPr>
            <w:r>
              <w:rPr/>
              <w:t>响应方案说明--技术参数</w:t>
            </w:r>
          </w:p>
        </w:tc>
      </w:tr>
      <w:tr>
        <w:tc>
          <w:tcPr>
            <w:tcW w:type="dxa" w:w="831"/>
            <w:vMerge/>
          </w:tcPr>
          <w:p/>
        </w:tc>
        <w:tc>
          <w:tcPr>
            <w:tcW w:type="dxa" w:w="1661"/>
          </w:tcPr>
          <w:p>
            <w:pPr>
              <w:pStyle w:val="null3"/>
            </w:pPr>
            <w:r>
              <w:rPr/>
              <w:t>服务方案</w:t>
            </w:r>
          </w:p>
        </w:tc>
        <w:tc>
          <w:tcPr>
            <w:tcW w:type="dxa" w:w="2492"/>
          </w:tcPr>
          <w:p>
            <w:pPr>
              <w:pStyle w:val="null3"/>
            </w:pPr>
            <w:r>
              <w:rPr/>
              <w:t>供应商针对本项目提供详细的项目服务方案 1.服务方案具有可行性、针对性，完全满足磋商文件要求，计10.1-15分； 2.服务方案内容简单，基本可行，基本满足磋商文件要求，计5.1-10分； 3.服务方案存在缺漏项，在项目实施过程中可能存在实施不及时、工作不到位的情况，计0.1-5分; 4.服务方案完全不满足采购项目实际需求或未提供服务方案，计0分；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响应方案说明--服务方案</w:t>
            </w:r>
          </w:p>
        </w:tc>
      </w:tr>
      <w:tr>
        <w:tc>
          <w:tcPr>
            <w:tcW w:type="dxa" w:w="831"/>
            <w:vMerge/>
          </w:tcPr>
          <w:p/>
        </w:tc>
        <w:tc>
          <w:tcPr>
            <w:tcW w:type="dxa" w:w="1661"/>
          </w:tcPr>
          <w:p>
            <w:pPr>
              <w:pStyle w:val="null3"/>
            </w:pPr>
            <w:r>
              <w:rPr/>
              <w:t>应急处置</w:t>
            </w:r>
          </w:p>
        </w:tc>
        <w:tc>
          <w:tcPr>
            <w:tcW w:type="dxa" w:w="2492"/>
          </w:tcPr>
          <w:p>
            <w:pPr>
              <w:pStyle w:val="null3"/>
            </w:pPr>
            <w:r>
              <w:rPr/>
              <w:t>供应商有安全应急响应服务团队支持，建立应急响应机制，能完全满足需求的计6.1-9分；虽有应急响应机制，但有缺失的，计3.1-6分；应急响应机制不具备可操作性性的计0.1-3分;未提供的不得分。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响应方案说明--应急处置</w:t>
            </w:r>
          </w:p>
        </w:tc>
      </w:tr>
      <w:tr>
        <w:tc>
          <w:tcPr>
            <w:tcW w:type="dxa" w:w="831"/>
            <w:vMerge/>
          </w:tcPr>
          <w:p/>
        </w:tc>
        <w:tc>
          <w:tcPr>
            <w:tcW w:type="dxa" w:w="1661"/>
          </w:tcPr>
          <w:p>
            <w:pPr>
              <w:pStyle w:val="null3"/>
            </w:pPr>
            <w:r>
              <w:rPr/>
              <w:t>业绩</w:t>
            </w:r>
          </w:p>
        </w:tc>
        <w:tc>
          <w:tcPr>
            <w:tcW w:type="dxa" w:w="2492"/>
          </w:tcPr>
          <w:p>
            <w:pPr>
              <w:pStyle w:val="null3"/>
            </w:pPr>
            <w:r>
              <w:rPr/>
              <w:t>根据投标人提供近三年（2021年8月1日之后的）同类业绩，每提供1个网络安全类业绩得1分，最高得3分；每提供1个国产密码类业绩得1分，最高得2分。需提供业绩合同复印件（加盖公章）；业绩合同复印件包括合同首尾页、签字盖章页、合同金额页、项目信息页等内容。</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响应方案说明-业绩</w:t>
            </w:r>
          </w:p>
        </w:tc>
      </w:tr>
      <w:tr>
        <w:tc>
          <w:tcPr>
            <w:tcW w:type="dxa" w:w="831"/>
            <w:vMerge/>
          </w:tcPr>
          <w:p/>
        </w:tc>
        <w:tc>
          <w:tcPr>
            <w:tcW w:type="dxa" w:w="1661"/>
          </w:tcPr>
          <w:p>
            <w:pPr>
              <w:pStyle w:val="null3"/>
            </w:pPr>
            <w:r>
              <w:rPr/>
              <w:t>履约方案</w:t>
            </w:r>
          </w:p>
        </w:tc>
        <w:tc>
          <w:tcPr>
            <w:tcW w:type="dxa" w:w="2492"/>
          </w:tcPr>
          <w:p>
            <w:pPr>
              <w:pStyle w:val="null3"/>
            </w:pPr>
            <w:r>
              <w:rPr/>
              <w:t>供应商针对本项目提供详细的项目履约方案； 1.履约方案完全满足采购项目实际需求的，计6.1-10分； 2.履约方案基本满足采购项目实际需求的，计2.1-6分； 3.履约方案部分满足采购项目实际需求的，计0.1-2分； 4.履约方案完全不满足采购项目实际需求的，计0分；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响应方案说明--履约方案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完全符合、响应招标文件要求，参数没有负偏离的计34分，参数中关键参数（▲）负偏离每项扣0.5分，其它参数负偏离每项扣0.2分，扣完为止。</w:t>
            </w:r>
          </w:p>
        </w:tc>
        <w:tc>
          <w:tcPr>
            <w:tcW w:type="dxa" w:w="831"/>
          </w:tcPr>
          <w:p>
            <w:pPr>
              <w:pStyle w:val="null3"/>
              <w:jc w:val="right"/>
            </w:pPr>
            <w:r>
              <w:rPr/>
              <w:t>34.0000</w:t>
            </w:r>
          </w:p>
        </w:tc>
        <w:tc>
          <w:tcPr>
            <w:tcW w:type="dxa" w:w="831"/>
          </w:tcPr>
          <w:p>
            <w:pPr>
              <w:pStyle w:val="null3"/>
            </w:pPr>
            <w:r>
              <w:rPr/>
              <w:t>客观</w:t>
            </w:r>
          </w:p>
        </w:tc>
        <w:tc>
          <w:tcPr>
            <w:tcW w:type="dxa" w:w="1661"/>
          </w:tcPr>
          <w:p>
            <w:pPr>
              <w:pStyle w:val="null3"/>
            </w:pPr>
            <w:r>
              <w:rPr/>
              <w:t>响应方案说明--技术参数</w:t>
            </w:r>
          </w:p>
        </w:tc>
      </w:tr>
      <w:tr>
        <w:tc>
          <w:tcPr>
            <w:tcW w:type="dxa" w:w="831"/>
            <w:vMerge/>
          </w:tcPr>
          <w:p/>
        </w:tc>
        <w:tc>
          <w:tcPr>
            <w:tcW w:type="dxa" w:w="1661"/>
          </w:tcPr>
          <w:p>
            <w:pPr>
              <w:pStyle w:val="null3"/>
            </w:pPr>
            <w:r>
              <w:rPr/>
              <w:t>服务方案</w:t>
            </w:r>
          </w:p>
        </w:tc>
        <w:tc>
          <w:tcPr>
            <w:tcW w:type="dxa" w:w="2492"/>
          </w:tcPr>
          <w:p>
            <w:pPr>
              <w:pStyle w:val="null3"/>
            </w:pPr>
            <w:r>
              <w:rPr/>
              <w:t>供应商针对本项目提供详细的项目服务方案； 1.服务方案具有可行性、针对性，完全满足磋商文件要求，计10.1-15分； 2.服务方案内容简单，基本可行，基本满足磋商文件要求，计5.1-10分； 3.服务方案存在缺漏项，在项目实施过程中可能存在实施不及时、工作不到位的情况，计0.1-5分; 4.服务方案完全不满足采购项目实际需求或未提供服务方案，计0分；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响应方案说明--服务方案</w:t>
            </w:r>
          </w:p>
        </w:tc>
      </w:tr>
      <w:tr>
        <w:tc>
          <w:tcPr>
            <w:tcW w:type="dxa" w:w="831"/>
            <w:vMerge/>
          </w:tcPr>
          <w:p/>
        </w:tc>
        <w:tc>
          <w:tcPr>
            <w:tcW w:type="dxa" w:w="1661"/>
          </w:tcPr>
          <w:p>
            <w:pPr>
              <w:pStyle w:val="null3"/>
            </w:pPr>
            <w:r>
              <w:rPr/>
              <w:t>人员配置</w:t>
            </w:r>
          </w:p>
        </w:tc>
        <w:tc>
          <w:tcPr>
            <w:tcW w:type="dxa" w:w="2492"/>
          </w:tcPr>
          <w:p>
            <w:pPr>
              <w:pStyle w:val="null3"/>
            </w:pPr>
            <w:r>
              <w:rPr/>
              <w:t>根据供应商拟投入本项目的团队人员配备情况，满足项目需求，岗位职责分工明确、人员结构安排合理、工作经验丰富，计0-6分；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响应方案说明--人员配置</w:t>
            </w:r>
          </w:p>
        </w:tc>
      </w:tr>
      <w:tr>
        <w:tc>
          <w:tcPr>
            <w:tcW w:type="dxa" w:w="831"/>
            <w:vMerge/>
          </w:tcPr>
          <w:p/>
        </w:tc>
        <w:tc>
          <w:tcPr>
            <w:tcW w:type="dxa" w:w="1661"/>
          </w:tcPr>
          <w:p>
            <w:pPr>
              <w:pStyle w:val="null3"/>
            </w:pPr>
            <w:r>
              <w:rPr/>
              <w:t>业绩</w:t>
            </w:r>
          </w:p>
        </w:tc>
        <w:tc>
          <w:tcPr>
            <w:tcW w:type="dxa" w:w="2492"/>
          </w:tcPr>
          <w:p>
            <w:pPr>
              <w:pStyle w:val="null3"/>
            </w:pPr>
            <w:r>
              <w:rPr/>
              <w:t>根据供应商提供近三年（2021年8月1日之后的）同类业绩，每提供1个得1分，最高5分。需提供业绩合同复印件（加盖公章）；业绩合同复印件包括合同首尾页、签字盖章页、合同金额页、项目信息页等内容。</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响应方案说明-业绩</w:t>
            </w:r>
          </w:p>
        </w:tc>
      </w:tr>
      <w:tr>
        <w:tc>
          <w:tcPr>
            <w:tcW w:type="dxa" w:w="831"/>
            <w:vMerge/>
          </w:tcPr>
          <w:p/>
        </w:tc>
        <w:tc>
          <w:tcPr>
            <w:tcW w:type="dxa" w:w="1661"/>
          </w:tcPr>
          <w:p>
            <w:pPr>
              <w:pStyle w:val="null3"/>
            </w:pPr>
            <w:r>
              <w:rPr/>
              <w:t>履约方案</w:t>
            </w:r>
          </w:p>
        </w:tc>
        <w:tc>
          <w:tcPr>
            <w:tcW w:type="dxa" w:w="2492"/>
          </w:tcPr>
          <w:p>
            <w:pPr>
              <w:pStyle w:val="null3"/>
            </w:pPr>
            <w:r>
              <w:rPr/>
              <w:t>供应商针对本项目提供详细的项目履约方案； 4.履约方案完全满足采购项目实际需求的，计6.1-10分； 5.履约方案基本满足采购项目实际需求的，计2.1-6分； 6.履约方案部分满足采购项目实际需求的，计0.1-2分； 4.履约方案完全不满足采购项目实际需求的，计0分；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响应方案说明--履约方案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详见附件：供应商应提交的相关资格证明材料</w:t>
      </w:r>
    </w:p>
    <w:p>
      <w:pPr>
        <w:pStyle w:val="null3"/>
        <w:ind w:firstLine="960"/>
      </w:pPr>
      <w:r>
        <w:rPr/>
        <w:t>详见附件：响应方案说明--技术参数</w:t>
      </w:r>
    </w:p>
    <w:p>
      <w:pPr>
        <w:pStyle w:val="null3"/>
        <w:ind w:firstLine="960"/>
      </w:pPr>
      <w:r>
        <w:rPr/>
        <w:t>详见附件：响应方案说明--服务方案</w:t>
      </w:r>
    </w:p>
    <w:p>
      <w:pPr>
        <w:pStyle w:val="null3"/>
        <w:ind w:firstLine="960"/>
      </w:pPr>
      <w:r>
        <w:rPr/>
        <w:t>详见附件：响应方案说明--应急处置</w:t>
      </w:r>
    </w:p>
    <w:p>
      <w:pPr>
        <w:pStyle w:val="null3"/>
        <w:ind w:firstLine="960"/>
      </w:pPr>
      <w:r>
        <w:rPr/>
        <w:t>详见附件：响应方案说明-业绩</w:t>
      </w:r>
    </w:p>
    <w:p>
      <w:pPr>
        <w:pStyle w:val="null3"/>
        <w:ind w:firstLine="960"/>
      </w:pPr>
      <w:r>
        <w:rPr/>
        <w:t>详见附件：响应方案说明--履约方案</w:t>
      </w:r>
    </w:p>
    <w:p>
      <w:pPr>
        <w:pStyle w:val="null3"/>
        <w:ind w:firstLine="960"/>
      </w:pPr>
      <w:r>
        <w:rPr/>
        <w:t>详见附件：响应方案说明--供应商认为有必要说明的事项</w:t>
      </w:r>
    </w:p>
    <w:p>
      <w:pPr>
        <w:pStyle w:val="null3"/>
        <w:ind w:firstLine="960"/>
      </w:pPr>
      <w:r>
        <w:rPr/>
        <w:t>详见附件：投标人承诺书</w:t>
      </w:r>
    </w:p>
    <w:p>
      <w:pPr>
        <w:pStyle w:val="null3"/>
        <w:ind w:firstLine="960"/>
      </w:pPr>
      <w:r>
        <w:rPr/>
        <w:t>详见附件：保证金交纳凭证</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详见附件：供应商应提交的相关资格证明材料</w:t>
      </w:r>
    </w:p>
    <w:p>
      <w:pPr>
        <w:pStyle w:val="null3"/>
        <w:ind w:firstLine="960"/>
      </w:pPr>
      <w:r>
        <w:rPr/>
        <w:t>详见附件：响应方案说明--技术参数</w:t>
      </w:r>
    </w:p>
    <w:p>
      <w:pPr>
        <w:pStyle w:val="null3"/>
        <w:ind w:firstLine="960"/>
      </w:pPr>
      <w:r>
        <w:rPr/>
        <w:t>详见附件：响应方案说明--服务方案</w:t>
      </w:r>
    </w:p>
    <w:p>
      <w:pPr>
        <w:pStyle w:val="null3"/>
        <w:ind w:firstLine="960"/>
      </w:pPr>
      <w:r>
        <w:rPr/>
        <w:t>详见附件：响应方案说明--人员配置</w:t>
      </w:r>
    </w:p>
    <w:p>
      <w:pPr>
        <w:pStyle w:val="null3"/>
        <w:ind w:firstLine="960"/>
      </w:pPr>
      <w:r>
        <w:rPr/>
        <w:t>详见附件：响应方案说明-业绩</w:t>
      </w:r>
    </w:p>
    <w:p>
      <w:pPr>
        <w:pStyle w:val="null3"/>
        <w:ind w:firstLine="960"/>
      </w:pPr>
      <w:r>
        <w:rPr/>
        <w:t>详见附件：响应方案说明--履约方案</w:t>
      </w:r>
    </w:p>
    <w:p>
      <w:pPr>
        <w:pStyle w:val="null3"/>
        <w:ind w:firstLine="960"/>
      </w:pPr>
      <w:r>
        <w:rPr/>
        <w:t>详见附件：响应方案说明--供应商认为有必要说明的事项</w:t>
      </w:r>
    </w:p>
    <w:p>
      <w:pPr>
        <w:pStyle w:val="null3"/>
        <w:ind w:firstLine="960"/>
      </w:pPr>
      <w:r>
        <w:rPr/>
        <w:t>详见附件：投标人承诺书</w:t>
      </w:r>
    </w:p>
    <w:p>
      <w:pPr>
        <w:pStyle w:val="null3"/>
        <w:ind w:firstLine="960"/>
      </w:pPr>
      <w:r>
        <w:rPr/>
        <w:t>详见附件：保证金交纳凭证</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