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版本号：240710001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公共基础实验室升级改造项目</w:t>
      </w:r>
    </w:p>
    <w:p>
      <w:pPr>
        <w:pStyle w:val="null3"/>
        <w:jc w:val="center"/>
        <w:outlineLvl w:val="2"/>
      </w:pPr>
      <w:r>
        <w:rPr>
          <w:sz w:val="28"/>
          <w:b/>
        </w:rPr>
        <w:t>采购项目编号：</w:t>
      </w:r>
      <w:r>
        <w:rPr>
          <w:sz w:val="28"/>
          <w:b/>
        </w:rPr>
        <w:t>ZYJY-【2024】GK0752</w:t>
      </w:r>
      <w:r>
        <w:br/>
      </w:r>
      <w:r>
        <w:br/>
      </w:r>
      <w:r>
        <w:br/>
      </w:r>
    </w:p>
    <w:p>
      <w:pPr>
        <w:pStyle w:val="null3"/>
        <w:jc w:val="center"/>
        <w:outlineLvl w:val="2"/>
      </w:pPr>
      <w:r>
        <w:rPr>
          <w:sz w:val="28"/>
          <w:b/>
        </w:rPr>
        <w:t>西安财经大学</w:t>
      </w:r>
    </w:p>
    <w:p>
      <w:pPr>
        <w:pStyle w:val="null3"/>
        <w:jc w:val="center"/>
        <w:outlineLvl w:val="2"/>
      </w:pPr>
      <w:r>
        <w:rPr>
          <w:sz w:val="28"/>
          <w:b/>
        </w:rPr>
        <w:t>陕西知源集易招标代理有限公司</w:t>
      </w:r>
      <w:r>
        <w:rPr>
          <w:sz w:val="28"/>
          <w:b/>
        </w:rPr>
        <w:t>共同编制</w:t>
      </w:r>
    </w:p>
    <w:p>
      <w:pPr>
        <w:pStyle w:val="null3"/>
        <w:jc w:val="center"/>
        <w:outlineLvl w:val="2"/>
      </w:pPr>
      <w:r>
        <w:rPr>
          <w:sz w:val="28"/>
          <w:b/>
        </w:rPr>
        <w:t>2024年07月10日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陕西知源集易招标代理有限公司</w:t>
      </w:r>
      <w:r>
        <w:rPr/>
        <w:t>（以下简称“代理机构”）受</w:t>
      </w:r>
      <w:r>
        <w:rPr/>
        <w:t>西安财经大学</w:t>
      </w:r>
      <w:r>
        <w:rPr/>
        <w:t>委托，拟对</w:t>
      </w:r>
      <w:r>
        <w:rPr/>
        <w:t>公共基础实验室升级改造项目</w:t>
      </w:r>
      <w:r>
        <w:rPr/>
        <w:t>进行国内公开招标，兹邀请符合本次招标要求的供应商参加投标。</w:t>
      </w:r>
    </w:p>
    <w:p>
      <w:pPr>
        <w:pStyle w:val="null3"/>
        <w:outlineLvl w:val="2"/>
      </w:pPr>
      <w:r>
        <w:rPr>
          <w:sz w:val="28"/>
          <w:b/>
        </w:rPr>
        <w:t>一、采购项目编号：</w:t>
      </w:r>
      <w:r>
        <w:rPr>
          <w:sz w:val="28"/>
          <w:b/>
        </w:rPr>
        <w:t>ZYJY-【2024】GK0752</w:t>
      </w:r>
    </w:p>
    <w:p>
      <w:pPr>
        <w:pStyle w:val="null3"/>
        <w:outlineLvl w:val="2"/>
      </w:pPr>
      <w:r>
        <w:rPr>
          <w:sz w:val="28"/>
          <w:b/>
        </w:rPr>
        <w:t>二、采购项目名称：</w:t>
      </w:r>
      <w:r>
        <w:rPr>
          <w:sz w:val="28"/>
          <w:b/>
        </w:rPr>
        <w:t>公共基础实验室升级改造项目</w:t>
      </w:r>
    </w:p>
    <w:p>
      <w:pPr>
        <w:pStyle w:val="null3"/>
        <w:outlineLvl w:val="2"/>
      </w:pPr>
      <w:r>
        <w:rPr>
          <w:sz w:val="28"/>
          <w:b/>
        </w:rPr>
        <w:t>三、招标项目简介</w:t>
      </w:r>
    </w:p>
    <w:p>
      <w:pPr>
        <w:pStyle w:val="null3"/>
        <w:ind w:firstLine="480"/>
      </w:pPr>
      <w:r>
        <w:rPr/>
        <w:t>西安财经大学公共基础实验室升级改造项目，详见招标文件第三章。预算金额：2254000.00元。</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供应商应授权合法的人员参加本项目招标活动全过程，其中法定代表人直接参加招标活动的，应出具法定代表人合法有效的身份证原件，且应与营业执照上信息一致；法定代表人授权代表参加招标活动的，应出具法定代表人授权书及授权代表合法有效的身份证原件；</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西安财经大学</w:t>
      </w:r>
    </w:p>
    <w:p>
      <w:pPr>
        <w:pStyle w:val="null3"/>
      </w:pPr>
      <w:r>
        <w:rPr/>
        <w:t xml:space="preserve"> 地址： </w:t>
      </w:r>
      <w:r>
        <w:rPr/>
        <w:t>西安市长安区常宁大街360号</w:t>
      </w:r>
    </w:p>
    <w:p>
      <w:pPr>
        <w:pStyle w:val="null3"/>
      </w:pPr>
      <w:r>
        <w:rPr/>
        <w:t xml:space="preserve"> 邮编： </w:t>
      </w:r>
      <w:r>
        <w:rPr/>
        <w:t>710100</w:t>
      </w:r>
    </w:p>
    <w:p>
      <w:pPr>
        <w:pStyle w:val="null3"/>
      </w:pPr>
      <w:r>
        <w:rPr/>
        <w:t xml:space="preserve"> 联系人： </w:t>
      </w:r>
      <w:r>
        <w:rPr/>
        <w:t>张涛</w:t>
      </w:r>
    </w:p>
    <w:p>
      <w:pPr>
        <w:pStyle w:val="null3"/>
      </w:pPr>
      <w:r>
        <w:rPr/>
        <w:t xml:space="preserve"> 联系电话： </w:t>
      </w:r>
      <w:r>
        <w:rPr/>
        <w:t>029-81556605</w:t>
      </w:r>
    </w:p>
    <w:p>
      <w:pPr>
        <w:pStyle w:val="null3"/>
        <w:outlineLvl w:val="2"/>
      </w:pPr>
      <w:r>
        <w:rPr>
          <w:sz w:val="28"/>
          <w:b/>
        </w:rPr>
        <w:t>代理机构：</w:t>
      </w:r>
      <w:r>
        <w:rPr>
          <w:sz w:val="28"/>
          <w:b/>
        </w:rPr>
        <w:t>陕西知源集易招标代理有限公司</w:t>
      </w:r>
    </w:p>
    <w:p>
      <w:pPr>
        <w:pStyle w:val="null3"/>
      </w:pPr>
      <w:r>
        <w:rPr/>
        <w:t xml:space="preserve"> 地址： </w:t>
      </w:r>
      <w:r>
        <w:rPr/>
        <w:t>西安市高新区科技二路72号兰基中心1003室</w:t>
      </w:r>
    </w:p>
    <w:p>
      <w:pPr>
        <w:pStyle w:val="null3"/>
      </w:pPr>
      <w:r>
        <w:rPr/>
        <w:t xml:space="preserve"> 邮编： </w:t>
      </w:r>
      <w:r>
        <w:rPr/>
        <w:t>710000</w:t>
      </w:r>
    </w:p>
    <w:p>
      <w:pPr>
        <w:pStyle w:val="null3"/>
      </w:pPr>
      <w:r>
        <w:rPr/>
        <w:t xml:space="preserve"> 联系人： </w:t>
      </w:r>
      <w:r>
        <w:rPr/>
        <w:t>郑凡</w:t>
      </w:r>
    </w:p>
    <w:p>
      <w:pPr>
        <w:pStyle w:val="null3"/>
      </w:pPr>
      <w:r>
        <w:rPr/>
        <w:t xml:space="preserve"> 联系电话： </w:t>
      </w:r>
      <w:r>
        <w:rPr/>
        <w:t>029-89520099</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采购包1：2,254,000.00元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采购包1保证金金额：45,000.00元</w:t>
            </w:r>
          </w:p>
          <w:p>
            <w:pPr>
              <w:pStyle w:val="null3"/>
            </w:pPr>
            <w:r>
              <w:rPr/>
              <w:t>缴交渠道：转账、支票、汇票等（需通过实体账户、户名及开户行信息）</w:t>
            </w:r>
          </w:p>
          <w:p>
            <w:pPr>
              <w:pStyle w:val="null3"/>
            </w:pPr>
            <w:r>
              <w:rPr/>
              <w:t>开户名称：陕西知源集易招标代理有限公司</w:t>
            </w:r>
          </w:p>
          <w:p>
            <w:pPr>
              <w:pStyle w:val="null3"/>
            </w:pPr>
            <w:r>
              <w:rPr/>
              <w:t>开户银行：西安银行股份有限公司西安曲江支行</w:t>
            </w:r>
          </w:p>
          <w:p>
            <w:pPr>
              <w:pStyle w:val="null3"/>
            </w:pPr>
            <w:r>
              <w:rPr/>
              <w:t>银行账号：981011510000073005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本采购包履约保证金为合同金额的3.0%</w:t>
            </w:r>
          </w:p>
          <w:p>
            <w:pPr>
              <w:pStyle w:val="null3"/>
            </w:pPr>
            <w:r>
              <w:rPr/>
              <w:t>说明：项目验收合格壹年后，由甲方对乙方售后服务及质保履约完成情况进行评价，评价合格后，经乙方申请，甲方在收到乙方申请后一次性无息退还履约保证金。</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由中标单位支付，受托方在国家发展与改革委员会《招标代理服务收费暂行办法》（计价格[2002]1980号）文件规定标准的基础上，下浮48%计取（包括货物、服务和工程三类），采购代理服务收费按差额定率累进法计算。 招标代理服务费交纳信息： 银行户名：陕西知源集易招标代理有限公司 开户银行：西安银行股份有限公司西安曲江支行 账号：981011510000073005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西安财经大学</w:t>
      </w:r>
      <w:r>
        <w:rPr/>
        <w:t>和</w:t>
      </w:r>
      <w:r>
        <w:rPr/>
        <w:t>陕西知源集易招标代理有限公司</w:t>
      </w:r>
      <w:r>
        <w:rPr/>
        <w:t>享有。对招标文件中供应商参加本次政府采购活动应当具备的条件，招标项目技术、服务、商务及其他要求，评标细则及标准由</w:t>
      </w:r>
      <w:r>
        <w:rPr/>
        <w:t>西安财经大学</w:t>
      </w:r>
      <w:r>
        <w:rPr/>
        <w:t>负责解释。除上述招标文件内容，其他内容由</w:t>
      </w:r>
      <w:r>
        <w:rPr/>
        <w:t>陕西知源集易招标代理有限公司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西安财经大学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陕西知源集易招标代理有限公司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陕西知源集易招标代理有限公司</w:t>
      </w:r>
      <w:r>
        <w:rPr/>
        <w:t xml:space="preserve"> 负责答复；供应商对除采购需求外的采购文件的询问、质疑由</w:t>
      </w:r>
      <w:r>
        <w:rPr/>
        <w:t>陕西知源集易招标代理有限公司</w:t>
      </w:r>
      <w:r>
        <w:rPr/>
        <w:t xml:space="preserve"> 负责答复；供应商对采购过程、采购结果的询问、质疑由 </w:t>
      </w:r>
      <w:r>
        <w:rPr/>
        <w:t>陕西知源集易招标代理有限公司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联系人：郑凡</w:t>
      </w:r>
    </w:p>
    <w:p>
      <w:pPr>
        <w:pStyle w:val="null3"/>
      </w:pPr>
      <w:r>
        <w:rPr/>
        <w:t>联系电话：029-89520099</w:t>
      </w:r>
    </w:p>
    <w:p>
      <w:pPr>
        <w:pStyle w:val="null3"/>
      </w:pPr>
      <w:r>
        <w:rPr/>
        <w:t>地址：西安市高新区科技二路72号兰基中心1003室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西安财经大学公共基础实验室升级改造项目，详见招标文件第三章。</w:t>
      </w:r>
    </w:p>
    <w:p>
      <w:pPr>
        <w:pStyle w:val="null3"/>
        <w:outlineLvl w:val="2"/>
      </w:pPr>
      <w:r>
        <w:rPr>
          <w:sz w:val="28"/>
          <w:b/>
        </w:rPr>
        <w:t>3.2采购内容</w:t>
      </w:r>
    </w:p>
    <w:p>
      <w:pPr>
        <w:pStyle w:val="null3"/>
      </w:pPr>
      <w:r>
        <w:rPr/>
        <w:t>采购包1：</w:t>
      </w:r>
    </w:p>
    <w:p>
      <w:pPr>
        <w:pStyle w:val="null3"/>
      </w:pPr>
      <w:r>
        <w:rPr/>
        <w:t>采购包预算金额（元）: 2,254,000.00</w:t>
      </w:r>
    </w:p>
    <w:p>
      <w:pPr>
        <w:pStyle w:val="null3"/>
      </w:pPr>
      <w:r>
        <w:rPr/>
        <w:t>采购包最高限价（元）: 2,254,000.00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公共基础实验室升级</w:t>
            </w:r>
          </w:p>
        </w:tc>
        <w:tc>
          <w:tcPr>
            <w:tcW w:type="dxa" w:w="831"/>
          </w:tcPr>
          <w:p>
            <w:pPr>
              <w:pStyle w:val="null3"/>
              <w:jc w:val="right"/>
            </w:pPr>
            <w:r>
              <w:rPr/>
              <w:t>1.00</w:t>
            </w:r>
          </w:p>
        </w:tc>
        <w:tc>
          <w:tcPr>
            <w:tcW w:type="dxa" w:w="831"/>
          </w:tcPr>
          <w:p>
            <w:pPr>
              <w:pStyle w:val="null3"/>
              <w:jc w:val="right"/>
            </w:pPr>
            <w:r>
              <w:rPr/>
              <w:t>2,254,000.00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标的名称：公共基础实验室升级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8"/>
              <w:gridCol w:w="194"/>
              <w:gridCol w:w="2081"/>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参数性质</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序号</w:t>
                  </w:r>
                </w:p>
              </w:tc>
              <w:tc>
                <w:tcPr>
                  <w:tcW w:type="dxa" w:w="2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技术参数与性能指标</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2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1"/>
                    <w:jc w:val="left"/>
                  </w:pPr>
                  <w:r>
                    <w:rPr>
                      <w:rFonts w:ascii="宋体" w:hAnsi="宋体" w:cs="宋体" w:eastAsia="宋体"/>
                      <w:sz w:val="20"/>
                      <w:b/>
                    </w:rPr>
                    <w:t>一、项目基本要求：</w:t>
                  </w:r>
                </w:p>
                <w:p>
                  <w:pPr>
                    <w:pStyle w:val="null3"/>
                    <w:ind w:firstLine="300"/>
                    <w:jc w:val="left"/>
                  </w:pPr>
                  <w:r>
                    <w:rPr>
                      <w:rFonts w:ascii="宋体" w:hAnsi="宋体" w:cs="宋体" w:eastAsia="宋体"/>
                      <w:sz w:val="20"/>
                    </w:rPr>
                    <w:t>（一）交付时间要求：本项目要求</w:t>
                  </w:r>
                  <w:r>
                    <w:rPr>
                      <w:rFonts w:ascii="宋体" w:hAnsi="宋体" w:cs="宋体" w:eastAsia="宋体"/>
                      <w:sz w:val="20"/>
                    </w:rPr>
                    <w:t>2024年9月1日前，完成所有设备的安装、调试、交付。</w:t>
                  </w:r>
                </w:p>
                <w:p>
                  <w:pPr>
                    <w:pStyle w:val="null3"/>
                    <w:ind w:firstLine="300"/>
                    <w:jc w:val="left"/>
                  </w:pPr>
                  <w:r>
                    <w:rPr>
                      <w:rFonts w:ascii="宋体" w:hAnsi="宋体" w:cs="宋体" w:eastAsia="宋体"/>
                      <w:sz w:val="20"/>
                    </w:rPr>
                    <w:t>（二）质保期：自安装、调试正常运行并验收合格之日，本项目整体要求质保</w:t>
                  </w:r>
                  <w:r>
                    <w:rPr>
                      <w:rFonts w:ascii="宋体" w:hAnsi="宋体" w:cs="宋体" w:eastAsia="宋体"/>
                      <w:sz w:val="20"/>
                    </w:rPr>
                    <w:t>5年。</w:t>
                  </w:r>
                </w:p>
                <w:p>
                  <w:pPr>
                    <w:pStyle w:val="null3"/>
                    <w:ind w:firstLine="400"/>
                    <w:jc w:val="both"/>
                  </w:pPr>
                  <w:r>
                    <w:rPr>
                      <w:rFonts w:ascii="宋体" w:hAnsi="宋体" w:cs="宋体" w:eastAsia="宋体"/>
                      <w:sz w:val="20"/>
                    </w:rPr>
                    <w:t>（三）</w:t>
                  </w:r>
                  <w:r>
                    <w:rPr>
                      <w:rFonts w:ascii="宋体" w:hAnsi="宋体" w:cs="宋体" w:eastAsia="宋体"/>
                      <w:sz w:val="20"/>
                    </w:rPr>
                    <w:t>付款方式：项目结束经采购人验收合格后，达到付款条件起</w:t>
                  </w:r>
                  <w:r>
                    <w:rPr>
                      <w:rFonts w:ascii="宋体" w:hAnsi="宋体" w:cs="宋体" w:eastAsia="宋体"/>
                      <w:sz w:val="20"/>
                    </w:rPr>
                    <w:t>99</w:t>
                  </w:r>
                  <w:r>
                    <w:rPr>
                      <w:rFonts w:ascii="宋体" w:hAnsi="宋体" w:cs="宋体" w:eastAsia="宋体"/>
                      <w:sz w:val="20"/>
                    </w:rPr>
                    <w:t>日内，支付合同总金额的</w:t>
                  </w:r>
                  <w:r>
                    <w:rPr>
                      <w:rFonts w:ascii="宋体" w:hAnsi="宋体" w:cs="宋体" w:eastAsia="宋体"/>
                      <w:sz w:val="20"/>
                    </w:rPr>
                    <w:t>100.00%；对于合同中的装修工程部分的结算，以甲方审计部门审计结果为准。</w:t>
                  </w:r>
                </w:p>
                <w:p>
                  <w:pPr>
                    <w:pStyle w:val="null3"/>
                    <w:ind w:firstLine="300"/>
                    <w:jc w:val="left"/>
                  </w:pPr>
                  <w:r>
                    <w:rPr>
                      <w:rFonts w:ascii="宋体" w:hAnsi="宋体" w:cs="宋体" w:eastAsia="宋体"/>
                      <w:sz w:val="20"/>
                    </w:rPr>
                    <w:t>履约保证金：签订合同后，乙方向甲方缴纳合同总价款的</w:t>
                  </w:r>
                  <w:r>
                    <w:rPr>
                      <w:rFonts w:ascii="宋体" w:hAnsi="宋体" w:cs="宋体" w:eastAsia="宋体"/>
                      <w:sz w:val="20"/>
                    </w:rPr>
                    <w:t>3%作为履约保证金，项目验收合格壹年后，由甲方对乙方售后服务及质保履约完成情况进行评价，评价合格后，经乙方申请，甲方在收到乙方申请后一次性无息退还履约保证金。</w:t>
                  </w:r>
                </w:p>
                <w:p>
                  <w:pPr>
                    <w:pStyle w:val="null3"/>
                    <w:ind w:firstLine="300"/>
                    <w:jc w:val="left"/>
                  </w:pPr>
                  <w:r>
                    <w:rPr>
                      <w:rFonts w:ascii="宋体" w:hAnsi="宋体" w:cs="宋体" w:eastAsia="宋体"/>
                      <w:sz w:val="20"/>
                    </w:rPr>
                    <w:t>（四）投标人在工作日提供</w:t>
                  </w:r>
                  <w:r>
                    <w:rPr>
                      <w:rFonts w:ascii="宋体" w:hAnsi="宋体" w:cs="宋体" w:eastAsia="宋体"/>
                      <w:sz w:val="20"/>
                    </w:rPr>
                    <w:t>7*24小时线上售后服务，须确定专人接受采购人故障申告。接到申告，1小时内响应并进行线上修复故障；若线上无法解决，24小时内安排技术人员到达现场将故障修复。</w:t>
                  </w:r>
                </w:p>
                <w:p>
                  <w:pPr>
                    <w:pStyle w:val="null3"/>
                    <w:ind w:firstLine="300"/>
                    <w:jc w:val="left"/>
                  </w:pPr>
                  <w:r>
                    <w:rPr>
                      <w:rFonts w:ascii="宋体" w:hAnsi="宋体" w:cs="宋体" w:eastAsia="宋体"/>
                      <w:sz w:val="20"/>
                    </w:rPr>
                    <w:t>（五）投标人提供培训服务时要有详细的培训计划，同时免费提供系统管理维护手册，免费培训软件使用人员，内容包括软硬件设备操作、日常维护，确保采购方软件使用人员熟练掌握全部功能为止。本次项目需包含升级软件整体安装与调试，校方应用软件整体安装与调试。</w:t>
                  </w:r>
                </w:p>
                <w:p>
                  <w:pPr>
                    <w:pStyle w:val="null3"/>
                    <w:ind w:firstLine="301"/>
                    <w:jc w:val="left"/>
                  </w:pPr>
                  <w:r>
                    <w:rPr>
                      <w:rFonts w:ascii="宋体" w:hAnsi="宋体" w:cs="宋体" w:eastAsia="宋体"/>
                      <w:sz w:val="20"/>
                      <w:b/>
                    </w:rPr>
                    <w:t>二、主要设备技术指标要求</w:t>
                  </w:r>
                </w:p>
                <w:p>
                  <w:pPr>
                    <w:pStyle w:val="null3"/>
                    <w:ind w:firstLine="300"/>
                    <w:jc w:val="left"/>
                  </w:pPr>
                  <w:r>
                    <w:rPr>
                      <w:rFonts w:ascii="宋体" w:hAnsi="宋体" w:cs="宋体" w:eastAsia="宋体"/>
                      <w:sz w:val="20"/>
                    </w:rPr>
                    <w:t>本项目所指公共基础实验室位于长安校区实验楼共</w:t>
                  </w:r>
                  <w:r>
                    <w:rPr>
                      <w:rFonts w:ascii="宋体" w:hAnsi="宋体" w:cs="宋体" w:eastAsia="宋体"/>
                      <w:sz w:val="20"/>
                    </w:rPr>
                    <w:t>17间。该项目采用云学院平台VDI（Virtual Desktop Infrastructure虚拟桌面基础构架）模式，其硬件设备是由“前端教学点位+后端服务器系统”组成，前端设备包括机房17间（每间教室60个教学点位），共计1020个点位的学习终端。后端由24台服务器和2台管理服务器组成。</w:t>
                  </w:r>
                </w:p>
                <w:p>
                  <w:pPr>
                    <w:pStyle w:val="null3"/>
                    <w:ind w:firstLine="300"/>
                    <w:jc w:val="left"/>
                  </w:pPr>
                  <w:r>
                    <w:rPr>
                      <w:rFonts w:ascii="宋体" w:hAnsi="宋体" w:cs="宋体" w:eastAsia="宋体"/>
                      <w:sz w:val="20"/>
                    </w:rPr>
                    <w:t>（一）因本项目为交钥匙工程，所以本部分的设备清单为本项目基本配置指导清单，即实际设备及工程量包含但不限于本清单所列内容。投标单位应按照招标文件中所列设备清单进行实质性响应，在此基础上如投标商认为设备配置和工程量需要调整或增加的，投标商可根据各自的施工经验进行设备配置和工程量的合理调整，所有调整项不再增加预算，调整项所发生费用概由投标商自行承担。</w:t>
                  </w:r>
                </w:p>
                <w:p>
                  <w:pPr>
                    <w:pStyle w:val="null3"/>
                    <w:ind w:firstLine="300"/>
                    <w:jc w:val="left"/>
                  </w:pPr>
                  <w:r>
                    <w:rPr>
                      <w:rFonts w:ascii="宋体" w:hAnsi="宋体" w:cs="宋体" w:eastAsia="宋体"/>
                      <w:sz w:val="20"/>
                    </w:rPr>
                    <w:t>（二）建设项目设备清单（见附表）</w:t>
                  </w:r>
                </w:p>
                <w:p>
                  <w:pPr>
                    <w:pStyle w:val="null3"/>
                    <w:ind w:firstLine="301"/>
                    <w:jc w:val="left"/>
                  </w:pPr>
                  <w:r>
                    <w:rPr>
                      <w:rFonts w:ascii="宋体" w:hAnsi="宋体" w:cs="宋体" w:eastAsia="宋体"/>
                      <w:sz w:val="20"/>
                      <w:b/>
                    </w:rPr>
                    <w:t>附表</w:t>
                  </w:r>
                  <w:r>
                    <w:rPr>
                      <w:rFonts w:ascii="宋体" w:hAnsi="宋体" w:cs="宋体" w:eastAsia="宋体"/>
                      <w:sz w:val="20"/>
                      <w:b/>
                    </w:rPr>
                    <w:t>:</w:t>
                  </w:r>
                </w:p>
                <w:p>
                  <w:pPr>
                    <w:pStyle w:val="null3"/>
                  </w:pPr>
                  <w:r>
                    <w:rPr>
                      <w:rFonts w:ascii="&quot;times new roman&quot;" w:hAnsi="&quot;times new roman&quot;" w:cs="&quot;times new roman&quot;" w:eastAsia="&quot;times new roman&quot;"/>
                      <w:sz w:val="19"/>
                    </w:rPr>
                    <w:t xml:space="preserve"> </w:t>
                  </w:r>
                </w:p>
                <w:p>
                  <w:pPr>
                    <w:pStyle w:val="null3"/>
                    <w:ind w:firstLine="361"/>
                    <w:jc w:val="center"/>
                  </w:pPr>
                  <w:r>
                    <w:rPr>
                      <w:rFonts w:ascii="宋体" w:hAnsi="宋体" w:cs="宋体" w:eastAsia="宋体"/>
                      <w:sz w:val="24"/>
                      <w:b/>
                    </w:rPr>
                    <w:t>建设项目设备清单</w:t>
                  </w:r>
                </w:p>
                <w:tbl>
                  <w:tblPr>
                    <w:tblBorders>
                      <w:top w:val="none" w:color="000000" w:sz="4"/>
                      <w:left w:val="none" w:color="000000" w:sz="4"/>
                      <w:bottom w:val="none" w:color="000000" w:sz="4"/>
                      <w:right w:val="none" w:color="000000" w:sz="4"/>
                      <w:insideH w:val="none"/>
                      <w:insideV w:val="none"/>
                    </w:tblBorders>
                  </w:tblPr>
                  <w:tblGrid>
                    <w:gridCol w:w="99"/>
                    <w:gridCol w:w="310"/>
                    <w:gridCol w:w="1146"/>
                    <w:gridCol w:w="185"/>
                    <w:gridCol w:w="125"/>
                  </w:tblGrid>
                  <w:tr>
                    <w:tc>
                      <w:tcPr>
                        <w:tcW w:type="dxa" w:w="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序号</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设备名称</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技术指标</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数量</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单位</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瘦终端</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1、形态：瘦终端</w:t>
                        </w:r>
                      </w:p>
                      <w:p>
                        <w:pPr>
                          <w:pStyle w:val="null3"/>
                          <w:jc w:val="both"/>
                        </w:pPr>
                        <w:r>
                          <w:rPr>
                            <w:rFonts w:ascii="宋体" w:hAnsi="宋体" w:cs="宋体" w:eastAsia="宋体"/>
                            <w:sz w:val="20"/>
                          </w:rPr>
                          <w:t>2、处理器：ARM架构，≥4核，主频≥2.0Ghz</w:t>
                        </w:r>
                      </w:p>
                      <w:p>
                        <w:pPr>
                          <w:pStyle w:val="null3"/>
                          <w:jc w:val="both"/>
                        </w:pPr>
                        <w:r>
                          <w:rPr>
                            <w:rFonts w:ascii="宋体" w:hAnsi="宋体" w:cs="宋体" w:eastAsia="宋体"/>
                            <w:sz w:val="20"/>
                          </w:rPr>
                          <w:t>3、内存：≥2G</w:t>
                        </w:r>
                      </w:p>
                      <w:p>
                        <w:pPr>
                          <w:pStyle w:val="null3"/>
                          <w:jc w:val="both"/>
                        </w:pPr>
                        <w:r>
                          <w:rPr>
                            <w:rFonts w:ascii="宋体" w:hAnsi="宋体" w:cs="宋体" w:eastAsia="宋体"/>
                            <w:sz w:val="20"/>
                          </w:rPr>
                          <w:t>4、存储：≥8G</w:t>
                        </w:r>
                      </w:p>
                      <w:p>
                        <w:pPr>
                          <w:pStyle w:val="null3"/>
                          <w:jc w:val="both"/>
                        </w:pPr>
                        <w:r>
                          <w:rPr>
                            <w:rFonts w:ascii="宋体" w:hAnsi="宋体" w:cs="宋体" w:eastAsia="宋体"/>
                            <w:sz w:val="20"/>
                          </w:rPr>
                          <w:t>5、接口：≥1个千兆电口，≥4个USB 3.0接口，≥2个USB 2.0接口，≥1个VGA接口，≥1个HDMI接口</w:t>
                        </w:r>
                      </w:p>
                      <w:p>
                        <w:pPr>
                          <w:pStyle w:val="null3"/>
                          <w:jc w:val="both"/>
                        </w:pPr>
                        <w:r>
                          <w:rPr>
                            <w:rFonts w:ascii="宋体" w:hAnsi="宋体" w:cs="宋体" w:eastAsia="宋体"/>
                            <w:sz w:val="20"/>
                          </w:rPr>
                          <w:t>6、要求集成GPU图形处理器，可以实现H.264和H.265视频硬解码</w:t>
                        </w:r>
                      </w:p>
                      <w:p>
                        <w:pPr>
                          <w:pStyle w:val="null3"/>
                          <w:jc w:val="both"/>
                        </w:pPr>
                        <w:r>
                          <w:rPr>
                            <w:rFonts w:ascii="宋体" w:hAnsi="宋体" w:cs="宋体" w:eastAsia="宋体"/>
                            <w:sz w:val="20"/>
                          </w:rPr>
                          <w:t>7、软件适配性：所投硬件可适配云桌面软件并进行统一管理</w:t>
                        </w:r>
                      </w:p>
                      <w:p>
                        <w:pPr>
                          <w:pStyle w:val="null3"/>
                          <w:jc w:val="both"/>
                        </w:pPr>
                        <w:r>
                          <w:rPr>
                            <w:rFonts w:ascii="calibri" w:hAnsi="calibri" w:cs="calibri" w:eastAsia="calibri"/>
                            <w:sz w:val="21"/>
                          </w:rPr>
                          <w:t>8</w:t>
                        </w:r>
                        <w:r>
                          <w:rPr>
                            <w:rFonts w:ascii="宋体" w:hAnsi="宋体" w:cs="宋体" w:eastAsia="宋体"/>
                            <w:sz w:val="21"/>
                          </w:rPr>
                          <w:t>、</w:t>
                        </w:r>
                        <w:r>
                          <w:rPr>
                            <w:rFonts w:ascii="宋体" w:hAnsi="宋体" w:cs="宋体" w:eastAsia="宋体"/>
                            <w:sz w:val="20"/>
                          </w:rPr>
                          <w:t>提供由制造商出具的五年售后服务承诺函。</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1020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服务器</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1、形态：2U机架式服务器</w:t>
                        </w:r>
                      </w:p>
                      <w:p>
                        <w:pPr>
                          <w:pStyle w:val="null3"/>
                          <w:jc w:val="both"/>
                        </w:pPr>
                        <w:r>
                          <w:rPr>
                            <w:rFonts w:ascii="宋体" w:hAnsi="宋体" w:cs="宋体" w:eastAsia="宋体"/>
                            <w:sz w:val="20"/>
                          </w:rPr>
                          <w:t>2、处理器：整机实配≥2颗X86架构处理器，整机核数≥96核，每颗处理器主频≥2.6Ghz</w:t>
                        </w:r>
                      </w:p>
                      <w:p>
                        <w:pPr>
                          <w:pStyle w:val="null3"/>
                          <w:jc w:val="both"/>
                        </w:pPr>
                        <w:r>
                          <w:rPr>
                            <w:rFonts w:ascii="宋体" w:hAnsi="宋体" w:cs="宋体" w:eastAsia="宋体"/>
                            <w:sz w:val="20"/>
                          </w:rPr>
                          <w:t>3、内存：整机实配≥512G内存</w:t>
                        </w:r>
                      </w:p>
                      <w:p>
                        <w:pPr>
                          <w:pStyle w:val="null3"/>
                          <w:jc w:val="both"/>
                        </w:pPr>
                        <w:r>
                          <w:rPr>
                            <w:rFonts w:ascii="宋体" w:hAnsi="宋体" w:cs="宋体" w:eastAsia="宋体"/>
                            <w:sz w:val="20"/>
                          </w:rPr>
                          <w:t>4、硬盘：实配≥2块600G SAS HDD，≥2块960G SATA HDD，≥2块3.84T SATA SSD</w:t>
                        </w:r>
                      </w:p>
                      <w:p>
                        <w:pPr>
                          <w:pStyle w:val="null3"/>
                          <w:jc w:val="both"/>
                        </w:pPr>
                        <w:r>
                          <w:rPr>
                            <w:rFonts w:ascii="宋体" w:hAnsi="宋体" w:cs="宋体" w:eastAsia="宋体"/>
                            <w:sz w:val="20"/>
                          </w:rPr>
                          <w:t>5、RAID卡：实配≥1块RAID卡，缓存≥2G，支持RAID 0/1/5/6/10，实配掉电保护模块</w:t>
                        </w:r>
                      </w:p>
                      <w:p>
                        <w:pPr>
                          <w:pStyle w:val="null3"/>
                          <w:jc w:val="both"/>
                        </w:pPr>
                        <w:r>
                          <w:rPr>
                            <w:rFonts w:ascii="宋体" w:hAnsi="宋体" w:cs="宋体" w:eastAsia="宋体"/>
                            <w:sz w:val="20"/>
                          </w:rPr>
                          <w:t>6、网卡：实配≥2个万兆光口（满配万兆多模光模块），≥4个千兆电口</w:t>
                        </w:r>
                      </w:p>
                      <w:p>
                        <w:pPr>
                          <w:pStyle w:val="null3"/>
                          <w:jc w:val="both"/>
                        </w:pPr>
                        <w:r>
                          <w:rPr>
                            <w:rFonts w:ascii="宋体" w:hAnsi="宋体" w:cs="宋体" w:eastAsia="宋体"/>
                            <w:sz w:val="20"/>
                          </w:rPr>
                          <w:t>7、电源：实配≥2个交流冗余电源</w:t>
                        </w:r>
                      </w:p>
                      <w:p>
                        <w:pPr>
                          <w:pStyle w:val="null3"/>
                          <w:jc w:val="both"/>
                        </w:pPr>
                        <w:r>
                          <w:rPr>
                            <w:rFonts w:ascii="宋体" w:hAnsi="宋体" w:cs="宋体" w:eastAsia="宋体"/>
                            <w:sz w:val="20"/>
                          </w:rPr>
                          <w:t>8、配件：实配≥6个热插拔冗余风扇，原厂服务器导轨等</w:t>
                        </w:r>
                      </w:p>
                      <w:p>
                        <w:pPr>
                          <w:pStyle w:val="null3"/>
                          <w:jc w:val="both"/>
                        </w:pPr>
                        <w:r>
                          <w:rPr>
                            <w:rFonts w:ascii="宋体" w:hAnsi="宋体" w:cs="宋体" w:eastAsia="宋体"/>
                            <w:sz w:val="20"/>
                          </w:rPr>
                          <w:t>9、服务：提供由制造商出具的五年售后服务承诺函。</w:t>
                        </w:r>
                      </w:p>
                      <w:p>
                        <w:pPr>
                          <w:pStyle w:val="null3"/>
                          <w:jc w:val="both"/>
                        </w:pPr>
                        <w:r>
                          <w:rPr>
                            <w:rFonts w:ascii="宋体" w:hAnsi="宋体" w:cs="宋体" w:eastAsia="宋体"/>
                            <w:sz w:val="20"/>
                          </w:rPr>
                          <w:t>10、软件适配性：所投硬件可适配云桌面软件并进行统一管理</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服务器专用硬盘</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现网服务器硬盘扩容：</w:t>
                        </w:r>
                      </w:p>
                      <w:p>
                        <w:pPr>
                          <w:pStyle w:val="null3"/>
                          <w:jc w:val="both"/>
                        </w:pPr>
                        <w:r>
                          <w:rPr>
                            <w:rFonts w:ascii="宋体" w:hAnsi="宋体" w:cs="宋体" w:eastAsia="宋体"/>
                            <w:sz w:val="20"/>
                          </w:rPr>
                          <w:t>1、在现网24台服务器上扩容硬盘组，每台服务器扩容2块2.5寸 600G SAS 10K HDD及2块2.5寸 960G SATA SSD硬盘</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核心交换机板卡扩容</w:t>
                        </w:r>
                        <w:r>
                          <w:rPr>
                            <w:rFonts w:ascii="宋体" w:hAnsi="宋体" w:cs="宋体" w:eastAsia="宋体"/>
                            <w:sz w:val="20"/>
                            <w:b/>
                          </w:rPr>
                          <w:t>(含16个万兆多模光模块)</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现有网络核心交换机</w:t>
                        </w:r>
                        <w:r>
                          <w:rPr>
                            <w:rFonts w:ascii="宋体" w:hAnsi="宋体" w:cs="宋体" w:eastAsia="宋体"/>
                            <w:sz w:val="20"/>
                          </w:rPr>
                          <w:t>S7510E-X板卡扩容：</w:t>
                        </w:r>
                      </w:p>
                      <w:p>
                        <w:pPr>
                          <w:pStyle w:val="null3"/>
                          <w:jc w:val="both"/>
                        </w:pPr>
                        <w:r>
                          <w:rPr>
                            <w:rFonts w:ascii="宋体" w:hAnsi="宋体" w:cs="宋体" w:eastAsia="宋体"/>
                            <w:sz w:val="20"/>
                          </w:rPr>
                          <w:t>1、本次扩容≥1块16端口万兆光板卡（满配万兆多模光模块），能够适配兼容现网S7510E-X核心交换机</w:t>
                        </w:r>
                      </w:p>
                      <w:p>
                        <w:pPr>
                          <w:pStyle w:val="null3"/>
                          <w:jc w:val="both"/>
                        </w:pPr>
                        <w:r>
                          <w:rPr>
                            <w:rFonts w:ascii="宋体" w:hAnsi="宋体" w:cs="宋体" w:eastAsia="宋体"/>
                            <w:sz w:val="20"/>
                          </w:rPr>
                          <w:t>2、本次扩容≥1块48端口千兆电板卡，能够适配兼容现网S7510E-X核心交换机</w:t>
                        </w:r>
                      </w:p>
                      <w:p>
                        <w:pPr>
                          <w:pStyle w:val="null3"/>
                          <w:jc w:val="both"/>
                        </w:pPr>
                        <w:r>
                          <w:rPr>
                            <w:rFonts w:ascii="calibri" w:hAnsi="calibri" w:cs="calibri" w:eastAsia="calibri"/>
                            <w:sz w:val="21"/>
                          </w:rPr>
                          <w:t>3</w:t>
                        </w:r>
                        <w:r>
                          <w:rPr>
                            <w:rFonts w:ascii="宋体" w:hAnsi="宋体" w:cs="宋体" w:eastAsia="宋体"/>
                            <w:sz w:val="21"/>
                          </w:rPr>
                          <w:t>、</w:t>
                        </w:r>
                        <w:r>
                          <w:rPr>
                            <w:rFonts w:ascii="宋体" w:hAnsi="宋体" w:cs="宋体" w:eastAsia="宋体"/>
                            <w:sz w:val="20"/>
                          </w:rPr>
                          <w:t>提供由制造商出具的五年售后服务承诺函</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USB服务器</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1、≤2U标准机架式。</w:t>
                        </w:r>
                      </w:p>
                      <w:p>
                        <w:pPr>
                          <w:pStyle w:val="null3"/>
                          <w:jc w:val="both"/>
                        </w:pPr>
                        <w:r>
                          <w:rPr>
                            <w:rFonts w:ascii="宋体" w:hAnsi="宋体" w:cs="宋体" w:eastAsia="宋体"/>
                            <w:sz w:val="20"/>
                          </w:rPr>
                          <w:t>2、≥3核心架构，每16个usb接口为一组独立核心，共3组48个usb接口，各组 usb 端口之间完全隔离，包括网络，cpu, 内存，操作系统，任何一组usb都可以配置不同的引擎来识别不同版本的U盾。</w:t>
                        </w:r>
                      </w:p>
                      <w:p>
                        <w:pPr>
                          <w:pStyle w:val="null3"/>
                          <w:jc w:val="both"/>
                        </w:pPr>
                        <w:r>
                          <w:rPr>
                            <w:rFonts w:ascii="宋体" w:hAnsi="宋体" w:cs="宋体" w:eastAsia="宋体"/>
                            <w:sz w:val="20"/>
                          </w:rPr>
                          <w:t>3、≥2个GBE 千兆网口。</w:t>
                        </w:r>
                      </w:p>
                      <w:p>
                        <w:pPr>
                          <w:pStyle w:val="null3"/>
                          <w:jc w:val="both"/>
                        </w:pPr>
                        <w:r>
                          <w:rPr>
                            <w:rFonts w:ascii="宋体" w:hAnsi="宋体" w:cs="宋体" w:eastAsia="宋体"/>
                            <w:sz w:val="20"/>
                          </w:rPr>
                          <w:t>4、提供WEB管理界面，内置SNMP 和 ZABBIX 管理功能。</w:t>
                        </w:r>
                      </w:p>
                      <w:p>
                        <w:pPr>
                          <w:pStyle w:val="null3"/>
                          <w:jc w:val="both"/>
                        </w:pPr>
                        <w:r>
                          <w:rPr>
                            <w:rFonts w:ascii="宋体" w:hAnsi="宋体" w:cs="宋体" w:eastAsia="宋体"/>
                            <w:sz w:val="20"/>
                          </w:rPr>
                          <w:t>5、≥24个 USB2.0 + 24个 USB3.0 gen1 端口,每端口提供 750mA 供电。</w:t>
                        </w:r>
                      </w:p>
                      <w:p>
                        <w:pPr>
                          <w:pStyle w:val="null3"/>
                          <w:jc w:val="both"/>
                        </w:pPr>
                        <w:r>
                          <w:rPr>
                            <w:rFonts w:ascii="宋体" w:hAnsi="宋体" w:cs="宋体" w:eastAsia="宋体"/>
                            <w:sz w:val="20"/>
                          </w:rPr>
                          <w:t>6、处理器：≥四核</w:t>
                        </w:r>
                      </w:p>
                      <w:p>
                        <w:pPr>
                          <w:pStyle w:val="null3"/>
                          <w:jc w:val="both"/>
                        </w:pPr>
                        <w:r>
                          <w:rPr>
                            <w:rFonts w:ascii="宋体" w:hAnsi="宋体" w:cs="宋体" w:eastAsia="宋体"/>
                            <w:sz w:val="20"/>
                          </w:rPr>
                          <w:t>7、存储：≥2GB/64GB*3。</w:t>
                        </w:r>
                      </w:p>
                      <w:p>
                        <w:pPr>
                          <w:pStyle w:val="null3"/>
                          <w:jc w:val="both"/>
                        </w:pPr>
                        <w:r>
                          <w:rPr>
                            <w:rFonts w:ascii="宋体" w:hAnsi="宋体" w:cs="宋体" w:eastAsia="宋体"/>
                            <w:sz w:val="20"/>
                          </w:rPr>
                          <w:t>8、≥300W电源。</w:t>
                        </w:r>
                      </w:p>
                      <w:p>
                        <w:pPr>
                          <w:pStyle w:val="null3"/>
                          <w:jc w:val="both"/>
                        </w:pPr>
                        <w:r>
                          <w:rPr>
                            <w:rFonts w:ascii="宋体" w:hAnsi="宋体" w:cs="宋体" w:eastAsia="宋体"/>
                            <w:sz w:val="20"/>
                          </w:rPr>
                          <w:t>9、可以通过usb hub扩展到≥128个端口设备使用,同时连接客户数≥1024个。</w:t>
                        </w:r>
                      </w:p>
                      <w:p>
                        <w:pPr>
                          <w:pStyle w:val="null3"/>
                          <w:jc w:val="both"/>
                        </w:pPr>
                        <w:r>
                          <w:rPr>
                            <w:rFonts w:ascii="宋体" w:hAnsi="宋体" w:cs="宋体" w:eastAsia="宋体"/>
                            <w:sz w:val="20"/>
                          </w:rPr>
                          <w:t>10、设备访问支持 VMWare \ Xen \ Hyper-V 等主流服务器虚拟环境。</w:t>
                        </w:r>
                      </w:p>
                      <w:p>
                        <w:pPr>
                          <w:pStyle w:val="null3"/>
                          <w:jc w:val="both"/>
                        </w:pPr>
                        <w:r>
                          <w:rPr>
                            <w:rFonts w:ascii="宋体" w:hAnsi="宋体" w:cs="宋体" w:eastAsia="宋体"/>
                            <w:sz w:val="20"/>
                          </w:rPr>
                          <w:t>11、虚拟化系统支持VMWare、Microsoft、citrix Xen Server、KVM。</w:t>
                        </w:r>
                      </w:p>
                      <w:p>
                        <w:pPr>
                          <w:pStyle w:val="null3"/>
                          <w:jc w:val="both"/>
                        </w:pPr>
                        <w:r>
                          <w:rPr>
                            <w:rFonts w:ascii="宋体" w:hAnsi="宋体" w:cs="宋体" w:eastAsia="宋体"/>
                            <w:sz w:val="20"/>
                          </w:rPr>
                          <w:t>12、含usb net server 32位，64位企业版授权。</w:t>
                        </w:r>
                      </w:p>
                      <w:p>
                        <w:pPr>
                          <w:pStyle w:val="null3"/>
                          <w:jc w:val="both"/>
                        </w:pPr>
                        <w:r>
                          <w:rPr>
                            <w:rFonts w:ascii="宋体" w:hAnsi="宋体" w:cs="宋体" w:eastAsia="宋体"/>
                            <w:sz w:val="20"/>
                          </w:rPr>
                          <w:t>13、系统支持Windows、Linux、mac。</w:t>
                        </w:r>
                      </w:p>
                      <w:p>
                        <w:pPr>
                          <w:pStyle w:val="null3"/>
                          <w:jc w:val="both"/>
                        </w:pPr>
                        <w:r>
                          <w:rPr>
                            <w:rFonts w:ascii="宋体" w:hAnsi="宋体" w:cs="宋体" w:eastAsia="宋体"/>
                            <w:sz w:val="20"/>
                          </w:rPr>
                          <w:t>14、Linux端口数量不限。</w:t>
                        </w:r>
                      </w:p>
                      <w:p>
                        <w:pPr>
                          <w:pStyle w:val="null3"/>
                          <w:jc w:val="both"/>
                        </w:pPr>
                        <w:r>
                          <w:rPr>
                            <w:rFonts w:ascii="宋体" w:hAnsi="宋体" w:cs="宋体" w:eastAsia="宋体"/>
                            <w:sz w:val="20"/>
                          </w:rPr>
                          <w:t>15、支持RPA接口调用。</w:t>
                        </w:r>
                      </w:p>
                      <w:p>
                        <w:pPr>
                          <w:pStyle w:val="null3"/>
                          <w:jc w:val="both"/>
                        </w:pPr>
                        <w:r>
                          <w:rPr>
                            <w:rFonts w:ascii="宋体" w:hAnsi="宋体" w:cs="宋体" w:eastAsia="宋体"/>
                            <w:sz w:val="20"/>
                          </w:rPr>
                          <w:t>16、所有接口支持模拟插拔功能。</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教师机主机</w:t>
                        </w:r>
                      </w:p>
                      <w:p>
                        <w:pPr>
                          <w:pStyle w:val="null3"/>
                          <w:jc w:val="center"/>
                        </w:p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1、主板：不低于B760芯片组，主板自带蜂鸣器，借助蜂鸣器长短声音的组合，实现故障报警检测功能；实配DVD刻录光驱</w:t>
                        </w:r>
                      </w:p>
                      <w:p>
                        <w:pPr>
                          <w:pStyle w:val="null3"/>
                          <w:jc w:val="both"/>
                        </w:pPr>
                        <w:r>
                          <w:rPr>
                            <w:rFonts w:ascii="宋体" w:hAnsi="宋体" w:cs="宋体" w:eastAsia="宋体"/>
                            <w:sz w:val="20"/>
                          </w:rPr>
                          <w:t>2、处理器</w:t>
                        </w:r>
                        <w:r>
                          <w:rPr>
                            <w:rFonts w:ascii="宋体" w:hAnsi="宋体" w:cs="宋体" w:eastAsia="宋体"/>
                            <w:sz w:val="20"/>
                          </w:rPr>
                          <w:t>：实配</w:t>
                        </w:r>
                        <w:r>
                          <w:rPr>
                            <w:rFonts w:ascii="宋体" w:hAnsi="宋体" w:cs="宋体" w:eastAsia="宋体"/>
                            <w:sz w:val="20"/>
                          </w:rPr>
                          <w:t>≥1颗12代i</w:t>
                        </w:r>
                        <w:r>
                          <w:rPr>
                            <w:rFonts w:ascii="宋体" w:hAnsi="宋体" w:cs="宋体" w:eastAsia="宋体"/>
                            <w:sz w:val="20"/>
                          </w:rPr>
                          <w:t>7</w:t>
                        </w:r>
                        <w:r>
                          <w:rPr>
                            <w:rFonts w:ascii="宋体" w:hAnsi="宋体" w:cs="宋体" w:eastAsia="宋体"/>
                            <w:sz w:val="20"/>
                          </w:rPr>
                          <w:t>处理器，主频</w:t>
                        </w:r>
                        <w:r>
                          <w:rPr>
                            <w:rFonts w:ascii="宋体" w:hAnsi="宋体" w:cs="宋体" w:eastAsia="宋体"/>
                            <w:sz w:val="20"/>
                          </w:rPr>
                          <w:t>≥2.5Ghz，核数≥6核12线程，</w:t>
                        </w:r>
                      </w:p>
                      <w:p>
                        <w:pPr>
                          <w:pStyle w:val="null3"/>
                          <w:jc w:val="both"/>
                        </w:pPr>
                        <w:r>
                          <w:rPr>
                            <w:rFonts w:ascii="宋体" w:hAnsi="宋体" w:cs="宋体" w:eastAsia="宋体"/>
                            <w:sz w:val="20"/>
                          </w:rPr>
                          <w:t>3、内存：≥32GB DDR4</w:t>
                        </w:r>
                      </w:p>
                      <w:p>
                        <w:pPr>
                          <w:pStyle w:val="null3"/>
                          <w:jc w:val="both"/>
                        </w:pPr>
                        <w:r>
                          <w:rPr>
                            <w:rFonts w:ascii="宋体" w:hAnsi="宋体" w:cs="宋体" w:eastAsia="宋体"/>
                            <w:sz w:val="20"/>
                          </w:rPr>
                          <w:t>4、硬盘：≥M.2 512GB NVM</w:t>
                        </w:r>
                        <w:r>
                          <w:rPr>
                            <w:rFonts w:ascii="宋体" w:hAnsi="宋体" w:cs="宋体" w:eastAsia="宋体"/>
                            <w:sz w:val="20"/>
                          </w:rPr>
                          <w:t>e固态硬盘</w:t>
                        </w:r>
                      </w:p>
                      <w:p>
                        <w:pPr>
                          <w:pStyle w:val="null3"/>
                          <w:jc w:val="both"/>
                        </w:pPr>
                        <w:r>
                          <w:rPr>
                            <w:rFonts w:ascii="宋体" w:hAnsi="宋体" w:cs="宋体" w:eastAsia="宋体"/>
                            <w:sz w:val="20"/>
                          </w:rPr>
                          <w:t>5、USB接口：≥10个USB接口，其中不少于4个USB3.2 Gen1、1个USB3.2 Gen2及1个USB3.2 Gen2 Type-C接口</w:t>
                        </w:r>
                      </w:p>
                      <w:p>
                        <w:pPr>
                          <w:pStyle w:val="null3"/>
                          <w:jc w:val="both"/>
                        </w:pPr>
                        <w:r>
                          <w:rPr>
                            <w:rFonts w:ascii="宋体" w:hAnsi="宋体" w:cs="宋体" w:eastAsia="宋体"/>
                            <w:sz w:val="20"/>
                          </w:rPr>
                          <w:t>6、网卡：集成10/100/1000M自适应千兆网卡；</w:t>
                        </w:r>
                      </w:p>
                      <w:p>
                        <w:pPr>
                          <w:pStyle w:val="null3"/>
                          <w:jc w:val="both"/>
                        </w:pPr>
                        <w:r>
                          <w:rPr>
                            <w:rFonts w:ascii="宋体" w:hAnsi="宋体" w:cs="宋体" w:eastAsia="宋体"/>
                            <w:sz w:val="20"/>
                          </w:rPr>
                          <w:t>7、键盘鼠标：标准USB商务键盘鼠标；</w:t>
                        </w:r>
                      </w:p>
                      <w:p>
                        <w:pPr>
                          <w:pStyle w:val="null3"/>
                          <w:jc w:val="both"/>
                        </w:pPr>
                        <w:r>
                          <w:rPr>
                            <w:rFonts w:ascii="宋体" w:hAnsi="宋体" w:cs="宋体" w:eastAsia="宋体"/>
                            <w:sz w:val="20"/>
                          </w:rPr>
                          <w:t>8、电源：≥300W 节能电源；</w:t>
                        </w:r>
                      </w:p>
                      <w:p>
                        <w:pPr>
                          <w:pStyle w:val="null3"/>
                          <w:jc w:val="both"/>
                        </w:pPr>
                        <w:r>
                          <w:rPr>
                            <w:rFonts w:ascii="宋体" w:hAnsi="宋体" w:cs="宋体" w:eastAsia="宋体"/>
                            <w:sz w:val="20"/>
                          </w:rPr>
                          <w:t>9、机箱：≤10L，顶置电源开关，前置可拆洗防尘罩</w:t>
                        </w:r>
                      </w:p>
                      <w:p>
                        <w:pPr>
                          <w:pStyle w:val="null3"/>
                          <w:jc w:val="both"/>
                        </w:pPr>
                        <w:r>
                          <w:rPr>
                            <w:rFonts w:ascii="宋体" w:hAnsi="宋体" w:cs="宋体" w:eastAsia="宋体"/>
                            <w:sz w:val="20"/>
                          </w:rPr>
                          <w:t>10、操作系统：预装正版Windows 11及以上操作系统；</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云学院</w:t>
                        </w:r>
                        <w:r>
                          <w:rPr>
                            <w:rFonts w:ascii="宋体" w:hAnsi="宋体" w:cs="宋体" w:eastAsia="宋体"/>
                            <w:sz w:val="20"/>
                            <w:b/>
                          </w:rPr>
                          <w:t>VDI系统管理软件升级服务</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本项目系统管理软件升级后需实现以下主要功能及指标：</w:t>
                        </w:r>
                      </w:p>
                      <w:p>
                        <w:pPr>
                          <w:pStyle w:val="null3"/>
                          <w:jc w:val="both"/>
                        </w:pPr>
                        <w:r>
                          <w:rPr>
                            <w:rFonts w:ascii="宋体" w:hAnsi="宋体" w:cs="宋体" w:eastAsia="宋体"/>
                            <w:sz w:val="20"/>
                          </w:rPr>
                          <w:t>1、为减轻运维压力，升级后支持统一界面集成管理，可以在同一个管理页面中完成虚拟化、桌面池、桌面镜像、虚拟教室、课程模板、云盘、应用商城、驱动程序、和云终端的统一管理，统一告警，统一日志查询。</w:t>
                        </w:r>
                      </w:p>
                      <w:p>
                        <w:pPr>
                          <w:pStyle w:val="null3"/>
                          <w:jc w:val="both"/>
                        </w:pPr>
                        <w:r>
                          <w:rPr>
                            <w:rFonts w:ascii="宋体" w:hAnsi="宋体" w:cs="宋体" w:eastAsia="宋体"/>
                            <w:sz w:val="20"/>
                          </w:rPr>
                          <w:t>2、系统支持服务器自带硬盘的存储方式外，同时也支持外连存储设备的方案，可对接多种存储，包括GlusterFS、Ceph、独立外挂存储，以用作课程镜像母盘的存储介质。多个计算节点可共享存储，读取共享母盘，从而实现镜像的快速分发。</w:t>
                        </w:r>
                      </w:p>
                      <w:p>
                        <w:pPr>
                          <w:pStyle w:val="null3"/>
                          <w:jc w:val="both"/>
                        </w:pPr>
                        <w:r>
                          <w:rPr>
                            <w:rFonts w:ascii="宋体" w:hAnsi="宋体" w:cs="宋体" w:eastAsia="宋体"/>
                            <w:sz w:val="20"/>
                          </w:rPr>
                          <w:t>3、升级后支持IPv4/IPv6双栈运行，具备网络扩展性。</w:t>
                        </w:r>
                      </w:p>
                      <w:p>
                        <w:pPr>
                          <w:pStyle w:val="null3"/>
                          <w:jc w:val="both"/>
                        </w:pPr>
                        <w:r>
                          <w:rPr>
                            <w:rFonts w:ascii="宋体" w:hAnsi="宋体" w:cs="宋体" w:eastAsia="宋体"/>
                            <w:sz w:val="20"/>
                          </w:rPr>
                          <w:t>4、升级后可实现教师端和学生端使用差异化的软件，支持教师端和学生端教学镜像区分，可独立设置镜像和还原策略；也可以实现教师端跟随学生策略，和学生共用一套镜像和还原策略。</w:t>
                        </w:r>
                      </w:p>
                      <w:p>
                        <w:pPr>
                          <w:pStyle w:val="null3"/>
                          <w:jc w:val="both"/>
                        </w:pPr>
                        <w:r>
                          <w:rPr>
                            <w:rFonts w:ascii="宋体" w:hAnsi="宋体" w:cs="宋体" w:eastAsia="宋体"/>
                            <w:sz w:val="20"/>
                          </w:rPr>
                          <w:t>5、升级后可提供多个操作系统（课程模板）的选择界面，支持主流的Windows（如win7、win10、win11）、windows server（如winserver 2012、2016）、Linux（如Ubuntu、CentOS、linuxmint）等操作系统。</w:t>
                        </w:r>
                      </w:p>
                      <w:p>
                        <w:pPr>
                          <w:pStyle w:val="null3"/>
                          <w:jc w:val="both"/>
                        </w:pPr>
                        <w:r>
                          <w:rPr>
                            <w:rFonts w:ascii="宋体" w:hAnsi="宋体" w:cs="宋体" w:eastAsia="宋体"/>
                            <w:sz w:val="20"/>
                          </w:rPr>
                          <w:t>6、升级软件支持收发作业，可针对单个或多个学生收发作业，学生端通过UI界面主动提交作业发送到教师端，教师端可展示发送进度条。支持断点续传功能，保证作业文件的可靠传输。</w:t>
                        </w:r>
                      </w:p>
                      <w:p>
                        <w:pPr>
                          <w:pStyle w:val="null3"/>
                          <w:jc w:val="both"/>
                        </w:pPr>
                        <w:r>
                          <w:rPr>
                            <w:rFonts w:ascii="宋体" w:hAnsi="宋体" w:cs="宋体" w:eastAsia="宋体"/>
                            <w:sz w:val="20"/>
                          </w:rPr>
                          <w:t>7、升级后支持合班教学，老师可以一键指定某一云桌面模板，面向多个教室进行统一上课。上课后，多个教室的学生被教师端集中管理，统一连接指定的虚拟桌面，老师可以通过教学软件查看各个教室学生的桌面情况。并实现跨教室的屏幕广播，远程协助等功能。下课后，教室里的终端又恢复受控于各个教室所属的教师端。</w:t>
                        </w:r>
                      </w:p>
                      <w:p>
                        <w:pPr>
                          <w:pStyle w:val="null3"/>
                          <w:jc w:val="both"/>
                        </w:pPr>
                        <w:r>
                          <w:rPr>
                            <w:rFonts w:ascii="宋体" w:hAnsi="宋体" w:cs="宋体" w:eastAsia="宋体"/>
                            <w:sz w:val="20"/>
                          </w:rPr>
                          <w:t>8、升级后支持对学校机房课程设置课表，支持配置学期起止时间，课表作息时间，支持单双周配置，支持课表导出。</w:t>
                        </w:r>
                      </w:p>
                      <w:p>
                        <w:pPr>
                          <w:pStyle w:val="null3"/>
                          <w:jc w:val="both"/>
                        </w:pPr>
                        <w:r>
                          <w:rPr>
                            <w:rFonts w:ascii="宋体" w:hAnsi="宋体" w:cs="宋体" w:eastAsia="宋体"/>
                            <w:sz w:val="20"/>
                          </w:rPr>
                          <w:t>9、为保证系统管理软件利用率，升级后支持显示闲置的虚机数量，闲置比例，以及闲置桌面的趋势情况，并以列表形式详细展示闲置虚拟机的各项性能指标，包括虚拟机名称，使用者，操作系统,IP地址，负载情况，资源利用率等信息，同时给出问题桌面的问题描述及处理建议。</w:t>
                        </w:r>
                      </w:p>
                      <w:p>
                        <w:pPr>
                          <w:pStyle w:val="null3"/>
                          <w:jc w:val="both"/>
                        </w:pPr>
                        <w:r>
                          <w:rPr>
                            <w:rFonts w:ascii="宋体" w:hAnsi="宋体" w:cs="宋体" w:eastAsia="宋体"/>
                            <w:sz w:val="20"/>
                          </w:rPr>
                          <w:t>10、升级后支持多种账户管理方案，包括但不限于学生用户，老师用户，AD域用户，LDAP用户，管理员用户。</w:t>
                        </w:r>
                      </w:p>
                      <w:p>
                        <w:pPr>
                          <w:pStyle w:val="null3"/>
                          <w:jc w:val="both"/>
                        </w:pPr>
                        <w:r>
                          <w:rPr>
                            <w:rFonts w:ascii="calibri" w:hAnsi="calibri" w:cs="calibri" w:eastAsia="calibri"/>
                            <w:sz w:val="21"/>
                          </w:rPr>
                          <w:t>11</w:t>
                        </w:r>
                        <w:r>
                          <w:rPr>
                            <w:rFonts w:ascii="宋体" w:hAnsi="宋体" w:cs="宋体" w:eastAsia="宋体"/>
                            <w:sz w:val="21"/>
                          </w:rPr>
                          <w:t>、</w:t>
                        </w:r>
                        <w:r>
                          <w:rPr>
                            <w:rFonts w:ascii="宋体" w:hAnsi="宋体" w:cs="宋体" w:eastAsia="宋体"/>
                            <w:sz w:val="20"/>
                          </w:rPr>
                          <w:t>提供由制造商出具的五年售后服务承诺函。</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质保期内的免费系统升级服务</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在合同规定的质保期内，若遇厂家相关产品系统升级，本项目享受免费的系统升级及维保服务。</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所支持的操作系统要求</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本项目管理系统必须支持的操作系统包括</w:t>
                        </w:r>
                        <w:r>
                          <w:rPr>
                            <w:rFonts w:ascii="宋体" w:hAnsi="宋体" w:cs="宋体" w:eastAsia="宋体"/>
                            <w:sz w:val="20"/>
                          </w:rPr>
                          <w:t>windows10及以上和目前国内主流的国产化操作系统，如</w:t>
                        </w:r>
                        <w:r>
                          <w:rPr>
                            <w:rFonts w:ascii="宋体" w:hAnsi="宋体" w:cs="宋体" w:eastAsia="宋体"/>
                            <w:sz w:val="20"/>
                          </w:rPr>
                          <w:t>UOS、Kylin。</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项目集成要求</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针对本项目所包括的</w:t>
                        </w:r>
                        <w:r>
                          <w:rPr>
                            <w:rFonts w:ascii="宋体" w:hAnsi="宋体" w:cs="宋体" w:eastAsia="宋体"/>
                            <w:sz w:val="20"/>
                          </w:rPr>
                          <w:t>17间教室环境设施进行检查，对发现的墙面、地板、吊顶、电源开关、综合布线、教学桌椅等设施设备存在的缺损、损坏、等问题进行修善、更新或改造，使教室达到甲方教学功能需求。</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其他服务要求</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1、本次实施需完成应用软件安装及调试。</w:t>
                        </w:r>
                      </w:p>
                      <w:p>
                        <w:pPr>
                          <w:pStyle w:val="null3"/>
                          <w:jc w:val="both"/>
                        </w:pPr>
                        <w:r>
                          <w:rPr>
                            <w:rFonts w:ascii="宋体" w:hAnsi="宋体" w:cs="宋体" w:eastAsia="宋体"/>
                            <w:sz w:val="20"/>
                          </w:rPr>
                          <w:t>2、完成本次项目涉及的所有网络端口和交换机等设备的检查，存在故障的相关设备及发现的问题端口需包含光纤跳线等进行更换。</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r>
                </w:tbl>
                <w:p>
                  <w:pPr>
                    <w:pStyle w:val="null3"/>
                    <w:jc w:val="both"/>
                  </w:pP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合同签订后，2024年9月1日前完成供货。</w:t>
      </w:r>
    </w:p>
    <w:p>
      <w:pPr>
        <w:pStyle w:val="null3"/>
        <w:outlineLvl w:val="3"/>
      </w:pPr>
      <w:r>
        <w:rPr>
          <w:sz w:val="24"/>
          <w:b/>
        </w:rPr>
        <w:t>3.4.2交货地点</w:t>
      </w:r>
    </w:p>
    <w:p>
      <w:pPr>
        <w:pStyle w:val="null3"/>
      </w:pPr>
      <w:r>
        <w:rPr/>
        <w:t>采购包1：</w:t>
      </w:r>
    </w:p>
    <w:p>
      <w:pPr>
        <w:pStyle w:val="null3"/>
      </w:pPr>
      <w:r>
        <w:rPr/>
        <w:t>采购人指定的地点。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项目结束经采购人验收合格后</w:t>
      </w:r>
      <w:r>
        <w:rPr/>
        <w:t xml:space="preserve"> ，达到付款条件起 </w:t>
      </w:r>
      <w:r>
        <w:rPr/>
        <w:t>99</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根据招标文件要求、投标文件及合同约定执行。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自安装、调试正常运行并验收合格之日，本项目整体要求质保5年。</w:t>
      </w:r>
    </w:p>
    <w:p>
      <w:pPr>
        <w:pStyle w:val="null3"/>
        <w:outlineLvl w:val="3"/>
      </w:pPr>
      <w:r>
        <w:rPr>
          <w:sz w:val="24"/>
          <w:b/>
        </w:rPr>
        <w:t>3.4.8违约责任与解决争议的方法</w:t>
      </w:r>
    </w:p>
    <w:p>
      <w:pPr>
        <w:pStyle w:val="null3"/>
      </w:pPr>
      <w:r>
        <w:rPr/>
        <w:t>采购包1：</w:t>
      </w:r>
    </w:p>
    <w:p>
      <w:pPr>
        <w:pStyle w:val="null3"/>
      </w:pPr>
      <w:r>
        <w:rPr/>
        <w:t>根据招标文件要求、投标文件及合同约定执行。</w:t>
      </w:r>
    </w:p>
    <w:p>
      <w:pPr>
        <w:pStyle w:val="null3"/>
        <w:jc w:val="left"/>
        <w:outlineLvl w:val="2"/>
      </w:pPr>
      <w:r>
        <w:rPr>
          <w:sz w:val="28"/>
          <w:b/>
        </w:rPr>
        <w:t>3.5其他要求</w:t>
      </w:r>
    </w:p>
    <w:p>
      <w:pPr>
        <w:pStyle w:val="null3"/>
      </w:pPr>
      <w:r>
        <w:rPr/>
        <w:t>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a89520099@163.com（邮件命名：项目编号），并将保函原件单独递交至代理机构财务；投标人应在投标文件中附保函复印件。保函必须由具有开具投标保函资格的单位开具；若供应商违约，开具保函单位承担连带责任； 2.投标保证金的提交金额、时间不满足招标文件要求的，投标无效； 3.供应商需要在线提交所有通过电子化交易平台实施的政府采购项目的响应文件，同时，线下提交响应文件正本 壹 份、副本 贰 份、电子版 壹 份（电子版用U盘拷贝，电子版应为WORD格式及PDF签字盖章格式，套标明供应商名称，单独密封）； 4.线下纸质文件递交截止时间：同在线递交电子响应文件截止时间一致；线下纸质文件递交地点：陕西省西安市高新区兰基中心1003室。（如需邮寄，建议顺丰速运，并将单位名称、联系人、电话及运单号发至a89520099@163.com邮箱）； 5.本项目验收，由招标代理公司负责推荐专家参与验收，专家人数与评审专家人数一致，专家费用参照评审专家付费标准，由成交供应商承担。</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2、提供2023年度经审计的完整财务报告或开标日期前三个月内其基本存款账户开户银行出具的资信证明。（如提供资信证明，须同时提供基本存款账户开户许可证或基本账户信息表）； 3、提供2024年1月至今已缴纳的至少一个月的纳税证明，依法免税的单位应提供相关证明材料； 4、提供2024年1月至今已缴存的至少一个月的社会保障资金缴存单据或社保机构开具的社会保险参保缴费情况证明，依法不需要缴纳社会保障资金的单位应提供相关证明材料；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供应商在递交响应文件截止时间前被“信用中国”网站（www.creditchina.gov.cn）和中国政府采购网（www.ccgp.gov.cn）上被列入失信被执行人、重大税收违法失信主体名单、政府采购严重违法失信行为记录名单的，不得参加本项目采购活动； 7、供应商参加政府采购活动前3年内在经营活动中没有重大违法记录。注：1、以上2-4项，提供“陕西省政府采购供应商信用承诺书”的，可不再提供其他证明文件。2、供应商需在项目电子化交易系统中按要求上传相应证明文件并进行电子签章。</w:t>
            </w:r>
          </w:p>
        </w:tc>
        <w:tc>
          <w:tcPr>
            <w:tcW w:type="dxa" w:w="1661"/>
          </w:tcPr>
          <w:p>
            <w:pPr>
              <w:pStyle w:val="null3"/>
            </w:pPr>
            <w:r>
              <w:rPr/>
              <w:t>投标函 供应商应提交的相关资格证明材料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供应商应提交的相关资格证明材料</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供应商应授权合法的人员参加本项目招标活动全过程，其中法定代表人直接参加招标活动的，应出具法定代表人合法有效的身份证原件，且应与营业执照上信息一致；法定代表人授权代表参加招标活动的，应出具法定代表人授权书及授权代表合法有效的身份证原件；</w:t>
            </w:r>
          </w:p>
        </w:tc>
        <w:tc>
          <w:tcPr>
            <w:tcW w:type="dxa" w:w="1661"/>
          </w:tcPr>
          <w:p>
            <w:pPr>
              <w:pStyle w:val="null3"/>
            </w:pPr>
            <w:r>
              <w:rPr/>
              <w:t>投标函 供应商应提交的相关资格证明材料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投标函 商务应答表 标的清单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投标响应文件技术指标完全满足招标文件得30分，技术参数每负偏离一项扣0.5分，扣完为止。 备注：完全复制招标文件技术指标要求的，将给予10 分扣分，文字描述、国标、定制尺寸的技术指标除外</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供应商应提交的相关资格证明材料</w:t>
            </w:r>
          </w:p>
          <w:p>
            <w:pPr>
              <w:pStyle w:val="null3"/>
            </w:pPr>
            <w:r>
              <w:rPr/>
              <w:t>项目实施方案</w:t>
            </w:r>
          </w:p>
          <w:p>
            <w:pPr>
              <w:pStyle w:val="null3"/>
            </w:pPr>
            <w:r>
              <w:rPr/>
              <w:t>业绩一览表</w:t>
            </w:r>
          </w:p>
          <w:p>
            <w:pPr>
              <w:pStyle w:val="null3"/>
            </w:pPr>
            <w:r>
              <w:rPr/>
              <w:t>供应商认为有必要说明的其他问题</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投标人提供针对本项目的实施方案，安装完成后的设备能够满足使用需求，确保设备正常使用，就其方案是否合理科学及措施得当，是否针对本项目实施提出重点、难点并给出相应的解决方案。 1、实施方案合理，项目特点突出，针对性强得10分； 2、实施方案一般，存在部分缺失得7分； 3、实施方案不合理，无项目特点得3分； 未提供的得0分。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项目实施方案</w:t>
            </w:r>
          </w:p>
          <w:p>
            <w:pPr>
              <w:pStyle w:val="null3"/>
            </w:pPr>
            <w:r>
              <w:rPr/>
              <w:t>供应商认为有必要说明的其他问题</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1、所投货物（产品）货源渠道正常，并能够提供货物（产品）质量的相关证明资料。确保供应的货物（产品）为100%全新正品，无假货、水货、翻新货且无产权纠纷，提供所投货物（产品）的合法来源渠道证明文件（包括但不限于销售协议、代理协议、原厂授权等）相关证明材料（复印件加盖公章），资料齐全得4分；资料有缺失得2分；未提供的得0分。 质量保证方案（包括但不限于应急预案及质量保证承诺等），内容完整、针对性强得4分；内容不完整得2分；未提供的得0分。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项目实施方案</w:t>
            </w:r>
          </w:p>
          <w:p>
            <w:pPr>
              <w:pStyle w:val="null3"/>
            </w:pPr>
            <w:r>
              <w:rPr/>
              <w:t>业绩一览表</w:t>
            </w:r>
          </w:p>
          <w:p>
            <w:pPr>
              <w:pStyle w:val="null3"/>
            </w:pPr>
            <w:r>
              <w:rPr/>
              <w:t>供应商认为有必要说明的其他问题</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交货、安装、调试和验收方案</w:t>
            </w:r>
          </w:p>
        </w:tc>
        <w:tc>
          <w:tcPr>
            <w:tcW w:type="dxa" w:w="2492"/>
          </w:tcPr>
          <w:p>
            <w:pPr>
              <w:pStyle w:val="null3"/>
            </w:pPr>
            <w:r>
              <w:rPr/>
              <w:t>针对本项目提供交货、安装调试和验收方案进行评审。项目实施安排合理，能够在承诺的时间内按期交货，有具体的供货组织安排，详细的人员、财力调配、运输等说明： 1、交货方案，有基本的供货组织安排和人员配备、安装调试方案、验收方案科学可行有针对性，能完全满足招标文件要求得6分； 2、交货方案、安装调试方案、验收方案，内容不详细，针对性不强的得4分； 3、交货方案、安装调试方案、验收方案不合理得2分； 不提供的得0分。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项目实施方案</w:t>
            </w:r>
          </w:p>
          <w:p>
            <w:pPr>
              <w:pStyle w:val="null3"/>
            </w:pPr>
            <w:r>
              <w:rPr/>
              <w:t>业绩一览表</w:t>
            </w:r>
          </w:p>
          <w:p>
            <w:pPr>
              <w:pStyle w:val="null3"/>
            </w:pPr>
            <w:r>
              <w:rPr/>
              <w:t>供应商认为有必要说明的其他问题</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针对本项目提供售后服务方案及质保期外的配件质量保证和供应措施，制订了本地化服务的承诺和应急方案，明确售后服务人员组成及安排，有售后服务的优惠条件，有相应的物力、人力保障，能够保证产、供、销、售后服务正常运转，在设备发生不同类型故障后的到达现场时间、解决故障时间、补救措施等方面的措施，同时具有明确且符合实际需求的承诺。 1、售后服务方案详细可行，有针对性，完整合理得6分； 2、售后服务方案较详细，较有针对性，完整得4分； 3、售后服务方案不详细得2分； 不提供的得0分。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投标函</w:t>
            </w:r>
          </w:p>
          <w:p>
            <w:pPr>
              <w:pStyle w:val="null3"/>
            </w:pPr>
            <w:r>
              <w:rPr/>
              <w:t>项目实施方案</w:t>
            </w:r>
          </w:p>
          <w:p>
            <w:pPr>
              <w:pStyle w:val="null3"/>
            </w:pPr>
            <w:r>
              <w:rPr/>
              <w:t>业绩一览表</w:t>
            </w:r>
          </w:p>
          <w:p>
            <w:pPr>
              <w:pStyle w:val="null3"/>
            </w:pPr>
            <w:r>
              <w:rPr/>
              <w:t>供应商认为有必要说明的其他问题</w:t>
            </w:r>
          </w:p>
        </w:tc>
      </w:tr>
      <w:tr>
        <w:tc>
          <w:tcPr>
            <w:tcW w:type="dxa" w:w="831"/>
            <w:vMerge/>
          </w:tcPr>
          <w:p/>
        </w:tc>
        <w:tc>
          <w:tcPr>
            <w:tcW w:type="dxa" w:w="1661"/>
          </w:tcPr>
          <w:p>
            <w:pPr>
              <w:pStyle w:val="null3"/>
            </w:pPr>
            <w:r>
              <w:rPr/>
              <w:t>培训措施</w:t>
            </w:r>
          </w:p>
        </w:tc>
        <w:tc>
          <w:tcPr>
            <w:tcW w:type="dxa" w:w="2492"/>
          </w:tcPr>
          <w:p>
            <w:pPr>
              <w:pStyle w:val="null3"/>
            </w:pPr>
            <w:r>
              <w:rPr/>
              <w:t>提供详尽的培训方案及培训计划，并列出培训的具体内容及方式，确保使用人员能够独立熟练操作、维护和正常使用。 1、培训方案及计划具体可行、有针对性得4分； 2、培训方案及计划较具体得2分； 不提供的得0分。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供应商认为有必要说明的其他问题</w:t>
            </w:r>
          </w:p>
          <w:p>
            <w:pPr>
              <w:pStyle w:val="null3"/>
            </w:pPr>
            <w:r>
              <w:rPr/>
              <w:t>产品技术参数表</w:t>
            </w:r>
          </w:p>
          <w:p>
            <w:pPr>
              <w:pStyle w:val="null3"/>
            </w:pPr>
            <w:r>
              <w:rPr/>
              <w:t>商务应答表</w:t>
            </w:r>
          </w:p>
          <w:p>
            <w:pPr>
              <w:pStyle w:val="null3"/>
            </w:pPr>
            <w:r>
              <w:rPr/>
              <w:t>投标函</w:t>
            </w:r>
          </w:p>
          <w:p>
            <w:pPr>
              <w:pStyle w:val="null3"/>
            </w:pPr>
            <w:r>
              <w:rPr/>
              <w:t>项目实施方案</w:t>
            </w:r>
          </w:p>
        </w:tc>
      </w:tr>
      <w:tr>
        <w:tc>
          <w:tcPr>
            <w:tcW w:type="dxa" w:w="831"/>
            <w:vMerge/>
          </w:tcPr>
          <w:p/>
        </w:tc>
        <w:tc>
          <w:tcPr>
            <w:tcW w:type="dxa" w:w="1661"/>
          </w:tcPr>
          <w:p>
            <w:pPr>
              <w:pStyle w:val="null3"/>
            </w:pPr>
            <w:r>
              <w:rPr/>
              <w:t>业绩</w:t>
            </w:r>
          </w:p>
        </w:tc>
        <w:tc>
          <w:tcPr>
            <w:tcW w:type="dxa" w:w="2492"/>
          </w:tcPr>
          <w:p>
            <w:pPr>
              <w:pStyle w:val="null3"/>
            </w:pPr>
            <w:r>
              <w:rPr/>
              <w:t>提供2021年07月至今类似项目业绩，业绩以合同复印件为依据，投标响应文件中附有其证明资料，每提供一个业绩证明得2分，满分6分。（业绩合同复印件需加盖投标单位公章）。不提供的得0分。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项目实施方案</w:t>
            </w:r>
          </w:p>
          <w:p>
            <w:pPr>
              <w:pStyle w:val="null3"/>
            </w:pPr>
            <w:r>
              <w:rPr/>
              <w:t>业绩一览表</w:t>
            </w:r>
          </w:p>
          <w:p>
            <w:pPr>
              <w:pStyle w:val="null3"/>
            </w:pPr>
            <w:r>
              <w:rPr/>
              <w:t>供应商认为有必要说明的其他问题</w:t>
            </w:r>
          </w:p>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价格分统一采用低价优先法计算，即满足招标文件要求且投标价格最低的投标报价为评标基准价，其价格分为满分。其他投标人的价格分统一按照下列公式计算：价格分=(评标基准价/投标报价)×30×100% 注：1、计算分数时四舍五入取小数点后两位；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详见附件：供应商应提交的相关资格证明材料</w:t>
      </w:r>
    </w:p>
    <w:p>
      <w:pPr>
        <w:pStyle w:val="null3"/>
        <w:ind w:firstLine="960"/>
      </w:pPr>
      <w:r>
        <w:rPr/>
        <w:t>详见附件：项目实施方案</w:t>
      </w:r>
    </w:p>
    <w:p>
      <w:pPr>
        <w:pStyle w:val="null3"/>
        <w:ind w:firstLine="960"/>
      </w:pPr>
      <w:r>
        <w:rPr/>
        <w:t>详见附件：业绩一览表</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