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after="0" w:line="360" w:lineRule="auto"/>
        <w:jc w:val="right"/>
        <w:rPr>
          <w:rFonts w:hint="eastAsia" w:ascii="黑体" w:hAnsi="黑体" w:eastAsia="黑体" w:cs="微软雅黑"/>
          <w:color w:val="auto"/>
          <w:sz w:val="32"/>
          <w:szCs w:val="32"/>
          <w:highlight w:val="none"/>
          <w:lang w:val="en-US" w:eastAsia="zh-CN"/>
        </w:rPr>
      </w:pPr>
    </w:p>
    <w:p>
      <w:pPr>
        <w:wordWrap w:val="0"/>
        <w:spacing w:after="0" w:line="360" w:lineRule="auto"/>
        <w:jc w:val="right"/>
        <w:rPr>
          <w:rFonts w:ascii="微软雅黑" w:cs="微软雅黑"/>
          <w:color w:val="auto"/>
          <w:sz w:val="18"/>
          <w:szCs w:val="18"/>
          <w:highlight w:val="none"/>
        </w:rPr>
      </w:pPr>
      <w:r>
        <w:rPr>
          <w:rFonts w:hint="eastAsia" w:ascii="黑体" w:hAnsi="黑体" w:eastAsia="黑体" w:cs="微软雅黑"/>
          <w:color w:val="auto"/>
          <w:sz w:val="32"/>
          <w:szCs w:val="32"/>
          <w:highlight w:val="none"/>
          <w:lang w:val="en-US" w:eastAsia="zh-CN"/>
        </w:rPr>
        <w:t>项目</w:t>
      </w:r>
      <w:r>
        <w:rPr>
          <w:rFonts w:hint="eastAsia" w:ascii="黑体" w:hAnsi="黑体" w:eastAsia="黑体" w:cs="微软雅黑"/>
          <w:color w:val="auto"/>
          <w:sz w:val="32"/>
          <w:szCs w:val="32"/>
          <w:highlight w:val="none"/>
        </w:rPr>
        <w:t>编号：</w:t>
      </w:r>
      <w:r>
        <w:rPr>
          <w:rFonts w:hint="eastAsia" w:ascii="黑体" w:hAnsi="黑体" w:eastAsia="黑体" w:cs="微软雅黑"/>
          <w:color w:val="auto"/>
          <w:sz w:val="32"/>
          <w:szCs w:val="32"/>
          <w:highlight w:val="none"/>
          <w:lang w:val="en-US" w:eastAsia="zh-CN"/>
        </w:rPr>
        <w:t xml:space="preserve">          </w:t>
      </w:r>
    </w:p>
    <w:p>
      <w:pPr>
        <w:pStyle w:val="3"/>
        <w:rPr>
          <w:color w:val="auto"/>
          <w:highlight w:val="none"/>
        </w:rPr>
      </w:pPr>
    </w:p>
    <w:p>
      <w:pPr>
        <w:pStyle w:val="3"/>
        <w:jc w:val="center"/>
        <w:rPr>
          <w:rFonts w:hint="default" w:eastAsia="微软雅黑"/>
          <w:b/>
          <w:bCs/>
          <w:color w:val="auto"/>
          <w:sz w:val="36"/>
          <w:szCs w:val="36"/>
          <w:highlight w:val="none"/>
          <w:u w:val="single"/>
          <w:lang w:val="en-US" w:eastAsia="zh-CN"/>
        </w:rPr>
      </w:pPr>
      <w:r>
        <w:rPr>
          <w:rFonts w:hint="eastAsia"/>
          <w:b/>
          <w:bCs/>
          <w:color w:val="auto"/>
          <w:sz w:val="36"/>
          <w:szCs w:val="36"/>
          <w:highlight w:val="none"/>
          <w:u w:val="single"/>
          <w:lang w:val="en-US" w:eastAsia="zh-CN"/>
        </w:rPr>
        <w:t>（</w:t>
      </w:r>
      <w:r>
        <w:rPr>
          <w:rFonts w:hint="eastAsia"/>
          <w:b/>
          <w:bCs/>
          <w:color w:val="auto"/>
          <w:sz w:val="36"/>
          <w:szCs w:val="36"/>
          <w:highlight w:val="none"/>
          <w:u w:val="single"/>
          <w:lang w:val="en-US" w:eastAsia="zh-CN"/>
        </w:rPr>
        <w:t>项目名称</w:t>
      </w:r>
      <w:r>
        <w:rPr>
          <w:rFonts w:hint="eastAsia"/>
          <w:b/>
          <w:bCs/>
          <w:color w:val="auto"/>
          <w:sz w:val="36"/>
          <w:szCs w:val="36"/>
          <w:highlight w:val="none"/>
          <w:u w:val="single"/>
          <w:lang w:val="en-US" w:eastAsia="zh-CN"/>
        </w:rPr>
        <w:t>）</w:t>
      </w:r>
    </w:p>
    <w:p>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合</w:t>
      </w:r>
    </w:p>
    <w:p>
      <w:pPr>
        <w:spacing w:after="0" w:line="360" w:lineRule="auto"/>
        <w:jc w:val="center"/>
        <w:rPr>
          <w:rFonts w:ascii="黑体" w:hAnsi="黑体" w:eastAsia="黑体"/>
          <w:b/>
          <w:color w:val="auto"/>
          <w:sz w:val="44"/>
          <w:szCs w:val="44"/>
          <w:highlight w:val="none"/>
        </w:rPr>
      </w:pPr>
    </w:p>
    <w:p>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同</w:t>
      </w:r>
    </w:p>
    <w:p>
      <w:pPr>
        <w:spacing w:after="0" w:line="360" w:lineRule="auto"/>
        <w:jc w:val="center"/>
        <w:rPr>
          <w:rFonts w:ascii="黑体" w:hAnsi="黑体" w:eastAsia="黑体"/>
          <w:b/>
          <w:color w:val="auto"/>
          <w:sz w:val="44"/>
          <w:szCs w:val="44"/>
          <w:highlight w:val="none"/>
        </w:rPr>
      </w:pPr>
    </w:p>
    <w:p>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书</w:t>
      </w:r>
    </w:p>
    <w:p>
      <w:pPr>
        <w:spacing w:after="0" w:line="360" w:lineRule="auto"/>
        <w:rPr>
          <w:rFonts w:ascii="黑体" w:hAnsi="黑体" w:eastAsia="黑体"/>
          <w:color w:val="auto"/>
          <w:sz w:val="44"/>
          <w:szCs w:val="44"/>
          <w:highlight w:val="none"/>
        </w:rPr>
      </w:pPr>
    </w:p>
    <w:p>
      <w:pPr>
        <w:pStyle w:val="3"/>
        <w:rPr>
          <w:color w:val="auto"/>
          <w:highlight w:val="none"/>
        </w:rPr>
      </w:pPr>
    </w:p>
    <w:p>
      <w:pPr>
        <w:pStyle w:val="3"/>
        <w:rPr>
          <w:color w:val="auto"/>
          <w:highlight w:val="none"/>
        </w:rPr>
      </w:pPr>
    </w:p>
    <w:p>
      <w:pPr>
        <w:rPr>
          <w:color w:val="auto"/>
          <w:highlight w:val="none"/>
        </w:rPr>
      </w:pPr>
    </w:p>
    <w:p>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甲</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rPr>
        <w:t>延安大学附属医院</w:t>
      </w:r>
    </w:p>
    <w:p>
      <w:pPr>
        <w:spacing w:after="0" w:line="360" w:lineRule="auto"/>
        <w:ind w:firstLine="1760" w:firstLineChars="550"/>
        <w:rPr>
          <w:rFonts w:hint="default" w:ascii="楷体" w:hAnsi="楷体" w:eastAsia="楷体"/>
          <w:color w:val="auto"/>
          <w:sz w:val="32"/>
          <w:szCs w:val="32"/>
          <w:highlight w:val="none"/>
          <w:u w:val="single"/>
          <w:lang w:val="en-US" w:eastAsia="zh-CN"/>
        </w:rPr>
      </w:pPr>
      <w:r>
        <w:rPr>
          <w:rFonts w:hint="eastAsia" w:ascii="楷体" w:hAnsi="楷体" w:eastAsia="楷体"/>
          <w:color w:val="auto"/>
          <w:sz w:val="32"/>
          <w:szCs w:val="32"/>
          <w:highlight w:val="none"/>
        </w:rPr>
        <w:t>乙</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lang w:val="en-US" w:eastAsia="zh-CN"/>
        </w:rPr>
        <w:t>有限公司</w:t>
      </w:r>
    </w:p>
    <w:p>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签订地点：</w:t>
      </w:r>
      <w:r>
        <w:rPr>
          <w:rFonts w:hint="eastAsia" w:ascii="楷体" w:hAnsi="楷体" w:eastAsia="楷体"/>
          <w:color w:val="auto"/>
          <w:sz w:val="32"/>
          <w:szCs w:val="32"/>
          <w:highlight w:val="none"/>
          <w:u w:val="single"/>
        </w:rPr>
        <w:t>招标采供科</w:t>
      </w:r>
    </w:p>
    <w:p>
      <w:pPr>
        <w:spacing w:after="0" w:line="360" w:lineRule="auto"/>
        <w:jc w:val="both"/>
        <w:rPr>
          <w:rFonts w:ascii="楷体" w:hAnsi="楷体" w:eastAsia="楷体"/>
          <w:color w:val="auto"/>
          <w:sz w:val="32"/>
          <w:szCs w:val="32"/>
          <w:highlight w:val="none"/>
        </w:rPr>
      </w:pPr>
    </w:p>
    <w:p>
      <w:pPr>
        <w:spacing w:after="0" w:line="360" w:lineRule="auto"/>
        <w:jc w:val="center"/>
        <w:rPr>
          <w:rFonts w:hint="eastAsia" w:ascii="楷体" w:hAnsi="楷体" w:eastAsia="楷体"/>
          <w:color w:val="auto"/>
          <w:sz w:val="32"/>
          <w:szCs w:val="32"/>
          <w:highlight w:val="none"/>
        </w:rPr>
      </w:pPr>
      <w:r>
        <w:rPr>
          <w:rFonts w:hint="eastAsia" w:ascii="楷体" w:hAnsi="楷体" w:eastAsia="楷体"/>
          <w:color w:val="auto"/>
          <w:sz w:val="32"/>
          <w:szCs w:val="32"/>
          <w:highlight w:val="none"/>
        </w:rPr>
        <w:t>延安大学附属医院招标采供科制</w:t>
      </w:r>
    </w:p>
    <w:p>
      <w:pPr>
        <w:spacing w:after="0" w:line="360" w:lineRule="auto"/>
        <w:jc w:val="center"/>
        <w:rPr>
          <w:rFonts w:hint="eastAsia" w:ascii="楷体" w:hAnsi="楷体" w:eastAsia="楷体"/>
          <w:color w:val="auto"/>
          <w:sz w:val="32"/>
          <w:szCs w:val="32"/>
          <w:highlight w:val="none"/>
        </w:rPr>
      </w:pPr>
    </w:p>
    <w:p>
      <w:pPr>
        <w:spacing w:after="0" w:line="360" w:lineRule="auto"/>
        <w:jc w:val="center"/>
        <w:rPr>
          <w:rFonts w:hint="eastAsia" w:ascii="楷体" w:hAnsi="楷体" w:eastAsia="楷体"/>
          <w:color w:val="auto"/>
          <w:sz w:val="32"/>
          <w:szCs w:val="32"/>
          <w:highlight w:val="none"/>
        </w:rPr>
      </w:pPr>
    </w:p>
    <w:p>
      <w:pPr>
        <w:spacing w:after="0" w:line="360" w:lineRule="auto"/>
        <w:jc w:val="center"/>
        <w:rPr>
          <w:rFonts w:hint="eastAsia" w:ascii="楷体" w:hAnsi="楷体" w:eastAsia="楷体"/>
          <w:color w:val="auto"/>
          <w:sz w:val="32"/>
          <w:szCs w:val="32"/>
          <w:highlight w:val="none"/>
        </w:rPr>
      </w:pPr>
    </w:p>
    <w:p>
      <w:pPr>
        <w:widowControl/>
        <w:autoSpaceDE w:val="0"/>
        <w:adjustRightInd w:val="0"/>
        <w:snapToGrid w:val="0"/>
        <w:spacing w:line="580" w:lineRule="exact"/>
        <w:ind w:firstLine="482" w:firstLineChars="200"/>
        <w:jc w:val="left"/>
        <w:rPr>
          <w:rFonts w:hint="eastAsia" w:ascii="仿宋" w:hAnsi="仿宋" w:eastAsia="仿宋" w:cs="仿宋"/>
          <w:b/>
          <w:bCs/>
          <w:sz w:val="24"/>
          <w:szCs w:val="24"/>
          <w:lang w:val="zh-CN"/>
        </w:rPr>
      </w:pPr>
      <w:r>
        <w:rPr>
          <w:rFonts w:hint="eastAsia" w:ascii="仿宋" w:hAnsi="仿宋" w:eastAsia="仿宋" w:cs="仿宋"/>
          <w:b/>
          <w:bCs/>
          <w:sz w:val="24"/>
          <w:szCs w:val="24"/>
          <w:lang w:val="zh-CN"/>
        </w:rPr>
        <w:t>（此合同只作为参考，最终签订的合同以采购人确定的合同内容为准。）</w:t>
      </w:r>
    </w:p>
    <w:p>
      <w:pPr>
        <w:spacing w:after="0" w:line="360" w:lineRule="auto"/>
        <w:jc w:val="center"/>
        <w:rPr>
          <w:rFonts w:asciiTheme="minorEastAsia" w:hAnsiTheme="minorEastAsia" w:eastAsiaTheme="minorEastAsia"/>
          <w:b/>
          <w:bCs/>
          <w:color w:val="auto"/>
          <w:kern w:val="44"/>
          <w:sz w:val="40"/>
          <w:highlight w:val="none"/>
        </w:rPr>
      </w:pPr>
      <w:r>
        <w:rPr>
          <w:rFonts w:hint="eastAsia" w:asciiTheme="minorEastAsia" w:hAnsiTheme="minorEastAsia" w:eastAsiaTheme="minorEastAsia"/>
          <w:b/>
          <w:bCs/>
          <w:color w:val="auto"/>
          <w:kern w:val="44"/>
          <w:sz w:val="40"/>
          <w:highlight w:val="none"/>
          <w:lang w:eastAsia="zh-CN"/>
        </w:rPr>
        <w:t>保修</w:t>
      </w:r>
      <w:r>
        <w:rPr>
          <w:rFonts w:hint="eastAsia" w:asciiTheme="minorEastAsia" w:hAnsiTheme="minorEastAsia" w:eastAsiaTheme="minorEastAsia"/>
          <w:b/>
          <w:bCs/>
          <w:color w:val="auto"/>
          <w:kern w:val="44"/>
          <w:sz w:val="40"/>
          <w:highlight w:val="none"/>
        </w:rPr>
        <w:t>项目合同书</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甲方：延安大学附属医院（以下简称甲方）</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统一信用代码：12610000436450686U</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法定代表人：白茫茫</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地址：陕西省延安市宝塔区北大街43号院 </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电话：(0911)2881002   传真: (0911)2881002  邮编: 716000</w:t>
      </w:r>
    </w:p>
    <w:p>
      <w:pPr>
        <w:spacing w:beforeLines="5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乙方：（以下简称乙方）</w:t>
      </w:r>
    </w:p>
    <w:p>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统一信用代码：</w:t>
      </w:r>
    </w:p>
    <w:p>
      <w:pPr>
        <w:spacing w:after="0" w:line="360" w:lineRule="auto"/>
        <w:jc w:val="both"/>
        <w:rPr>
          <w:rFonts w:hint="eastAsia"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法定代表人：</w:t>
      </w:r>
    </w:p>
    <w:p>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地址：</w:t>
      </w:r>
    </w:p>
    <w:p>
      <w:pPr>
        <w:spacing w:after="0" w:line="360" w:lineRule="auto"/>
        <w:jc w:val="both"/>
        <w:rPr>
          <w:rFonts w:hint="default" w:eastAsia="宋体" w:asciiTheme="minorEastAsia" w:hAnsiTheme="minorEastAsia"/>
          <w:color w:val="auto"/>
          <w:sz w:val="24"/>
          <w:szCs w:val="24"/>
          <w:highlight w:val="none"/>
          <w:lang w:val="en-US" w:eastAsia="zh-CN"/>
        </w:rPr>
      </w:pPr>
      <w:r>
        <w:rPr>
          <w:rFonts w:hint="eastAsia" w:ascii="宋体" w:hAnsi="宋体" w:eastAsia="宋体"/>
          <w:color w:val="auto"/>
          <w:sz w:val="24"/>
          <w:szCs w:val="24"/>
          <w:highlight w:val="none"/>
        </w:rPr>
        <w:t xml:space="preserve">电话: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邮编:</w:t>
      </w:r>
    </w:p>
    <w:p>
      <w:pPr>
        <w:tabs>
          <w:tab w:val="left" w:pos="540"/>
        </w:tabs>
        <w:spacing w:beforeLines="100" w:after="0" w:line="360" w:lineRule="auto"/>
        <w:ind w:firstLine="480" w:firstLineChars="200"/>
        <w:jc w:val="both"/>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根据《中华人民共和国民法典》及相关法律法规之规定,甲乙双方本着诚实信用、相互合作、平等互利的原则，就医疗设备的服务购买事宜,为明确双方的权利义务，特订立本合同，双方共同信守。</w:t>
      </w:r>
    </w:p>
    <w:p>
      <w:pPr>
        <w:tabs>
          <w:tab w:val="left" w:pos="540"/>
        </w:tabs>
        <w:spacing w:after="0" w:line="520" w:lineRule="exact"/>
        <w:jc w:val="both"/>
        <w:rPr>
          <w:rFonts w:cs="黑体" w:asciiTheme="minorEastAsia" w:hAnsiTheme="minorEastAsia" w:eastAsiaTheme="minorEastAsia"/>
          <w:b/>
          <w:color w:val="auto"/>
          <w:sz w:val="24"/>
          <w:szCs w:val="24"/>
          <w:highlight w:val="none"/>
        </w:rPr>
      </w:pPr>
      <w:r>
        <w:rPr>
          <w:rFonts w:hint="eastAsia" w:cs="仿宋" w:asciiTheme="minorEastAsia" w:hAnsiTheme="minorEastAsia" w:eastAsiaTheme="minorEastAsia"/>
          <w:b/>
          <w:bCs/>
          <w:color w:val="auto"/>
          <w:sz w:val="24"/>
          <w:szCs w:val="24"/>
          <w:highlight w:val="none"/>
        </w:rPr>
        <w:t>第一条</w:t>
      </w:r>
      <w:r>
        <w:rPr>
          <w:rFonts w:hint="eastAsia" w:cs="仿宋" w:asciiTheme="minorEastAsia" w:hAnsiTheme="minorEastAsia" w:eastAsiaTheme="minorEastAsia"/>
          <w:bCs/>
          <w:color w:val="auto"/>
          <w:sz w:val="24"/>
          <w:szCs w:val="24"/>
          <w:highlight w:val="none"/>
        </w:rPr>
        <w:t xml:space="preserve"> 合同产品:乙方负责向甲方</w:t>
      </w:r>
      <w:r>
        <w:rPr>
          <w:rFonts w:hint="eastAsia" w:cs="仿宋" w:asciiTheme="minorEastAsia" w:hAnsiTheme="minorEastAsia" w:eastAsiaTheme="minorEastAsia"/>
          <w:bCs/>
          <w:color w:val="auto"/>
          <w:sz w:val="24"/>
          <w:szCs w:val="24"/>
          <w:highlight w:val="none"/>
          <w:lang w:eastAsia="zh-CN"/>
        </w:rPr>
        <w:t>提供</w:t>
      </w:r>
      <w:r>
        <w:rPr>
          <w:rFonts w:hint="eastAsia" w:cs="仿宋" w:asciiTheme="minorEastAsia" w:hAnsiTheme="minorEastAsia" w:eastAsiaTheme="minorEastAsia"/>
          <w:bCs/>
          <w:color w:val="auto"/>
          <w:sz w:val="24"/>
          <w:szCs w:val="24"/>
          <w:highlight w:val="none"/>
        </w:rPr>
        <w:t>下表中所列产品的保修服务：</w:t>
      </w:r>
      <w:r>
        <w:rPr>
          <w:rFonts w:hint="eastAsia" w:asciiTheme="minorEastAsia" w:hAnsiTheme="minorEastAsia" w:eastAsiaTheme="minorEastAsia"/>
          <w:color w:val="auto"/>
          <w:sz w:val="28"/>
          <w:szCs w:val="28"/>
          <w:highlight w:val="none"/>
        </w:rPr>
        <w:t xml:space="preserve">       </w:t>
      </w:r>
    </w:p>
    <w:tbl>
      <w:tblPr>
        <w:tblStyle w:val="11"/>
        <w:tblpPr w:leftFromText="180" w:rightFromText="180" w:vertAnchor="text" w:horzAnchor="page" w:tblpX="957" w:tblpY="248"/>
        <w:tblOverlap w:val="never"/>
        <w:tblW w:w="993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3023"/>
        <w:gridCol w:w="1699"/>
        <w:gridCol w:w="1633"/>
        <w:gridCol w:w="1234"/>
        <w:gridCol w:w="1014"/>
        <w:gridCol w:w="133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81" w:hRule="atLeast"/>
        </w:trPr>
        <w:tc>
          <w:tcPr>
            <w:tcW w:w="3023" w:type="dxa"/>
            <w:vAlign w:val="center"/>
          </w:tcPr>
          <w:p>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产品名称</w:t>
            </w:r>
          </w:p>
        </w:tc>
        <w:tc>
          <w:tcPr>
            <w:tcW w:w="1699" w:type="dxa"/>
            <w:vAlign w:val="center"/>
          </w:tcPr>
          <w:p>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规格型号</w:t>
            </w:r>
          </w:p>
        </w:tc>
        <w:tc>
          <w:tcPr>
            <w:tcW w:w="1633" w:type="dxa"/>
            <w:vAlign w:val="center"/>
          </w:tcPr>
          <w:p>
            <w:pPr>
              <w:tabs>
                <w:tab w:val="left" w:pos="8364"/>
              </w:tabs>
              <w:spacing w:after="0" w:line="360" w:lineRule="auto"/>
              <w:ind w:right="77" w:rightChars="35"/>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产地/品牌</w:t>
            </w:r>
          </w:p>
        </w:tc>
        <w:tc>
          <w:tcPr>
            <w:tcW w:w="1234" w:type="dxa"/>
            <w:tcBorders>
              <w:right w:val="single" w:color="auto" w:sz="4" w:space="0"/>
            </w:tcBorders>
            <w:vAlign w:val="center"/>
          </w:tcPr>
          <w:p>
            <w:pPr>
              <w:tabs>
                <w:tab w:val="left" w:pos="8364"/>
              </w:tabs>
              <w:spacing w:after="0" w:line="360" w:lineRule="auto"/>
              <w:ind w:right="77"/>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年限</w:t>
            </w:r>
          </w:p>
        </w:tc>
        <w:tc>
          <w:tcPr>
            <w:tcW w:w="1014" w:type="dxa"/>
            <w:tcBorders>
              <w:right w:val="single" w:color="auto" w:sz="4" w:space="0"/>
            </w:tcBorders>
            <w:vAlign w:val="center"/>
          </w:tcPr>
          <w:p>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数量</w:t>
            </w:r>
          </w:p>
        </w:tc>
        <w:tc>
          <w:tcPr>
            <w:tcW w:w="1335" w:type="dxa"/>
            <w:tcBorders>
              <w:left w:val="single" w:color="auto" w:sz="4" w:space="0"/>
              <w:right w:val="single" w:color="auto" w:sz="4" w:space="0"/>
            </w:tcBorders>
            <w:vAlign w:val="center"/>
          </w:tcPr>
          <w:p>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价格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07" w:hRule="atLeast"/>
        </w:trPr>
        <w:tc>
          <w:tcPr>
            <w:tcW w:w="3023" w:type="dxa"/>
            <w:vAlign w:val="center"/>
          </w:tcPr>
          <w:p>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pPr>
              <w:spacing w:after="0" w:line="360" w:lineRule="auto"/>
              <w:jc w:val="center"/>
              <w:rPr>
                <w:rFonts w:hint="default" w:ascii="宋体" w:hAnsi="宋体" w:eastAsia="宋体" w:cs="黑体"/>
                <w:color w:val="auto"/>
                <w:sz w:val="24"/>
                <w:szCs w:val="24"/>
                <w:highlight w:val="none"/>
                <w:lang w:val="en-US" w:eastAsia="zh-CN"/>
              </w:rPr>
            </w:pPr>
          </w:p>
        </w:tc>
        <w:tc>
          <w:tcPr>
            <w:tcW w:w="1633" w:type="dxa"/>
            <w:vAlign w:val="center"/>
          </w:tcPr>
          <w:p>
            <w:pPr>
              <w:spacing w:beforeLines="100" w:after="0" w:line="360" w:lineRule="auto"/>
              <w:jc w:val="center"/>
              <w:rPr>
                <w:rFonts w:hint="default" w:ascii="宋体" w:hAnsi="宋体" w:eastAsia="宋体" w:cs="Arial"/>
                <w:color w:val="auto"/>
                <w:sz w:val="24"/>
                <w:szCs w:val="24"/>
                <w:highlight w:val="none"/>
                <w:lang w:val="en-US" w:eastAsia="zh-CN"/>
              </w:rPr>
            </w:pPr>
          </w:p>
        </w:tc>
        <w:tc>
          <w:tcPr>
            <w:tcW w:w="1234" w:type="dxa"/>
            <w:tcBorders>
              <w:right w:val="single" w:color="auto" w:sz="4" w:space="0"/>
            </w:tcBorders>
            <w:vAlign w:val="center"/>
          </w:tcPr>
          <w:p>
            <w:pPr>
              <w:spacing w:after="0" w:line="360" w:lineRule="auto"/>
              <w:jc w:val="center"/>
              <w:rPr>
                <w:rFonts w:ascii="宋体" w:hAnsi="宋体" w:eastAsia="宋体" w:cs="Arial"/>
                <w:color w:val="auto"/>
                <w:sz w:val="24"/>
                <w:szCs w:val="24"/>
                <w:highlight w:val="none"/>
              </w:rPr>
            </w:pPr>
          </w:p>
        </w:tc>
        <w:tc>
          <w:tcPr>
            <w:tcW w:w="1014" w:type="dxa"/>
            <w:tcBorders>
              <w:right w:val="single" w:color="auto" w:sz="4" w:space="0"/>
            </w:tcBorders>
            <w:vAlign w:val="center"/>
          </w:tcPr>
          <w:p>
            <w:pPr>
              <w:tabs>
                <w:tab w:val="left" w:pos="8364"/>
              </w:tabs>
              <w:spacing w:after="0" w:line="360" w:lineRule="auto"/>
              <w:jc w:val="center"/>
              <w:rPr>
                <w:rFonts w:hint="default"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pPr>
              <w:tabs>
                <w:tab w:val="left" w:pos="8364"/>
              </w:tabs>
              <w:spacing w:after="0" w:line="360" w:lineRule="auto"/>
              <w:ind w:right="-58"/>
              <w:jc w:val="center"/>
              <w:rPr>
                <w:rFonts w:hint="default"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rPr>
            </w:pPr>
          </w:p>
        </w:tc>
        <w:tc>
          <w:tcPr>
            <w:tcW w:w="1699" w:type="dxa"/>
            <w:vAlign w:val="center"/>
          </w:tcPr>
          <w:p>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pPr>
              <w:spacing w:after="0" w:line="360" w:lineRule="auto"/>
              <w:rPr>
                <w:rFonts w:ascii="宋体" w:hAnsi="宋体" w:eastAsia="宋体" w:cs="黑体"/>
                <w:color w:val="auto"/>
                <w:sz w:val="24"/>
                <w:szCs w:val="24"/>
                <w:highlight w:val="none"/>
              </w:rPr>
            </w:pPr>
            <w:r>
              <w:rPr>
                <w:rFonts w:hint="eastAsia" w:ascii="宋体" w:hAnsi="宋体" w:eastAsia="宋体" w:cs="黑体"/>
                <w:color w:val="auto"/>
                <w:sz w:val="24"/>
                <w:szCs w:val="24"/>
                <w:highlight w:val="none"/>
              </w:rPr>
              <w:t>总价（人民币大写）：</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        ¥：元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pPr>
              <w:spacing w:after="0" w:line="360" w:lineRule="auto"/>
              <w:rPr>
                <w:rFonts w:hint="default" w:ascii="宋体" w:hAnsi="宋体" w:eastAsia="宋体" w:cs="黑体"/>
                <w:color w:val="auto"/>
                <w:sz w:val="24"/>
                <w:szCs w:val="24"/>
                <w:highlight w:val="none"/>
                <w:lang w:val="en-US" w:eastAsia="zh-CN"/>
              </w:rPr>
            </w:pPr>
            <w:r>
              <w:rPr>
                <w:rFonts w:hint="eastAsia" w:ascii="宋体" w:hAnsi="宋体" w:eastAsia="宋体" w:cs="黑体"/>
                <w:color w:val="auto"/>
                <w:sz w:val="24"/>
                <w:szCs w:val="24"/>
                <w:highlight w:val="none"/>
                <w:lang w:eastAsia="zh-CN"/>
              </w:rPr>
              <w:t>合同</w:t>
            </w:r>
            <w:r>
              <w:rPr>
                <w:rFonts w:hint="eastAsia" w:ascii="宋体" w:hAnsi="宋体" w:eastAsia="宋体" w:cs="黑体"/>
                <w:color w:val="auto"/>
                <w:sz w:val="24"/>
                <w:szCs w:val="24"/>
                <w:highlight w:val="none"/>
                <w:lang w:val="en-US" w:eastAsia="zh-CN"/>
              </w:rPr>
              <w:t>服务期</w:t>
            </w:r>
            <w:r>
              <w:rPr>
                <w:rFonts w:hint="eastAsia" w:ascii="宋体" w:hAnsi="宋体" w:eastAsia="宋体" w:cs="黑体"/>
                <w:color w:val="auto"/>
                <w:sz w:val="24"/>
                <w:szCs w:val="24"/>
                <w:highlight w:val="none"/>
                <w:lang w:eastAsia="zh-CN"/>
              </w:rPr>
              <w:t>为</w:t>
            </w:r>
            <w:r>
              <w:rPr>
                <w:rFonts w:hint="eastAsia" w:ascii="宋体" w:hAnsi="宋体" w:eastAsia="宋体" w:cs="黑体"/>
                <w:color w:val="auto"/>
                <w:sz w:val="24"/>
                <w:szCs w:val="24"/>
                <w:highlight w:val="none"/>
                <w:lang w:val="en-US" w:eastAsia="zh-CN"/>
              </w:rPr>
              <w:t>1</w:t>
            </w:r>
            <w:r>
              <w:rPr>
                <w:rFonts w:hint="eastAsia" w:ascii="宋体" w:hAnsi="宋体" w:eastAsia="宋体" w:cs="黑体"/>
                <w:color w:val="auto"/>
                <w:sz w:val="24"/>
                <w:szCs w:val="24"/>
                <w:highlight w:val="none"/>
                <w:lang w:eastAsia="zh-CN"/>
              </w:rPr>
              <w:t>年，从</w:t>
            </w:r>
            <w:r>
              <w:rPr>
                <w:rFonts w:hint="eastAsia" w:ascii="宋体" w:hAnsi="宋体" w:eastAsia="宋体" w:cs="黑体"/>
                <w:color w:val="auto"/>
                <w:sz w:val="24"/>
                <w:szCs w:val="24"/>
                <w:highlight w:val="none"/>
                <w:lang w:val="en-US" w:eastAsia="zh-CN"/>
              </w:rPr>
              <w:t xml:space="preserve"> 2024</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 xml:space="preserve">日到 </w:t>
            </w:r>
            <w:r>
              <w:rPr>
                <w:rFonts w:hint="eastAsia" w:ascii="宋体" w:hAnsi="宋体" w:eastAsia="宋体" w:cs="黑体"/>
                <w:color w:val="auto"/>
                <w:sz w:val="24"/>
                <w:szCs w:val="24"/>
                <w:highlight w:val="none"/>
                <w:lang w:val="en-US" w:eastAsia="zh-CN"/>
              </w:rPr>
              <w:t>2025</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日止。</w:t>
            </w:r>
          </w:p>
        </w:tc>
      </w:tr>
    </w:tbl>
    <w:p>
      <w:pPr>
        <w:spacing w:after="0"/>
        <w:rPr>
          <w:rFonts w:asciiTheme="minorEastAsia" w:hAnsiTheme="minorEastAsia" w:eastAsiaTheme="minorEastAsia"/>
          <w:color w:val="auto"/>
          <w:sz w:val="24"/>
          <w:highlight w:val="none"/>
        </w:rPr>
      </w:pPr>
    </w:p>
    <w:p>
      <w:pPr>
        <w:spacing w:beforeLines="10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第二条</w:t>
      </w:r>
      <w:r>
        <w:rPr>
          <w:rFonts w:hint="eastAsia" w:asciiTheme="minorEastAsia" w:hAnsiTheme="minorEastAsia" w:eastAsiaTheme="minorEastAsia"/>
          <w:color w:val="auto"/>
          <w:sz w:val="24"/>
          <w:szCs w:val="24"/>
          <w:highlight w:val="none"/>
        </w:rPr>
        <w:t>合同总价</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合同总价为人民币</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大写</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bCs/>
          <w:color w:val="auto"/>
          <w:sz w:val="24"/>
          <w:szCs w:val="24"/>
          <w:highlight w:val="none"/>
        </w:rPr>
        <w:t>¥</w:t>
      </w:r>
      <w:r>
        <w:rPr>
          <w:rFonts w:hint="eastAsia" w:asciiTheme="minorEastAsia" w:hAnsiTheme="minorEastAsia" w:eastAsiaTheme="minorEastAsia"/>
          <w:color w:val="auto"/>
          <w:sz w:val="24"/>
          <w:szCs w:val="24"/>
          <w:highlight w:val="none"/>
        </w:rPr>
        <w:t>元），该合同总金额是3.0T磁共振、64排CT、40排CT维保服务期间包括备品备件和人工、维修发生的所有含税费用。本合同执行期间合同总金额不变。</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第三条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合同组成</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详细价格、技术说明及其他有关合同产品的特定信息由合同附件说明。所有附件及本项目的招投标文件、会议纪要、协议、澄清等均为本合同不可分割的一部分。</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第四</w:t>
      </w:r>
      <w:r>
        <w:rPr>
          <w:rFonts w:hint="eastAsia" w:cs="微软雅黑"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资质保证。</w:t>
      </w:r>
    </w:p>
    <w:p>
      <w:pPr>
        <w:spacing w:after="0" w:line="360" w:lineRule="auto"/>
        <w:ind w:firstLine="480" w:firstLineChars="200"/>
        <w:jc w:val="both"/>
        <w:rPr>
          <w:rFonts w:hint="eastAsia"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乙方应当确保以下资质证书在甲方使用期内持续合法有效：医疗器械经营企业许可证、企业法人营业执照</w:t>
      </w:r>
      <w:r>
        <w:rPr>
          <w:rFonts w:hint="eastAsia" w:cs="仿宋_GB2312" w:asciiTheme="minorEastAsia" w:hAnsiTheme="minorEastAsia" w:eastAsiaTheme="minorEastAsia"/>
          <w:bCs/>
          <w:color w:val="auto"/>
          <w:sz w:val="24"/>
          <w:szCs w:val="24"/>
          <w:highlight w:val="none"/>
          <w:lang w:eastAsia="zh-CN"/>
        </w:rPr>
        <w:t>、</w:t>
      </w:r>
      <w:r>
        <w:rPr>
          <w:rFonts w:hint="eastAsia" w:cs="仿宋_GB2312" w:asciiTheme="minorEastAsia" w:hAnsiTheme="minorEastAsia" w:eastAsiaTheme="minorEastAsia"/>
          <w:bCs/>
          <w:color w:val="auto"/>
          <w:sz w:val="24"/>
          <w:szCs w:val="24"/>
          <w:highlight w:val="none"/>
          <w:lang w:val="en-US" w:eastAsia="zh-CN"/>
        </w:rPr>
        <w:t>二类备案证</w:t>
      </w:r>
      <w:r>
        <w:rPr>
          <w:rFonts w:hint="eastAsia" w:cs="仿宋_GB2312" w:asciiTheme="minorEastAsia" w:hAnsiTheme="minorEastAsia" w:eastAsiaTheme="minorEastAsia"/>
          <w:bCs/>
          <w:color w:val="auto"/>
          <w:sz w:val="24"/>
          <w:szCs w:val="24"/>
          <w:highlight w:val="none"/>
        </w:rPr>
        <w:t>。</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第五条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付款办法</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甲方收到乙方全额发票后，一次性支付当期维保款项 ，达到付款条件起 30 日内，支付合同总金额的 100.00%，乙方均应提供合法税务票据，款项转入乙方指定账户。具体如下：</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合同；</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乙方开具的正式发票。</w:t>
      </w:r>
    </w:p>
    <w:p>
      <w:pPr>
        <w:spacing w:after="0" w:line="360" w:lineRule="auto"/>
        <w:ind w:firstLine="480" w:firstLineChars="200"/>
        <w:jc w:val="both"/>
        <w:rPr>
          <w:rFonts w:ascii="宋体" w:hAnsi="宋体" w:eastAsia="宋体" w:cs="仿宋"/>
          <w:color w:val="auto"/>
          <w:sz w:val="24"/>
          <w:szCs w:val="24"/>
          <w:highlight w:val="none"/>
        </w:rPr>
      </w:pPr>
      <w:r>
        <w:rPr>
          <w:rFonts w:hint="eastAsia" w:ascii="宋体" w:hAnsi="宋体" w:eastAsia="宋体" w:cs="仿宋"/>
          <w:color w:val="auto"/>
          <w:sz w:val="24"/>
          <w:szCs w:val="24"/>
          <w:highlight w:val="none"/>
        </w:rPr>
        <w:t>账户：</w:t>
      </w:r>
    </w:p>
    <w:p>
      <w:pPr>
        <w:ind w:firstLine="480" w:firstLineChars="200"/>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rPr>
        <w:t>帐号：</w:t>
      </w:r>
    </w:p>
    <w:p>
      <w:pPr>
        <w:ind w:firstLine="480" w:firstLineChars="200"/>
        <w:rPr>
          <w:rFonts w:hint="eastAsia" w:asciiTheme="minorEastAsia" w:hAnsiTheme="minorEastAsia" w:eastAsiaTheme="minorEastAsia"/>
          <w:color w:val="auto"/>
          <w:sz w:val="24"/>
          <w:highlight w:val="none"/>
        </w:rPr>
      </w:pPr>
      <w:r>
        <w:rPr>
          <w:rFonts w:hint="eastAsia" w:ascii="宋体" w:hAnsi="宋体" w:eastAsia="宋体" w:cs="仿宋"/>
          <w:color w:val="auto"/>
          <w:sz w:val="24"/>
          <w:szCs w:val="24"/>
          <w:highlight w:val="none"/>
        </w:rPr>
        <w:t>开户银行：</w:t>
      </w:r>
    </w:p>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第六条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技术服务</w:t>
      </w:r>
    </w:p>
    <w:p>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1.服务范围：整机全保，合同期内乙方负责合同标的设备的维修维护和更换、保养。包含人工、性能调整、故障维修、原厂保养和原厂部件全部更换。   </w:t>
      </w:r>
    </w:p>
    <w:p>
      <w:pPr>
        <w:spacing w:after="0" w:line="360" w:lineRule="auto"/>
        <w:ind w:firstLine="480" w:firstLineChars="200"/>
        <w:jc w:val="both"/>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2.响应时间保证：全年365天×24小时电话技术服务支持，专业工程师通过电话或其他在线远程支持服务响应时间不超过2小时。</w:t>
      </w:r>
    </w:p>
    <w:p>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3.提供远程全天24小时不间断监测设备运行状态服务，可提前预警。   </w:t>
      </w:r>
    </w:p>
    <w:p>
      <w:pPr>
        <w:spacing w:after="0" w:line="360" w:lineRule="auto"/>
        <w:ind w:firstLine="480" w:firstLineChars="200"/>
        <w:jc w:val="both"/>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drawing>
          <wp:anchor distT="0" distB="0" distL="114300" distR="114300" simplePos="0" relativeHeight="251659264" behindDoc="0" locked="0" layoutInCell="1" allowOverlap="0">
            <wp:simplePos x="0" y="0"/>
            <wp:positionH relativeFrom="page">
              <wp:posOffset>7540625</wp:posOffset>
            </wp:positionH>
            <wp:positionV relativeFrom="page">
              <wp:posOffset>528320</wp:posOffset>
            </wp:positionV>
            <wp:extent cx="22860" cy="167640"/>
            <wp:effectExtent l="0" t="0" r="0" b="0"/>
            <wp:wrapSquare wrapText="bothSides"/>
            <wp:docPr id="354" name="Picture 354"/>
            <wp:cNvGraphicFramePr/>
            <a:graphic xmlns:a="http://schemas.openxmlformats.org/drawingml/2006/main">
              <a:graphicData uri="http://schemas.openxmlformats.org/drawingml/2006/picture">
                <pic:pic xmlns:pic="http://schemas.openxmlformats.org/drawingml/2006/picture">
                  <pic:nvPicPr>
                    <pic:cNvPr id="354" name="Picture 354"/>
                    <pic:cNvPicPr/>
                  </pic:nvPicPr>
                  <pic:blipFill>
                    <a:blip r:embed="rId5"/>
                    <a:stretch>
                      <a:fillRect/>
                    </a:stretch>
                  </pic:blipFill>
                  <pic:spPr>
                    <a:xfrm>
                      <a:off x="0" y="0"/>
                      <a:ext cx="22859" cy="167640"/>
                    </a:xfrm>
                    <a:prstGeom prst="rect">
                      <a:avLst/>
                    </a:prstGeom>
                  </pic:spPr>
                </pic:pic>
              </a:graphicData>
            </a:graphic>
          </wp:anchor>
        </w:drawing>
      </w:r>
      <w:r>
        <w:rPr>
          <w:rFonts w:hint="eastAsia" w:ascii="宋体" w:hAnsi="宋体" w:eastAsia="宋体"/>
          <w:color w:val="auto"/>
          <w:sz w:val="24"/>
          <w:szCs w:val="24"/>
          <w:highlight w:val="none"/>
          <w:lang w:val="en-US" w:eastAsia="zh-CN"/>
        </w:rPr>
        <mc:AlternateContent>
          <mc:Choice Requires="wpg">
            <w:drawing>
              <wp:anchor distT="0" distB="0" distL="114300" distR="114300" simplePos="0" relativeHeight="251660288" behindDoc="0" locked="0" layoutInCell="1" allowOverlap="1">
                <wp:simplePos x="0" y="0"/>
                <wp:positionH relativeFrom="page">
                  <wp:posOffset>7542530</wp:posOffset>
                </wp:positionH>
                <wp:positionV relativeFrom="page">
                  <wp:posOffset>560705</wp:posOffset>
                </wp:positionV>
                <wp:extent cx="85090" cy="152400"/>
                <wp:effectExtent l="0" t="0" r="0" b="0"/>
                <wp:wrapSquare wrapText="bothSides"/>
                <wp:docPr id="1" name="Group 2268"/>
                <wp:cNvGraphicFramePr/>
                <a:graphic xmlns:a="http://schemas.openxmlformats.org/drawingml/2006/main">
                  <a:graphicData uri="http://schemas.microsoft.com/office/word/2010/wordprocessingGroup">
                    <wpg:wgp>
                      <wpg:cNvGrpSpPr/>
                      <wpg:grpSpPr>
                        <a:xfrm>
                          <a:off x="0" y="0"/>
                          <a:ext cx="85090" cy="152400"/>
                          <a:chOff x="0" y="0"/>
                          <a:chExt cx="85344" cy="152400"/>
                        </a:xfrm>
                        <a:effectLst/>
                      </wpg:grpSpPr>
                      <wps:wsp>
                        <wps:cNvPr id="262" name="Rectangle 262"/>
                        <wps:cNvSpPr/>
                        <wps:spPr>
                          <a:xfrm>
                            <a:off x="9144" y="0"/>
                            <a:ext cx="101346" cy="202692"/>
                          </a:xfrm>
                          <a:prstGeom prst="rect">
                            <a:avLst/>
                          </a:prstGeom>
                          <a:noFill/>
                          <a:ln>
                            <a:noFill/>
                          </a:ln>
                          <a:effectLst/>
                        </wps:spPr>
                        <wps:txbx>
                          <w:txbxContent>
                            <w:p>
                              <w:pPr>
                                <w:spacing w:after="160"/>
                              </w:pPr>
                              <w:r>
                                <w:t xml:space="preserve"> </w:t>
                              </w:r>
                            </w:p>
                          </w:txbxContent>
                        </wps:txbx>
                        <wps:bodyPr horzOverflow="overflow" vert="horz" lIns="0" tIns="0" rIns="0" bIns="0" rtlCol="0">
                          <a:noAutofit/>
                        </wps:bodyPr>
                      </wps:wsp>
                      <wps:wsp>
                        <wps:cNvPr id="355" name="Rectangle 355"/>
                        <wps:cNvSpPr/>
                        <wps:spPr>
                          <a:xfrm>
                            <a:off x="0" y="13120"/>
                            <a:ext cx="84117" cy="168235"/>
                          </a:xfrm>
                          <a:prstGeom prst="rect">
                            <a:avLst/>
                          </a:prstGeom>
                          <a:noFill/>
                          <a:ln>
                            <a:noFill/>
                          </a:ln>
                          <a:effectLst/>
                        </wps:spPr>
                        <wps:txbx>
                          <w:txbxContent>
                            <w:p>
                              <w:pPr>
                                <w:spacing w:after="160"/>
                              </w:pPr>
                              <w:r>
                                <w:rPr>
                                  <w:sz w:val="20"/>
                                </w:rPr>
                                <w:t xml:space="preserve"> </w:t>
                              </w:r>
                            </w:p>
                          </w:txbxContent>
                        </wps:txbx>
                        <wps:bodyPr horzOverflow="overflow" vert="horz" lIns="0" tIns="0" rIns="0" bIns="0" rtlCol="0">
                          <a:noAutofit/>
                        </wps:bodyPr>
                      </wps:wsp>
                    </wpg:wgp>
                  </a:graphicData>
                </a:graphic>
              </wp:anchor>
            </w:drawing>
          </mc:Choice>
          <mc:Fallback>
            <w:pict>
              <v:group id="Group 2268" o:spid="_x0000_s1026" o:spt="203" style="position:absolute;left:0pt;margin-left:593.9pt;margin-top:44.15pt;height:12pt;width:6.7pt;mso-position-horizontal-relative:page;mso-position-vertical-relative:page;mso-wrap-distance-bottom:0pt;mso-wrap-distance-left:9pt;mso-wrap-distance-right:9pt;mso-wrap-distance-top:0pt;z-index:251660288;mso-width-relative:page;mso-height-relative:page;" coordsize="85344,152400" o:gfxdata="UEsDBAoAAAAAAIdO4kAAAAAAAAAAAAAAAAAEAAAAZHJzL1BLAwQUAAAACACHTuJATAQm8NkAAAAM&#10;AQAADwAAAGRycy9kb3ducmV2LnhtbE2PwWrDMBBE74X+g9hAb40km7bGsRxKaHsKhSaF0tvG2tgm&#10;lmQsxU7+vvKpOQ4zzLwp1hfTsZEG3zqrQC4FMLKV062tFXzv3x8zYD6g1dg5Swqu5GFd3t8VmGs3&#10;2S8ad6FmscT6HBU0IfQ5575qyKBfup5s9I5uMBiiHGquB5xiuel4IsQzN9jauNBgT5uGqtPubBR8&#10;TDi9pvJt3J6Om+vv/unzZytJqYeFFCtggS7hPwwzfkSHMjId3Nlqz7qoZfYS2YOCLEuBzYlEyATY&#10;YfaSFHhZ8NsT5R9QSwMEFAAAAAgAh07iQEL/2SxVAgAAzwYAAA4AAABkcnMvZTJvRG9jLnhtbO2V&#10;247bIBCG7yv1HRD3jQ9J3MSKs6qablSp6q522wcgGB8kDAhI7O3Td8CH7Ca92LZSr3rj4MEM83//&#10;QDY3XcPRiWlTS5HhaBZixASVeS3KDH//dvtuhZGxROSES8Ey/MQMvtm+fbNpVcpiWUmeM40giTBp&#10;qzJcWavSIDC0Yg0xM6mYgMlC6oZYeNVlkGvSQvaGB3EYJkErda60pMwYiO76STxk1K9JKIuipmwn&#10;6bFhwvZZNePEgiRT1crgra+2KBi1d0VhmEU8w6DU+idsAuODewbbDUlLTVRV06EE8poSLjQ1pBaw&#10;6ZRqRyxBR11fpWpqqqWRhZ1R2QS9EE8EVEThBZu9lkfltZRpW6oJOhh1Qf2P09Kvp3uN6hw6ASNB&#10;GjDc74riOFk5Oq0qU/hor9WjutdDoOzfnOCu0I37BSmo81yfJq6ss4hCcLUM1wCcwky0jBfhgJ1W&#10;4M3VIlp9mpbNF4vLZcF5S+b9/WIsVBW4OqeyWgW9ac7AzN8Be6yIYt4H41gMwOIkHpE9QJ8RUXKG&#10;XNBD8l9OyExqgN4veK0jJ/EaWRRG80XSi4/DOFn7tM/EK23snskGuUGGNVTgG5CcBiAkHT9x2wp5&#10;W3MOlZGUixcByNlHLnCOJTuWtjt0g6qDzJ8AQCX1jzu4RQou2wzLYYTdxQLVuFmM+GcB4N2pGwd6&#10;HBzGgbb8o/Rnsy/qw9HKoh4cNWm/m7fXO+r68R9YO18ur611wd+xFoS7hp9H8dDv03FYRNH7oa+T&#10;VTz3af9b259huOfA7hcX6fN33wrn/6Ht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wEJvDZAAAA&#10;DAEAAA8AAAAAAAAAAQAgAAAAIgAAAGRycy9kb3ducmV2LnhtbFBLAQIUABQAAAAIAIdO4kBC/9ks&#10;VQIAAM8GAAAOAAAAAAAAAAEAIAAAACgBAABkcnMvZTJvRG9jLnhtbFBLBQYAAAAABgAGAFkBAADv&#10;BQAAAAA=&#10;">
                <o:lock v:ext="edit" aspectratio="f"/>
                <v:rect id="Rectangle 262" o:spid="_x0000_s1026" o:spt="1" style="position:absolute;left:9144;top:0;height:202692;width:101346;" filled="f" stroked="f" coordsize="21600,21600" o:gfxdata="UEsDBAoAAAAAAIdO4kAAAAAAAAAAAAAAAAAEAAAAZHJzL1BLAwQUAAAACACHTuJAkAFU978AAADc&#10;AAAADwAAAGRycy9kb3ducmV2LnhtbEWPQWvCQBSE7wX/w/KE3urGHEJMXYPYijm2WrC9PbLPJJh9&#10;G7JrkvbXdwsFj8PMfMOs88m0YqDeNZYVLBcRCOLS6oYrBR+n/VMKwnlkja1lUvBNDvLN7GGNmbYj&#10;v9Nw9JUIEHYZKqi97zIpXVmTQbewHXHwLrY36IPsK6l7HAPctDKOokQabDgs1NjRrqbyerwZBYe0&#10;234W9mes2tevw/ntvHo5rbxSj/Nl9AzC0+Tv4f92oRXESQx/Z8IRkJ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BVP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pPr>
                        <w:r>
                          <w:t xml:space="preserve"> </w:t>
                        </w:r>
                      </w:p>
                    </w:txbxContent>
                  </v:textbox>
                </v:rect>
                <v:rect id="Rectangle 355" o:spid="_x0000_s1026" o:spt="1" style="position:absolute;left:0;top:13120;height:168235;width:84117;" filled="f" stroked="f" coordsize="21600,21600" o:gfxdata="UEsDBAoAAAAAAIdO4kAAAAAAAAAAAAAAAAAEAAAAZHJzL1BLAwQUAAAACACHTuJAp2UJo78AAADc&#10;AAAADwAAAGRycy9kb3ducmV2LnhtbEWPQWvCQBSE74L/YXlCb7qxYjHRVcRazLFNBPX2yD6TYPZt&#10;yG6N7a/vFgo9DjPzDbPaPEwj7tS52rKC6SQCQVxYXXOp4Ji/jRcgnEfW2FgmBV/kYLMeDlaYaNvz&#10;B90zX4oAYZeggsr7NpHSFRUZdBPbEgfvajuDPsiulLrDPsBNI5+j6EUarDksVNjSrqLiln0aBYdF&#10;uz2n9rsvm/3lcHo/xa957JV6Gk2jJQhPD/8f/munWsFsPof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dlCa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pPr>
                        <w:r>
                          <w:rPr>
                            <w:sz w:val="20"/>
                          </w:rPr>
                          <w:t xml:space="preserve"> </w:t>
                        </w:r>
                      </w:p>
                    </w:txbxContent>
                  </v:textbox>
                </v:rect>
                <w10:wrap type="square"/>
              </v:group>
            </w:pict>
          </mc:Fallback>
        </mc:AlternateContent>
      </w:r>
      <w:r>
        <w:rPr>
          <w:rFonts w:hint="eastAsia" w:ascii="宋体" w:hAnsi="宋体" w:eastAsia="宋体"/>
          <w:color w:val="auto"/>
          <w:sz w:val="24"/>
          <w:szCs w:val="24"/>
          <w:highlight w:val="none"/>
          <w:lang w:val="en-US" w:eastAsia="zh-CN"/>
        </w:rPr>
        <w:t>4.现场响应：接到报修后24小时内派遣原厂认证合格的专业工程师到现场维修设备。</w:t>
      </w:r>
      <w:r>
        <w:rPr>
          <w:rFonts w:ascii="宋体" w:hAnsi="宋体" w:eastAsia="宋体"/>
          <w:color w:val="auto"/>
          <w:sz w:val="24"/>
          <w:szCs w:val="24"/>
          <w:highlight w:val="none"/>
        </w:rPr>
        <w:t xml:space="preserve">   </w:t>
      </w:r>
    </w:p>
    <w:p>
      <w:pPr>
        <w:spacing w:after="0" w:line="360" w:lineRule="auto"/>
        <w:ind w:firstLine="480" w:firstLineChars="200"/>
        <w:jc w:val="both"/>
        <w:rPr>
          <w:rFonts w:ascii="宋体" w:hAnsi="宋体" w:eastAsia="宋体"/>
          <w:color w:val="auto"/>
          <w:sz w:val="24"/>
          <w:szCs w:val="24"/>
          <w:highlight w:val="none"/>
        </w:rPr>
      </w:pPr>
      <w:r>
        <w:rPr>
          <w:rFonts w:ascii="宋体" w:hAnsi="宋体" w:eastAsia="宋体"/>
          <w:color w:val="auto"/>
          <w:sz w:val="24"/>
          <w:szCs w:val="24"/>
          <w:highlight w:val="none"/>
        </w:rPr>
        <w:t>5.</w:t>
      </w:r>
      <w:r>
        <w:rPr>
          <w:rFonts w:hint="eastAsia" w:ascii="宋体" w:hAnsi="宋体" w:eastAsia="宋体"/>
          <w:color w:val="auto"/>
          <w:sz w:val="24"/>
          <w:szCs w:val="24"/>
          <w:highlight w:val="none"/>
        </w:rPr>
        <w:t>服务期内设备开机率确保达到95％，按全年250个工作日计算。即全年正常开机达到238个工作日，停机时间不超过12个工作日，停机每超出1个工作日，维修服务合同期限自动延长2个工作日</w:t>
      </w:r>
      <w:bookmarkStart w:id="0" w:name="_GoBack"/>
      <w:bookmarkEnd w:id="0"/>
      <w:r>
        <w:rPr>
          <w:rFonts w:ascii="宋体" w:hAnsi="宋体" w:eastAsia="宋体"/>
          <w:color w:val="auto"/>
          <w:sz w:val="24"/>
          <w:szCs w:val="24"/>
          <w:highlight w:val="none"/>
        </w:rPr>
        <w:t xml:space="preserve">。  </w:t>
      </w:r>
    </w:p>
    <w:p>
      <w:pPr>
        <w:pStyle w:val="3"/>
        <w:ind w:left="0" w:leftChars="0" w:firstLine="0" w:firstLineChars="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知识产权归属和处理方式：</w:t>
      </w:r>
    </w:p>
    <w:p>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一、供应商应保证在本项目中使用的任何技术、产品和服务（包括部分使用），不会产生因第三方提出侵犯其专利权、商 标权或其它知识产权而引起的法律和经济纠纷，如存在前述情形，由供应商承担所有相关责任。采购人享有本项目实施过程中 产生的知识成果及知识产权。 </w:t>
      </w:r>
    </w:p>
    <w:p>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二、供应商将在采购项目实施过程中采用自有或者第三方知识成果的，使用该知识成果后，供应商需提供开发接口和开发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w:t>
      </w:r>
    </w:p>
    <w:p>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三、如采用供应商所不拥有的知识产权，则在报价中必须包括合法使用该知识产权的相关费用。 </w:t>
      </w:r>
    </w:p>
    <w:p>
      <w:pPr>
        <w:pStyle w:val="3"/>
        <w:keepNext w:val="0"/>
        <w:keepLines w:val="0"/>
        <w:pageBreakBefore w:val="0"/>
        <w:widowControl/>
        <w:kinsoku/>
        <w:wordWrap/>
        <w:overflowPunct/>
        <w:topLinePunct w:val="0"/>
        <w:autoSpaceDE/>
        <w:autoSpaceDN/>
        <w:bidi w:val="0"/>
        <w:adjustRightInd w:val="0"/>
        <w:snapToGrid w:val="0"/>
        <w:ind w:left="0" w:leftChars="0" w:firstLine="480" w:firstLineChars="200"/>
        <w:textAlignment w:val="auto"/>
        <w:rPr>
          <w:color w:val="auto"/>
          <w:highlight w:val="none"/>
        </w:rPr>
      </w:pPr>
      <w:r>
        <w:rPr>
          <w:rFonts w:hint="eastAsia" w:ascii="宋体" w:hAnsi="宋体" w:eastAsia="宋体" w:cs="宋体"/>
          <w:i w:val="0"/>
          <w:iCs w:val="0"/>
          <w:caps w:val="0"/>
          <w:color w:val="auto"/>
          <w:spacing w:val="0"/>
          <w:sz w:val="24"/>
          <w:szCs w:val="24"/>
          <w:highlight w:val="none"/>
          <w:shd w:val="clear" w:fill="FFFFFF"/>
        </w:rPr>
        <w:t>四、构成本磋商文件的各组成部分，未经采购人书面同意，供应商不得擅自复印或用于非本磋商项目所需的其他目的。</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验收交付标准和方法：</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供应商提出验收申请之日起15日内组织验收</w:t>
      </w:r>
      <w:r>
        <w:rPr>
          <w:rFonts w:hint="eastAsia" w:ascii="宋体" w:hAnsi="宋体" w:eastAsia="宋体" w:cs="宋体"/>
          <w:i w:val="0"/>
          <w:iCs w:val="0"/>
          <w:caps w:val="0"/>
          <w:color w:val="auto"/>
          <w:spacing w:val="0"/>
          <w:sz w:val="24"/>
          <w:szCs w:val="24"/>
          <w:highlight w:val="none"/>
          <w:shd w:val="clear" w:fill="FFFFFF"/>
          <w:lang w:eastAsia="zh-CN"/>
        </w:rPr>
        <w:t>。</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lang w:eastAsia="zh-CN"/>
        </w:rPr>
        <w:t>甲方</w:t>
      </w:r>
      <w:r>
        <w:rPr>
          <w:rFonts w:hint="eastAsia" w:ascii="宋体" w:hAnsi="宋体" w:eastAsia="宋体" w:cs="宋体"/>
          <w:i w:val="0"/>
          <w:iCs w:val="0"/>
          <w:caps w:val="0"/>
          <w:color w:val="auto"/>
          <w:spacing w:val="0"/>
          <w:sz w:val="24"/>
          <w:szCs w:val="24"/>
          <w:highlight w:val="none"/>
          <w:shd w:val="clear" w:fill="FFFFFF"/>
        </w:rPr>
        <w:t>对日常的服务质量进行监督考核。</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firstLine="480" w:firstLineChars="200"/>
        <w:jc w:val="both"/>
        <w:rPr>
          <w:color w:val="auto"/>
          <w:highlight w:val="none"/>
        </w:rPr>
      </w:pP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期末由维修方提供全年保修次数及备件更换情况的整体报告书，交由甲方统一对照保管。</w:t>
      </w:r>
    </w:p>
    <w:p>
      <w:pPr>
        <w:spacing w:after="0" w:line="360" w:lineRule="auto"/>
        <w:rPr>
          <w:rFonts w:hint="eastAsia" w:ascii="宋体" w:hAnsi="宋体" w:eastAsia="宋体" w:cs="宋体"/>
          <w:i w:val="0"/>
          <w:iCs w:val="0"/>
          <w:caps w:val="0"/>
          <w:color w:val="auto"/>
          <w:spacing w:val="0"/>
          <w:sz w:val="24"/>
          <w:szCs w:val="24"/>
          <w:highlight w:val="none"/>
          <w:shd w:val="clear" w:fill="FFFFFF"/>
        </w:rPr>
      </w:pPr>
      <w:r>
        <w:rPr>
          <w:rFonts w:hint="eastAsia" w:asciiTheme="minorEastAsia" w:hAnsiTheme="minorEastAsia" w:eastAsiaTheme="minorEastAsia"/>
          <w:color w:val="auto"/>
          <w:sz w:val="24"/>
          <w:szCs w:val="24"/>
          <w:highlight w:val="none"/>
        </w:rPr>
        <w:t>第</w:t>
      </w:r>
      <w:r>
        <w:rPr>
          <w:rFonts w:hint="eastAsia" w:asciiTheme="minorEastAsia" w:hAnsiTheme="minorEastAsia" w:eastAsiaTheme="minorEastAsia"/>
          <w:color w:val="auto"/>
          <w:sz w:val="24"/>
          <w:szCs w:val="24"/>
          <w:highlight w:val="none"/>
          <w:lang w:eastAsia="zh-CN"/>
        </w:rPr>
        <w:t>八</w:t>
      </w:r>
      <w:r>
        <w:rPr>
          <w:rFonts w:hint="eastAsia"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宋体" w:hAnsi="宋体" w:eastAsia="宋体" w:cs="宋体"/>
          <w:i w:val="0"/>
          <w:iCs w:val="0"/>
          <w:caps w:val="0"/>
          <w:color w:val="auto"/>
          <w:spacing w:val="0"/>
          <w:sz w:val="24"/>
          <w:szCs w:val="24"/>
          <w:highlight w:val="none"/>
          <w:shd w:val="clear" w:fill="FFFFFF"/>
        </w:rPr>
        <w:t>成本补偿和风险分担约定：</w:t>
      </w:r>
    </w:p>
    <w:p>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1、本合同所称不可抗力事件是指双方在订立合同时不能预见、对其发生和后果不能避免并不能克服的客观事件，如：战争、火灾、地震等。</w:t>
      </w:r>
    </w:p>
    <w:p>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2、遭受不可抗力一方须在事故发生后立即书面告知另一方并在事故发生后 15 天内 将事故发生地相关机构出具的事故证明书邮寄另一方为证。如不可抗力事件持续（60） 天以上， 双方就继续履行合同还是终止履行合同另行协商。不可抗力发生后，各方应尽最大努力减少损失。 </w:t>
      </w:r>
    </w:p>
    <w:p>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3、合同任何一方因不可抗力事件不能履行合同的全部或部分义务时，根据不可抗 力的影响， 部分或全部免除责任。但因一方延迟履行合同后发生不可抗力的，责任不能免除。</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九</w:t>
      </w:r>
      <w:r>
        <w:rPr>
          <w:rFonts w:hint="eastAsia" w:asciiTheme="minorEastAsia" w:hAnsiTheme="minorEastAsia" w:eastAsiaTheme="minorEastAsia"/>
          <w:color w:val="auto"/>
          <w:sz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索赔</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、如有异议</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甲方有权根据有关政府部门的检验结果向乙方提出索赔。</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、在合同执行期间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如果乙方对甲方提出的索赔和差异负有责任</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乙方应按照甲方同意的下列一种或多种方式解决索赔事宜</w:t>
      </w:r>
      <w:r>
        <w:rPr>
          <w:rFonts w:asciiTheme="minorEastAsia" w:hAnsiTheme="minorEastAsia" w:eastAsiaTheme="minorEastAsia"/>
          <w:color w:val="auto"/>
          <w:sz w:val="24"/>
          <w:szCs w:val="24"/>
          <w:highlight w:val="none"/>
        </w:rPr>
        <w:t>:</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乙方同意退</w:t>
      </w:r>
      <w:r>
        <w:rPr>
          <w:rFonts w:hint="eastAsia" w:asciiTheme="minorEastAsia" w:hAnsiTheme="minorEastAsia" w:eastAsiaTheme="minorEastAsia"/>
          <w:color w:val="auto"/>
          <w:sz w:val="24"/>
          <w:szCs w:val="24"/>
          <w:highlight w:val="none"/>
          <w:lang w:eastAsia="zh-CN"/>
        </w:rPr>
        <w:t>款</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按合同规定的同种货币将货款退还给甲方</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并承担由此发生的一切损失和费用。</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用符合规格、质量和性能要求的新零件、部件或货物来更换有缺陷的部分或修补缺陷的部分</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乙方应承担一切费用和风险并负担甲方所发生的一切直接费用。同时</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相应延长质量保证期。</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w:t>
      </w:r>
      <w:r>
        <w:rPr>
          <w:rFonts w:hint="eastAsia" w:asciiTheme="minorEastAsia" w:hAnsiTheme="minorEastAsia" w:eastAsiaTheme="minorEastAsia"/>
          <w:color w:val="auto"/>
          <w:sz w:val="24"/>
          <w:szCs w:val="24"/>
          <w:highlight w:val="none"/>
        </w:rPr>
        <w:t>、如果在甲方发出索赔通知后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乙方未作书面答复</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上述索赔应视为已被乙方接受。甲方将从合同款项中扣回索赔金额。如果这些金额不足以补偿索赔金额</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甲方有权向乙方提出不足部分的补偿。</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合同终止</w:t>
      </w:r>
    </w:p>
    <w:p>
      <w:pPr>
        <w:spacing w:after="0" w:line="360" w:lineRule="auto"/>
        <w:ind w:firstLine="480" w:firstLineChars="200"/>
        <w:jc w:val="both"/>
        <w:rPr>
          <w:rFonts w:hint="default" w:eastAsiaTheme="minorEastAsia"/>
          <w:color w:val="auto"/>
          <w:highlight w:val="none"/>
          <w:lang w:val="en-US" w:eastAsia="zh-CN"/>
        </w:rPr>
      </w:pPr>
      <w:r>
        <w:rPr>
          <w:rFonts w:hint="eastAsia" w:asciiTheme="minorEastAsia" w:hAnsiTheme="minorEastAsia" w:eastAsiaTheme="minorEastAsia"/>
          <w:color w:val="auto"/>
          <w:sz w:val="24"/>
          <w:szCs w:val="24"/>
          <w:highlight w:val="none"/>
          <w:lang w:val="en-US" w:eastAsia="zh-CN"/>
        </w:rPr>
        <w:t>1.</w:t>
      </w:r>
      <w:r>
        <w:rPr>
          <w:rFonts w:hint="eastAsia" w:asciiTheme="minorEastAsia" w:hAnsiTheme="minorEastAsia" w:eastAsiaTheme="minorEastAsia"/>
          <w:color w:val="auto"/>
          <w:sz w:val="24"/>
          <w:szCs w:val="24"/>
          <w:highlight w:val="none"/>
        </w:rPr>
        <w:t>如果一方严重违反合同</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并在收到对方违约通知书后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天内仍未能改正违约的，另一方可立即终止本合同。</w:t>
      </w:r>
    </w:p>
    <w:p>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第十一条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争议解决</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凡因本合同的签订、履行、解除、终止引起的或与本合同有关的任何争议，双方应通过友好协商解决，</w:t>
      </w:r>
      <w:r>
        <w:rPr>
          <w:rFonts w:hint="eastAsia" w:asciiTheme="minorEastAsia" w:hAnsiTheme="minorEastAsia" w:eastAsiaTheme="minorEastAsia"/>
          <w:color w:val="auto"/>
          <w:sz w:val="24"/>
          <w:szCs w:val="24"/>
          <w:highlight w:val="none"/>
        </w:rPr>
        <w:t>协商不成时，向延安市宝塔区人民法院提起诉讼解决。诉讼期间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双方应继续执行合同其余部分。</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第十二条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信息保密：</w:t>
      </w:r>
    </w:p>
    <w:p>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甲乙双方有义务对本合同的价格及详细内容进行保密；哪一方若违背此保密承诺，则应自行承担相应的责任并独自去面对厂家或总代理商的追责和诉讼，与另一方无关。</w:t>
      </w:r>
    </w:p>
    <w:p>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第十三条 其他</w:t>
      </w:r>
    </w:p>
    <w:p>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1、本合同在执行期间如因国家有关政策、法律法规变动或其他原因确需变动时，双方应本着友好、坦诚、互谅、公平诚信的态度依法对相关条款做出必要的调整和补充。</w:t>
      </w:r>
    </w:p>
    <w:p>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2、甲乙双方对合作过程中所知晓的对方商业秘密负有保密义务，未取得对方书面同意，不得以任何形式向其他人员或机构透露，该保密义务不因本协议的终止而取消。如因泄密而导致对方损失，泄密方应承担相应的赔偿责任。</w:t>
      </w:r>
    </w:p>
    <w:p>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3、本合同未尽事宜，由甲乙双方另行协商解决，并签订补充合同，补充合同与本合同书具有同等法律效力。</w:t>
      </w:r>
    </w:p>
    <w:p>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4、本合同自双方盖章之日起生效。对本合同作出的任何修改和/或补充应为书面形式，并由双方盖章后生效。</w:t>
      </w:r>
    </w:p>
    <w:p>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5、本合同书正本一式伍份，甲方执肆份，乙方执壹份，具有同等法律效力。</w:t>
      </w:r>
      <w:r>
        <w:rPr>
          <w:rFonts w:hint="eastAsia" w:asciiTheme="minorEastAsia" w:hAnsiTheme="minorEastAsia" w:eastAsiaTheme="minorEastAsia"/>
          <w:color w:val="auto"/>
          <w:sz w:val="24"/>
          <w:szCs w:val="24"/>
          <w:highlight w:val="none"/>
        </w:rPr>
        <w:t>合同自签字、盖章之日起生效。</w:t>
      </w:r>
    </w:p>
    <w:p>
      <w:pPr>
        <w:keepNext w:val="0"/>
        <w:keepLines w:val="0"/>
        <w:pageBreakBefore w:val="0"/>
        <w:widowControl/>
        <w:kinsoku/>
        <w:wordWrap/>
        <w:overflowPunct/>
        <w:topLinePunct w:val="0"/>
        <w:autoSpaceDE/>
        <w:autoSpaceDN/>
        <w:bidi w:val="0"/>
        <w:adjustRightInd w:val="0"/>
        <w:snapToGrid w:val="0"/>
        <w:spacing w:after="0" w:line="480" w:lineRule="auto"/>
        <w:ind w:left="6440" w:hanging="6440" w:hangingChars="2300"/>
        <w:jc w:val="both"/>
        <w:textAlignment w:val="auto"/>
        <w:rPr>
          <w:rFonts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 xml:space="preserve">甲方（签章）：                </w:t>
      </w:r>
      <w:r>
        <w:rPr>
          <w:rFonts w:cs="宋体" w:asciiTheme="minorEastAsia" w:hAnsiTheme="minorEastAsia" w:eastAsiaTheme="minorEastAsia"/>
          <w:color w:val="auto"/>
          <w:sz w:val="28"/>
          <w:szCs w:val="28"/>
          <w:highlight w:val="none"/>
        </w:rPr>
        <w:t xml:space="preserve"> </w:t>
      </w:r>
      <w:r>
        <w:rPr>
          <w:rFonts w:hint="eastAsia" w:cs="宋体" w:asciiTheme="minorEastAsia" w:hAnsiTheme="minorEastAsia" w:eastAsiaTheme="minorEastAsia"/>
          <w:color w:val="auto"/>
          <w:sz w:val="28"/>
          <w:szCs w:val="28"/>
          <w:highlight w:val="none"/>
        </w:rPr>
        <w:t>乙方（签章）：</w:t>
      </w:r>
      <w:r>
        <w:rPr>
          <w:rFonts w:asciiTheme="minorEastAsia" w:hAnsiTheme="minorEastAsia" w:eastAsiaTheme="minorEastAsia"/>
          <w:color w:val="auto"/>
          <w:sz w:val="28"/>
          <w:szCs w:val="28"/>
          <w:highlight w:val="none"/>
        </w:rPr>
        <w:t xml:space="preserve"> </w:t>
      </w:r>
    </w:p>
    <w:p>
      <w:pPr>
        <w:keepNext w:val="0"/>
        <w:keepLines w:val="0"/>
        <w:pageBreakBefore w:val="0"/>
        <w:widowControl/>
        <w:kinsoku/>
        <w:wordWrap/>
        <w:overflowPunct/>
        <w:topLinePunct w:val="0"/>
        <w:autoSpaceDE/>
        <w:autoSpaceDN/>
        <w:bidi w:val="0"/>
        <w:adjustRightInd w:val="0"/>
        <w:snapToGrid w:val="0"/>
        <w:spacing w:after="0" w:line="480" w:lineRule="auto"/>
        <w:jc w:val="both"/>
        <w:textAlignment w:val="auto"/>
        <w:rPr>
          <w:rFonts w:hint="eastAsia"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法定代表人：                   法定代表人或委托人：</w:t>
      </w:r>
    </w:p>
    <w:p>
      <w:pPr>
        <w:spacing w:beforeLines="250" w:after="0" w:line="360" w:lineRule="auto"/>
        <w:jc w:val="both"/>
        <w:rPr>
          <w:rFonts w:ascii="宋体" w:hAnsi="宋体" w:eastAsia="宋体" w:cs="宋体"/>
          <w:b/>
          <w:bCs/>
          <w:color w:val="auto"/>
          <w:sz w:val="24"/>
          <w:szCs w:val="24"/>
          <w:highlight w:val="none"/>
        </w:rPr>
      </w:pPr>
      <w:r>
        <w:rPr>
          <w:rFonts w:hint="eastAsia" w:cs="宋体" w:asciiTheme="minorEastAsia" w:hAnsiTheme="minorEastAsia" w:eastAsiaTheme="minorEastAsia"/>
          <w:color w:val="auto"/>
          <w:sz w:val="28"/>
          <w:szCs w:val="28"/>
          <w:highlight w:val="none"/>
        </w:rPr>
        <w:t xml:space="preserve"> 年    月    日                 年     月     日</w:t>
      </w:r>
    </w:p>
    <w:sectPr>
      <w:pgSz w:w="11906" w:h="16838"/>
      <w:pgMar w:top="1020" w:right="1134" w:bottom="1020"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noLineBreaksAfter w:lang="zh-CN" w:val="$([{£¥·‘“〈《「『【〔〖〝﹙﹛﹝＄（．［｛￡￥"/>
  <w:noLineBreaksBefore w:lang="zh-CN" w:val="!%),.:;&gt;?]}¢¨°·ˇˉ―‖’”…‰′″›℃∶、。〃〉》」』】〕〗〞︶︺︾﹀﹄﹚﹜﹞！＂％＇），．：；？］｀｜｝～￠"/>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2I1NmZkNzA5MDcyOGE3ODVhOTc4N2Q2N2E5MDMifQ=="/>
    <w:docVar w:name="KSO_WPS_MARK_KEY" w:val="52c4e41e-c577-4606-b5f6-e5d335c57d46"/>
  </w:docVars>
  <w:rsids>
    <w:rsidRoot w:val="00ED0AB5"/>
    <w:rsid w:val="00150AD5"/>
    <w:rsid w:val="0015124D"/>
    <w:rsid w:val="001E51E1"/>
    <w:rsid w:val="00351E84"/>
    <w:rsid w:val="003755D9"/>
    <w:rsid w:val="003B435E"/>
    <w:rsid w:val="00652430"/>
    <w:rsid w:val="00670502"/>
    <w:rsid w:val="00780153"/>
    <w:rsid w:val="00802F96"/>
    <w:rsid w:val="008F43CE"/>
    <w:rsid w:val="0095319E"/>
    <w:rsid w:val="00977F02"/>
    <w:rsid w:val="00AA2EF1"/>
    <w:rsid w:val="00C40568"/>
    <w:rsid w:val="00D00984"/>
    <w:rsid w:val="00D049E0"/>
    <w:rsid w:val="00ED0AB5"/>
    <w:rsid w:val="00F521F6"/>
    <w:rsid w:val="031A6BF7"/>
    <w:rsid w:val="03625C2E"/>
    <w:rsid w:val="045949E1"/>
    <w:rsid w:val="07935C2F"/>
    <w:rsid w:val="0ED9579C"/>
    <w:rsid w:val="0F863546"/>
    <w:rsid w:val="1820473B"/>
    <w:rsid w:val="1B486183"/>
    <w:rsid w:val="20022EF8"/>
    <w:rsid w:val="20F6258E"/>
    <w:rsid w:val="234E1B40"/>
    <w:rsid w:val="312F2E82"/>
    <w:rsid w:val="33F86541"/>
    <w:rsid w:val="39AE1A35"/>
    <w:rsid w:val="3F4B27D5"/>
    <w:rsid w:val="3FC43815"/>
    <w:rsid w:val="408C7FFF"/>
    <w:rsid w:val="41344930"/>
    <w:rsid w:val="41800B63"/>
    <w:rsid w:val="45D57044"/>
    <w:rsid w:val="4BAE1101"/>
    <w:rsid w:val="50610B72"/>
    <w:rsid w:val="5C8E6EF7"/>
    <w:rsid w:val="5D1458EA"/>
    <w:rsid w:val="5D227E4E"/>
    <w:rsid w:val="5D8939CF"/>
    <w:rsid w:val="5DA413D3"/>
    <w:rsid w:val="620052AF"/>
    <w:rsid w:val="69514F10"/>
    <w:rsid w:val="713C375B"/>
    <w:rsid w:val="78A80C95"/>
    <w:rsid w:val="7A856821"/>
    <w:rsid w:val="7FF134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2"/>
    <w:basedOn w:val="1"/>
    <w:next w:val="1"/>
    <w:link w:val="17"/>
    <w:qFormat/>
    <w:locked/>
    <w:uiPriority w:val="0"/>
    <w:pPr>
      <w:keepNext/>
      <w:keepLines/>
      <w:widowControl w:val="0"/>
      <w:adjustRightInd/>
      <w:snapToGrid/>
      <w:spacing w:before="260" w:after="260" w:line="416" w:lineRule="auto"/>
      <w:jc w:val="both"/>
      <w:outlineLvl w:val="1"/>
    </w:pPr>
    <w:rPr>
      <w:rFonts w:ascii="Arial" w:hAnsi="Arial" w:eastAsia="黑体"/>
      <w:b/>
      <w:bCs/>
      <w:kern w:val="2"/>
      <w:sz w:val="32"/>
      <w:szCs w:val="32"/>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link w:val="20"/>
    <w:qFormat/>
    <w:uiPriority w:val="99"/>
    <w:pPr>
      <w:spacing w:after="120"/>
    </w:pPr>
  </w:style>
  <w:style w:type="paragraph" w:styleId="5">
    <w:name w:val="Body Text Indent"/>
    <w:basedOn w:val="1"/>
    <w:unhideWhenUsed/>
    <w:qFormat/>
    <w:uiPriority w:val="99"/>
    <w:pPr>
      <w:spacing w:after="120"/>
      <w:ind w:left="420" w:leftChars="200"/>
    </w:pPr>
  </w:style>
  <w:style w:type="paragraph" w:styleId="6">
    <w:name w:val="Balloon Text"/>
    <w:basedOn w:val="1"/>
    <w:link w:val="14"/>
    <w:semiHidden/>
    <w:qFormat/>
    <w:uiPriority w:val="99"/>
    <w:rPr>
      <w:sz w:val="18"/>
      <w:szCs w:val="18"/>
    </w:rPr>
  </w:style>
  <w:style w:type="paragraph" w:styleId="7">
    <w:name w:val="footer"/>
    <w:basedOn w:val="1"/>
    <w:link w:val="16"/>
    <w:unhideWhenUsed/>
    <w:qFormat/>
    <w:uiPriority w:val="99"/>
    <w:pPr>
      <w:tabs>
        <w:tab w:val="center" w:pos="4153"/>
        <w:tab w:val="right" w:pos="8306"/>
      </w:tabs>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1"/>
    <w:qFormat/>
    <w:uiPriority w:val="0"/>
    <w:pPr>
      <w:spacing w:after="0" w:line="400" w:lineRule="exact"/>
      <w:ind w:left="360" w:leftChars="0" w:firstLine="420" w:firstLineChars="200"/>
    </w:pPr>
    <w:rPr>
      <w:rFonts w:ascii="华文中宋" w:hAnsi="华文中宋" w:eastAsia="华文中宋"/>
      <w:color w:val="FF6600"/>
      <w:sz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批注框文本 Char"/>
    <w:basedOn w:val="13"/>
    <w:link w:val="6"/>
    <w:semiHidden/>
    <w:qFormat/>
    <w:uiPriority w:val="99"/>
    <w:rPr>
      <w:rFonts w:ascii="Tahoma" w:hAnsi="Tahoma"/>
      <w:kern w:val="0"/>
      <w:sz w:val="0"/>
      <w:szCs w:val="0"/>
    </w:rPr>
  </w:style>
  <w:style w:type="character" w:customStyle="1" w:styleId="15">
    <w:name w:val="页眉 Char"/>
    <w:basedOn w:val="13"/>
    <w:link w:val="8"/>
    <w:qFormat/>
    <w:uiPriority w:val="99"/>
    <w:rPr>
      <w:rFonts w:ascii="Tahoma" w:hAnsi="Tahoma"/>
      <w:kern w:val="0"/>
      <w:sz w:val="18"/>
      <w:szCs w:val="18"/>
    </w:rPr>
  </w:style>
  <w:style w:type="character" w:customStyle="1" w:styleId="16">
    <w:name w:val="页脚 Char"/>
    <w:basedOn w:val="13"/>
    <w:link w:val="7"/>
    <w:qFormat/>
    <w:uiPriority w:val="99"/>
    <w:rPr>
      <w:rFonts w:ascii="Tahoma" w:hAnsi="Tahoma"/>
      <w:kern w:val="0"/>
      <w:sz w:val="18"/>
      <w:szCs w:val="18"/>
    </w:rPr>
  </w:style>
  <w:style w:type="character" w:customStyle="1" w:styleId="17">
    <w:name w:val="标题 2 Char"/>
    <w:basedOn w:val="13"/>
    <w:link w:val="2"/>
    <w:qFormat/>
    <w:uiPriority w:val="0"/>
    <w:rPr>
      <w:rFonts w:ascii="Arial" w:hAnsi="Arial" w:eastAsia="黑体"/>
      <w:b/>
      <w:bCs/>
      <w:kern w:val="2"/>
      <w:sz w:val="32"/>
      <w:szCs w:val="32"/>
    </w:rPr>
  </w:style>
  <w:style w:type="character" w:customStyle="1" w:styleId="18">
    <w:name w:val="font12"/>
    <w:qFormat/>
    <w:uiPriority w:val="0"/>
    <w:rPr>
      <w:rFonts w:ascii="微软雅黑" w:hAnsi="微软雅黑" w:eastAsia="微软雅黑" w:cs="微软雅黑"/>
      <w:b/>
      <w:color w:val="000000"/>
      <w:sz w:val="40"/>
      <w:szCs w:val="40"/>
      <w:u w:val="none"/>
    </w:rPr>
  </w:style>
  <w:style w:type="paragraph" w:customStyle="1" w:styleId="19">
    <w:name w:val="列出段落1"/>
    <w:basedOn w:val="1"/>
    <w:qFormat/>
    <w:uiPriority w:val="99"/>
    <w:pPr>
      <w:ind w:firstLine="420" w:firstLineChars="200"/>
    </w:pPr>
  </w:style>
  <w:style w:type="character" w:customStyle="1" w:styleId="20">
    <w:name w:val="正文文本 Char"/>
    <w:basedOn w:val="13"/>
    <w:link w:val="4"/>
    <w:qFormat/>
    <w:uiPriority w:val="99"/>
    <w:rPr>
      <w:rFonts w:ascii="Tahoma" w:hAnsi="Tahoma"/>
      <w:sz w:val="22"/>
      <w:szCs w:val="22"/>
    </w:rPr>
  </w:style>
  <w:style w:type="paragraph" w:customStyle="1" w:styleId="21">
    <w:name w:val="列出段落2"/>
    <w:basedOn w:val="1"/>
    <w:qFormat/>
    <w:uiPriority w:val="34"/>
    <w:pPr>
      <w:widowControl w:val="0"/>
      <w:adjustRightInd/>
      <w:snapToGrid/>
      <w:spacing w:after="0"/>
      <w:ind w:firstLine="420" w:firstLineChars="200"/>
      <w:jc w:val="both"/>
    </w:pPr>
    <w:rPr>
      <w:rFonts w:ascii="Times New Roman" w:hAnsi="Times New Roman" w:eastAsia="宋体"/>
      <w:kern w:val="2"/>
      <w:sz w:val="21"/>
      <w:szCs w:val="24"/>
    </w:rPr>
  </w:style>
  <w:style w:type="paragraph" w:customStyle="1" w:styleId="2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列表段落1"/>
    <w:basedOn w:val="1"/>
    <w:qFormat/>
    <w:uiPriority w:val="0"/>
    <w:pPr>
      <w:widowControl w:val="0"/>
      <w:adjustRightInd/>
      <w:snapToGrid/>
      <w:spacing w:after="0"/>
      <w:ind w:firstLine="420" w:firstLineChars="200"/>
      <w:jc w:val="both"/>
    </w:pPr>
    <w:rPr>
      <w:rFonts w:ascii="Times New Roman" w:hAnsi="Times New Roman" w:eastAsia="宋体"/>
      <w:kern w:val="2"/>
      <w:sz w:val="21"/>
      <w:szCs w:val="24"/>
    </w:rPr>
  </w:style>
  <w:style w:type="table" w:customStyle="1" w:styleId="24">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2542</Words>
  <Characters>2634</Characters>
  <Lines>19</Lines>
  <Paragraphs>5</Paragraphs>
  <TotalTime>0</TotalTime>
  <ScaleCrop>false</ScaleCrop>
  <LinksUpToDate>false</LinksUpToDate>
  <CharactersWithSpaces>2812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2023-07-20T02:41:00Z</dcterms:created>
  <dc:creator>新账户</dc:creator>
  <cp:lastModifiedBy>health</cp:lastModifiedBy>
  <cp:lastPrinted>2022-02-22T16:50:00Z</cp:lastPrinted>
  <dcterms:modified xsi:type="dcterms:W3CDTF">2024-08-20T06:38:48Z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C5D719D1BA7E4377ADB208C90F52189B_13</vt:lpwstr>
  </property>
</Properties>
</file>