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版本号：240820001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飞利浦IQon光谱CT维保服务项目</w:t>
      </w:r>
    </w:p>
    <w:p>
      <w:pPr>
        <w:pStyle w:val="null3"/>
        <w:jc w:val="center"/>
        <w:outlineLvl w:val="5"/>
      </w:pPr>
      <w:r>
        <w:rPr>
          <w:sz w:val="15"/>
          <w:b/>
        </w:rPr>
        <w:t xml:space="preserve">采购项目编号: </w:t>
      </w:r>
      <w:r>
        <w:rPr>
          <w:sz w:val="15"/>
          <w:b/>
        </w:rPr>
        <w:t>SXYS-2024-027</w:t>
      </w:r>
      <w:r>
        <w:br/>
      </w:r>
      <w:r>
        <w:br/>
      </w:r>
      <w:r>
        <w:br/>
      </w:r>
    </w:p>
    <w:p>
      <w:pPr>
        <w:pStyle w:val="null3"/>
        <w:jc w:val="center"/>
        <w:outlineLvl w:val="5"/>
      </w:pPr>
      <w:r>
        <w:rPr>
          <w:sz w:val="15"/>
          <w:b/>
        </w:rPr>
        <w:t>延安大学附属医院</w:t>
      </w:r>
    </w:p>
    <w:p>
      <w:pPr>
        <w:pStyle w:val="null3"/>
        <w:jc w:val="center"/>
        <w:outlineLvl w:val="5"/>
      </w:pPr>
      <w:r>
        <w:rPr>
          <w:sz w:val="15"/>
          <w:b/>
        </w:rPr>
        <w:t>陕西延审工程项目管理有限公司</w:t>
      </w:r>
      <w:r>
        <w:rPr>
          <w:sz w:val="15"/>
          <w:b/>
        </w:rPr>
        <w:t>共同编制</w:t>
      </w:r>
    </w:p>
    <w:p>
      <w:pPr>
        <w:pStyle w:val="null3"/>
        <w:jc w:val="center"/>
        <w:outlineLvl w:val="5"/>
      </w:pPr>
      <w:r>
        <w:rPr>
          <w:sz w:val="15"/>
          <w:b/>
        </w:rPr>
        <w:t>2024年08月20日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陕西延审工程项目管理有限公司</w:t>
      </w:r>
      <w:r>
        <w:rPr/>
        <w:t>（以下简称“代理机构”）受</w:t>
      </w:r>
      <w:r>
        <w:rPr/>
        <w:t>延安大学附属医院</w:t>
      </w:r>
      <w:r>
        <w:rPr/>
        <w:t>委托，拟对</w:t>
      </w:r>
      <w:r>
        <w:rPr/>
        <w:t>飞利浦IQon光谱CT维保服务项目</w:t>
      </w:r>
      <w:r>
        <w:rPr/>
        <w:t>采用单一来源方式进行采购，现邀请贵公司参加该项目的协商。</w:t>
      </w:r>
    </w:p>
    <w:p>
      <w:pPr>
        <w:pStyle w:val="null3"/>
        <w:outlineLvl w:val="2"/>
      </w:pPr>
      <w:r>
        <w:rPr>
          <w:sz w:val="28"/>
          <w:b/>
        </w:rPr>
        <w:t xml:space="preserve"> 一、采购项目编号：</w:t>
      </w:r>
      <w:r>
        <w:rPr>
          <w:sz w:val="28"/>
          <w:b/>
        </w:rPr>
        <w:t>SXYS-2024-027</w:t>
      </w:r>
    </w:p>
    <w:p>
      <w:pPr>
        <w:pStyle w:val="null3"/>
        <w:outlineLvl w:val="2"/>
      </w:pPr>
      <w:r>
        <w:rPr>
          <w:sz w:val="28"/>
          <w:b/>
        </w:rPr>
        <w:t xml:space="preserve"> 二、采购项目名称：</w:t>
      </w:r>
      <w:r>
        <w:rPr>
          <w:sz w:val="28"/>
          <w:b/>
        </w:rPr>
        <w:t>飞利浦IQon光谱CT维保服务项目</w:t>
      </w:r>
    </w:p>
    <w:p>
      <w:pPr>
        <w:pStyle w:val="null3"/>
        <w:outlineLvl w:val="2"/>
      </w:pPr>
      <w:r>
        <w:rPr>
          <w:sz w:val="28"/>
          <w:b/>
        </w:rPr>
        <w:t>三、协商项目简介：</w:t>
      </w:r>
    </w:p>
    <w:p>
      <w:pPr>
        <w:pStyle w:val="null3"/>
        <w:ind w:firstLine="480"/>
      </w:pPr>
      <w:r>
        <w:rPr/>
        <w:t>飞利浦IQon光谱CT维保，提供设备的全面保修的服务，包括设备的定期维护和检修，快速故障响应，故障的诊断和维修，更换维修备件，服务报告和反馈，确保CT设备持续的可用性。</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1、营业执照：具有独立承担民事责任能力的法人、其他组织或自然人，提供合法有效的统一社会信用代码营业执照附年检报告（事业单位提供事业单位法人证书，自然人应提供身份证）；</w:t>
      </w:r>
    </w:p>
    <w:p>
      <w:pPr>
        <w:pStyle w:val="null3"/>
      </w:pPr>
      <w:r>
        <w:rPr/>
        <w:t>2、银行开户许可证：银行开户许可证或开户行基本信息；</w:t>
      </w:r>
    </w:p>
    <w:p>
      <w:pPr>
        <w:pStyle w:val="null3"/>
      </w:pPr>
      <w:r>
        <w:rPr/>
        <w:t>3、法定代表人授权书：法定代表人授权书（附法定代表人身份证复印件）及被授权人身份证（法定代表人直接参加须提供法定代表人身份证明及法定代表人身份证复印件）；</w:t>
      </w:r>
    </w:p>
    <w:p>
      <w:pPr>
        <w:pStyle w:val="null3"/>
      </w:pPr>
      <w:r>
        <w:rPr/>
        <w:t>4、财务状况证明：提供2023年度经审计完整的财务审计报告（成立时间至提交响应文件截止时间不足一年的可提供成立后任意时段的资产负债表）或截止协商时间前三个月内由基本账户开户银行出具的资信证明；</w:t>
      </w:r>
    </w:p>
    <w:p>
      <w:pPr>
        <w:pStyle w:val="null3"/>
      </w:pPr>
      <w:r>
        <w:rPr/>
        <w:t>5、税收缴纳证明：提供截止协商时间近一年内任意一个月缴费凭据（依法免税的供应商应提供相关文件证明）；</w:t>
      </w:r>
    </w:p>
    <w:p>
      <w:pPr>
        <w:pStyle w:val="null3"/>
      </w:pPr>
      <w:r>
        <w:rPr/>
        <w:t>6、社会保障资金缴纳证明：提供截止协商时间近一年内任意一个月的社保缴费凭据或社保机构开具的社会保险参保缴费情况证明（依法不需要缴纳社会保障资金的供应商应提供相关证明）；</w:t>
      </w:r>
    </w:p>
    <w:p>
      <w:pPr>
        <w:pStyle w:val="null3"/>
      </w:pPr>
      <w:r>
        <w:rPr/>
        <w:t>7、书面声明：具有履行合同所必需的设备和专业技术能力的书面声明；</w:t>
      </w:r>
    </w:p>
    <w:p>
      <w:pPr>
        <w:pStyle w:val="null3"/>
      </w:pPr>
      <w:r>
        <w:rPr/>
        <w:t>8、信誉要求：供应商未被列入“信用中国”网站中严重主体失信名单和经营异常名单、“中国执行信息公开网”网站失信被执行人、中国政府采购网政府采购严重违法失信行为记录名单中被财政部门禁止参加政府采购活动的供应商（提供查询结果网页截图并加盖供应商公章）；参加政府采购活动近三年内，在经营活动中没有重大违法记录声明函；</w:t>
      </w:r>
    </w:p>
    <w:p>
      <w:pPr>
        <w:pStyle w:val="null3"/>
      </w:pPr>
      <w:r>
        <w:rPr/>
        <w:t>9、本项目专门面向中小企业采购：本项目专门面向中小企业采购，供应商须为中型、小型、微型企业，并提供《中小企业声明函》（采购标的对应所属行业为其他未列明行业，声明函格式按照《政府采购促进中小企业发展管理办法》（财库〔2020〕46号）要求提供）。</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延安大学附属医院</w:t>
      </w:r>
    </w:p>
    <w:p>
      <w:pPr>
        <w:pStyle w:val="null3"/>
      </w:pPr>
      <w:r>
        <w:rPr/>
        <w:t xml:space="preserve"> 地址： </w:t>
      </w:r>
      <w:r>
        <w:rPr/>
        <w:t>陕西省延安市宝塔区北大街43号延安大学附属医院</w:t>
      </w:r>
    </w:p>
    <w:p>
      <w:pPr>
        <w:pStyle w:val="null3"/>
      </w:pPr>
      <w:r>
        <w:rPr/>
        <w:t xml:space="preserve"> 邮编： </w:t>
      </w:r>
      <w:r>
        <w:rPr/>
        <w:t xml:space="preserve"> 716000</w:t>
      </w:r>
    </w:p>
    <w:p>
      <w:pPr>
        <w:pStyle w:val="null3"/>
      </w:pPr>
      <w:r>
        <w:rPr/>
        <w:t xml:space="preserve"> 联系人： </w:t>
      </w:r>
      <w:r>
        <w:rPr/>
        <w:t>马主任</w:t>
      </w:r>
    </w:p>
    <w:p>
      <w:pPr>
        <w:pStyle w:val="null3"/>
      </w:pPr>
      <w:r>
        <w:rPr/>
        <w:t xml:space="preserve"> 联系电话： </w:t>
      </w:r>
      <w:r>
        <w:rPr/>
        <w:t>0911-2881277</w:t>
      </w:r>
    </w:p>
    <w:p>
      <w:pPr>
        <w:pStyle w:val="null3"/>
        <w:outlineLvl w:val="2"/>
      </w:pPr>
      <w:r>
        <w:rPr>
          <w:sz w:val="28"/>
          <w:b/>
        </w:rPr>
        <w:t xml:space="preserve"> 代理机构：</w:t>
      </w:r>
      <w:r>
        <w:rPr>
          <w:sz w:val="28"/>
          <w:b/>
        </w:rPr>
        <w:t>陕西延审工程项目管理有限公司</w:t>
      </w:r>
    </w:p>
    <w:p>
      <w:pPr>
        <w:pStyle w:val="null3"/>
      </w:pPr>
      <w:r>
        <w:rPr/>
        <w:t xml:space="preserve"> 地址： </w:t>
      </w:r>
      <w:r>
        <w:rPr/>
        <w:t>延安市新区嘉宁万兴花园写字楼21层</w:t>
      </w:r>
    </w:p>
    <w:p>
      <w:pPr>
        <w:pStyle w:val="null3"/>
      </w:pPr>
      <w:r>
        <w:rPr/>
        <w:t xml:space="preserve"> 邮编： </w:t>
      </w:r>
      <w:r>
        <w:rPr/>
        <w:t xml:space="preserve"> 716000</w:t>
      </w:r>
    </w:p>
    <w:p>
      <w:pPr>
        <w:pStyle w:val="null3"/>
      </w:pPr>
      <w:r>
        <w:rPr/>
        <w:t xml:space="preserve"> 联系人： </w:t>
      </w:r>
      <w:r>
        <w:rPr/>
        <w:t xml:space="preserve"> 郝小艳</w:t>
      </w:r>
    </w:p>
    <w:p>
      <w:pPr>
        <w:pStyle w:val="null3"/>
      </w:pPr>
      <w:r>
        <w:rPr/>
        <w:t xml:space="preserve"> 联系电话： </w:t>
      </w:r>
      <w:r>
        <w:rPr/>
        <w:t>19929659892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采购包1：1,960,000.00元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采购包1：1,960,000.00元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开户名称：陕西延审工程项目管理有限公司</w:t>
            </w:r>
          </w:p>
          <w:p>
            <w:pPr>
              <w:pStyle w:val="null3"/>
            </w:pPr>
            <w:r>
              <w:rPr/>
              <w:t>开户银行：中国工商银行股份有限公司西安太华路支行</w:t>
            </w:r>
          </w:p>
          <w:p>
            <w:pPr>
              <w:pStyle w:val="null3"/>
            </w:pPr>
            <w:r>
              <w:rPr/>
              <w:t>银行账号：3700023919200266054</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按《招标代理服务收费管理暂行办法》（计价格〔2002〕1980号）、《国家发展改革委关于降低部分建设项目收费标准规范收费行为等有关问题的通知》(发改价格〔2011〕534号)标准计算，由成交供应商在领取成交通知书前向采购代理机构一次性付清。</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延安大学附属医院</w:t>
      </w:r>
      <w:r>
        <w:rPr/>
        <w:t>和</w:t>
      </w:r>
      <w:r>
        <w:rPr/>
        <w:t>陕西延审工程项目管理有限公司</w:t>
      </w:r>
      <w:r>
        <w:rPr/>
        <w:t>享有。对采购文件中供应商参加本次政府采购活动应当具备的条件、项目技术、服务、商务及其他要求，评审标准由采购人负责解释。除前述采购文件内容，其他内容由</w:t>
      </w:r>
      <w:r>
        <w:rPr/>
        <w:t>陕西延审工程项目管理有限公司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延安大学附属医院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陕西延审工程项目管理有限公司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无</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陕西延审工程项目管理有限公司</w:t>
      </w:r>
      <w:r>
        <w:rPr/>
        <w:t xml:space="preserve"> 负责答复；供应商对除采购需求外的采购文件的询问、质疑由</w:t>
      </w:r>
      <w:r>
        <w:rPr/>
        <w:t>陕西延审工程项目管理有限公司</w:t>
      </w:r>
      <w:r>
        <w:rPr/>
        <w:t xml:space="preserve"> 负责答复；供应商对采购过程、采购结果的询问、质疑由 </w:t>
      </w:r>
      <w:r>
        <w:rPr/>
        <w:t>陕西延审工程项目管理有限公司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飞利浦IQon光谱CT维保，提供设备的全面保修的服务，包括设备的定期维护和检修，快速故障响应，故障的诊断和维修，更换维修备件，服务报告和反馈，确保CT设备持续的可用性。</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1,960,000.00</w:t>
      </w:r>
    </w:p>
    <w:p>
      <w:pPr>
        <w:pStyle w:val="null3"/>
      </w:pPr>
      <w:r>
        <w:rPr/>
        <w:t>采购包最高限价（元）: 1,960,000.00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飞利浦IQon光谱CT维保服务项目</w:t>
            </w:r>
          </w:p>
        </w:tc>
        <w:tc>
          <w:tcPr>
            <w:tcW w:type="dxa" w:w="831"/>
          </w:tcPr>
          <w:p>
            <w:pPr>
              <w:pStyle w:val="null3"/>
              <w:jc w:val="right"/>
            </w:pPr>
            <w:r>
              <w:rPr/>
              <w:t>1.00</w:t>
            </w:r>
          </w:p>
        </w:tc>
        <w:tc>
          <w:tcPr>
            <w:tcW w:type="dxa" w:w="831"/>
          </w:tcPr>
          <w:p>
            <w:pPr>
              <w:pStyle w:val="null3"/>
              <w:jc w:val="right"/>
            </w:pPr>
            <w:r>
              <w:rPr/>
              <w:t>1,960,000.00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标的名称：飞利浦IQon光谱CT维保服务项目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飞利浦</w:t>
            </w:r>
            <w:r>
              <w:rPr>
                <w:rFonts w:ascii="宋体" w:hAnsi="宋体" w:cs="宋体" w:eastAsia="宋体"/>
                <w:sz w:val="24"/>
                <w:b/>
              </w:rPr>
              <w:t>I</w:t>
            </w:r>
            <w:r>
              <w:rPr>
                <w:rFonts w:ascii="宋体" w:hAnsi="宋体" w:cs="宋体" w:eastAsia="宋体"/>
                <w:sz w:val="24"/>
                <w:b/>
              </w:rPr>
              <w:t>Qon</w:t>
            </w:r>
            <w:r>
              <w:rPr>
                <w:rFonts w:ascii="宋体" w:hAnsi="宋体" w:cs="宋体" w:eastAsia="宋体"/>
                <w:sz w:val="24"/>
                <w:b/>
              </w:rPr>
              <w:t>光谱</w:t>
            </w:r>
            <w:r>
              <w:rPr>
                <w:rFonts w:ascii="宋体" w:hAnsi="宋体" w:cs="宋体" w:eastAsia="宋体"/>
                <w:sz w:val="24"/>
                <w:b/>
              </w:rPr>
              <w:t>C</w:t>
            </w:r>
            <w:r>
              <w:rPr>
                <w:rFonts w:ascii="宋体" w:hAnsi="宋体" w:cs="宋体" w:eastAsia="宋体"/>
                <w:sz w:val="24"/>
                <w:b/>
              </w:rPr>
              <w:t>T</w:t>
            </w:r>
            <w:r>
              <w:rPr>
                <w:rFonts w:ascii="宋体" w:hAnsi="宋体" w:cs="宋体" w:eastAsia="宋体"/>
                <w:sz w:val="24"/>
                <w:b/>
              </w:rPr>
              <w:t>全保参数如下：</w:t>
            </w:r>
          </w:p>
          <w:tbl>
            <w:tblPr>
              <w:tblBorders>
                <w:top w:val="none" w:color="000000" w:sz="4"/>
                <w:left w:val="none" w:color="000000" w:sz="4"/>
                <w:bottom w:val="none" w:color="000000" w:sz="4"/>
                <w:right w:val="none" w:color="000000" w:sz="4"/>
                <w:insideH w:val="none"/>
                <w:insideV w:val="none"/>
              </w:tblBorders>
            </w:tblPr>
            <w:tblGrid>
              <w:gridCol w:w="584"/>
              <w:gridCol w:w="3243"/>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条款目号</w:t>
                  </w:r>
                </w:p>
              </w:tc>
              <w:tc>
                <w:tcPr>
                  <w:tcW w:type="dxa" w:w="3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条款内容</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服务内容：飞利浦</w:t>
                  </w:r>
                  <w:r>
                    <w:rPr>
                      <w:rFonts w:ascii="宋体" w:hAnsi="宋体" w:cs="宋体" w:eastAsia="宋体"/>
                      <w:sz w:val="21"/>
                    </w:rPr>
                    <w:t>IQon光谱CT</w:t>
                  </w:r>
                  <w:r>
                    <w:rPr>
                      <w:rFonts w:ascii="宋体" w:hAnsi="宋体" w:cs="宋体" w:eastAsia="宋体"/>
                      <w:sz w:val="21"/>
                    </w:rPr>
                    <w:t>设备整机保修服务，包含工作站保修，不包含第三方产品。通过日常巡检、质控保养、配件更换（包含：探测器、高压、球管等）、技术支持服务等内容，保证设备状态符合国家质量监督部门以及卫生监督部门的标准。</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2</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原厂定期保养：提供设备的安全检查、影像质量检查、设备除尘保养、运行状态检查等，每年</w:t>
                  </w:r>
                  <w:r>
                    <w:rPr>
                      <w:rFonts w:ascii="宋体" w:hAnsi="宋体" w:cs="宋体" w:eastAsia="宋体"/>
                      <w:sz w:val="21"/>
                    </w:rPr>
                    <w:t>4</w:t>
                  </w:r>
                  <w:r>
                    <w:rPr>
                      <w:rFonts w:ascii="宋体" w:hAnsi="宋体" w:cs="宋体" w:eastAsia="宋体"/>
                      <w:sz w:val="21"/>
                    </w:rPr>
                    <w:t>次符合原厂质控保养清单的专业保养。</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3</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配件更换要求：</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4</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1）为保证设备正常使用，所更换配件必须为原厂配件，且保证配件来源合法合规，质量符合设备运行要求。</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5</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2）配件涉及医疗器械的，须提供相应的医疗器械注册证（进口产品需提供“进”字号注册证），涉及进口的，须提供相应的进口报关文件等。</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6</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3）更换配件的备品备件属于关境内库房的，不超过</w:t>
                  </w:r>
                  <w:r>
                    <w:rPr>
                      <w:rFonts w:ascii="宋体" w:hAnsi="宋体" w:cs="宋体" w:eastAsia="宋体"/>
                      <w:sz w:val="21"/>
                    </w:rPr>
                    <w:t>2个工作日到达维修现场；属于关境外库房的，不超过5个工作日到达维修现场。</w:t>
                  </w:r>
                  <w:r>
                    <w:rPr>
                      <w:rFonts w:ascii="宋体" w:hAnsi="宋体" w:cs="宋体" w:eastAsia="宋体"/>
                      <w:sz w:val="21"/>
                    </w:rPr>
                    <w:t>维修后所替换下的旧备件归厂家所有，厂家安排收回。</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7</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4）在本项目服务期内，供应商应优先保证本项目所涉及保修设备的备品备件更换。</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8</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技术支持服务要求：</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9</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1）全年</w:t>
                  </w:r>
                  <w:r>
                    <w:rPr>
                      <w:rFonts w:ascii="宋体" w:hAnsi="宋体" w:cs="宋体" w:eastAsia="宋体"/>
                      <w:sz w:val="21"/>
                    </w:rPr>
                    <w:t>365天×24小时电话技术服务支持，专业工程师通过电话或其他在线远程支持服务响应时间不超过2小时。</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r>
                    <w:rPr>
                      <w:rFonts w:ascii="宋体" w:hAnsi="宋体" w:cs="宋体" w:eastAsia="宋体"/>
                      <w:sz w:val="21"/>
                    </w:rPr>
                    <w:t>0</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2）提供远程全天</w:t>
                  </w:r>
                  <w:r>
                    <w:rPr>
                      <w:rFonts w:ascii="宋体" w:hAnsi="宋体" w:cs="宋体" w:eastAsia="宋体"/>
                      <w:sz w:val="21"/>
                    </w:rPr>
                    <w:t>24小时不间断监测设备运行状态服务，可提前预警</w:t>
                  </w:r>
                  <w:r>
                    <w:rPr>
                      <w:rFonts w:ascii="宋体" w:hAnsi="宋体" w:cs="宋体" w:eastAsia="宋体"/>
                      <w:sz w:val="21"/>
                    </w:rPr>
                    <w:t>。</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11</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现场</w:t>
                  </w:r>
                  <w:r>
                    <w:rPr>
                      <w:rFonts w:ascii="宋体" w:hAnsi="宋体" w:cs="宋体" w:eastAsia="宋体"/>
                      <w:sz w:val="21"/>
                    </w:rPr>
                    <w:t>响应：接到报修后</w:t>
                  </w:r>
                  <w:r>
                    <w:rPr>
                      <w:rFonts w:ascii="宋体" w:hAnsi="宋体" w:cs="宋体" w:eastAsia="宋体"/>
                      <w:sz w:val="21"/>
                    </w:rPr>
                    <w:t>24小时</w:t>
                  </w:r>
                  <w:r>
                    <w:rPr>
                      <w:rFonts w:ascii="宋体" w:hAnsi="宋体" w:cs="宋体" w:eastAsia="宋体"/>
                      <w:sz w:val="21"/>
                    </w:rPr>
                    <w:t>内派遣原厂认证合格的专业工程师到现场维修设备。</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r>
                    <w:rPr>
                      <w:rFonts w:ascii="宋体" w:hAnsi="宋体" w:cs="宋体" w:eastAsia="宋体"/>
                      <w:sz w:val="21"/>
                    </w:rPr>
                    <w:t>2</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）针对本项目应提供不少于</w:t>
                  </w:r>
                  <w:r>
                    <w:rPr>
                      <w:rFonts w:ascii="宋体" w:hAnsi="宋体" w:cs="宋体" w:eastAsia="宋体"/>
                      <w:sz w:val="21"/>
                    </w:rPr>
                    <w:t>2名的专业售后工程师，专业售后工程师须具备设备生产商相应的售后培训证书。</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r>
                    <w:rPr>
                      <w:rFonts w:ascii="宋体" w:hAnsi="宋体" w:cs="宋体" w:eastAsia="宋体"/>
                      <w:sz w:val="21"/>
                    </w:rPr>
                    <w:t>3</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开机率保证：服务期内设备开机率确保达到</w:t>
                  </w:r>
                  <w:r>
                    <w:rPr>
                      <w:rFonts w:ascii="宋体" w:hAnsi="宋体" w:cs="宋体" w:eastAsia="宋体"/>
                      <w:sz w:val="21"/>
                    </w:rPr>
                    <w:t>95％，按全年250个工作日计算。即全年正常开机达到238个工作日，停机时间不超过12个工作日，停机每超出1个工作日，维修服务合同期限自动延长2个工作日。</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r>
                    <w:rPr>
                      <w:rFonts w:ascii="宋体" w:hAnsi="宋体" w:cs="宋体" w:eastAsia="宋体"/>
                      <w:sz w:val="21"/>
                    </w:rPr>
                    <w:t>4</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可通过合法渠道获得、完整使用有效的原厂高级故障诊断维修钥匙，用于解决设备相应高级故障。</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1"/>
                    </w:rPr>
                    <w:t>1</w:t>
                  </w:r>
                  <w:r>
                    <w:rPr>
                      <w:rFonts w:ascii="宋体" w:hAnsi="宋体" w:cs="宋体" w:eastAsia="宋体"/>
                      <w:sz w:val="21"/>
                    </w:rPr>
                    <w:t>5</w:t>
                  </w:r>
                </w:p>
              </w:tc>
              <w:tc>
                <w:tcPr>
                  <w:tcW w:type="dxa" w:w="3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宋体" w:hAnsi="宋体" w:cs="宋体" w:eastAsia="宋体"/>
                      <w:sz w:val="21"/>
                    </w:rPr>
                    <w:t>服务期内向采购人提供纸质全年原厂维修、保养工作记录单。</w:t>
                  </w:r>
                </w:p>
              </w:tc>
            </w:tr>
          </w:tbl>
          <w:p/>
        </w:tc>
      </w:tr>
    </w:tbl>
    <w:p>
      <w:pPr>
        <w:pStyle w:val="null3"/>
        <w:outlineLvl w:val="3"/>
      </w:pPr>
      <w:r>
        <w:rPr>
          <w:sz w:val="24"/>
          <w:b/>
        </w:rPr>
        <w:t>3.2.3人员配置要求</w:t>
      </w:r>
    </w:p>
    <w:p>
      <w:pPr>
        <w:pStyle w:val="null3"/>
      </w:pPr>
      <w:r>
        <w:rPr/>
        <w:t>采购包1：</w:t>
      </w:r>
    </w:p>
    <w:p>
      <w:pPr>
        <w:pStyle w:val="null3"/>
      </w:pPr>
      <w:r>
        <w:rPr/>
        <w:t>针对本项目应提供不少于2名的专业售后工程师，专业售后工程师须具备设备生产商相应的售后培训证书。</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陕西省延安市宝塔区北大街43号延安大学附属医院</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甲方收到乙方全额发票后，一次性支付当期维保款项</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对日常的服务质量进行监督考核。</w:t>
      </w:r>
    </w:p>
    <w:p>
      <w:pPr>
        <w:pStyle w:val="null3"/>
        <w:outlineLvl w:val="3"/>
      </w:pPr>
      <w:r>
        <w:rPr>
          <w:sz w:val="24"/>
          <w:b/>
        </w:rPr>
        <w:t>3.3.6违约责任及解决争议的方法</w:t>
      </w:r>
    </w:p>
    <w:p>
      <w:pPr>
        <w:pStyle w:val="null3"/>
      </w:pPr>
      <w:r>
        <w:rPr/>
        <w:t>采购包1：</w:t>
      </w:r>
    </w:p>
    <w:p>
      <w:pPr>
        <w:pStyle w:val="null3"/>
      </w:pPr>
      <w:r>
        <w:rPr/>
        <w:t>凡因本合同的签订、履行、解除、终止引起的或与本合同有关的任何争议，双方应通过友好协商解决，协商不成时，向延安市宝塔区人民法院提起诉讼解决。诉讼期间，双方应继续执行合同其余部分。</w:t>
      </w:r>
    </w:p>
    <w:p>
      <w:pPr>
        <w:pStyle w:val="null3"/>
        <w:outlineLvl w:val="2"/>
      </w:pPr>
      <w:r>
        <w:rPr>
          <w:sz w:val="28"/>
          <w:b/>
        </w:rPr>
        <w:t>3.4其他要求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提供2023年度经审计完整的财务审计报告（成立时间至提交响应文件截止时间不足一年的可提供成立后任意时段的资产负债表）或截止协商时间前三个月内由基本账户开户银行出具的资信证明；</w:t>
            </w:r>
          </w:p>
        </w:tc>
        <w:tc>
          <w:tcPr>
            <w:tcW w:type="dxa" w:w="1661"/>
          </w:tcPr>
          <w:p>
            <w:pPr>
              <w:pStyle w:val="null3"/>
            </w:pPr>
            <w:r>
              <w:rPr/>
              <w:t>资格证明文件 响应函</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具有独立承担民事责任能力的法人、其他组织或自然人，提供合法有效的统一社会信用代码营业执照附年检报告（事业单位提供事业单位法人证书，自然人应提供身份证）；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银行开户许可证</w:t>
            </w:r>
          </w:p>
        </w:tc>
        <w:tc>
          <w:tcPr>
            <w:tcW w:type="dxa" w:w="3322"/>
          </w:tcPr>
          <w:p>
            <w:pPr>
              <w:pStyle w:val="null3"/>
            </w:pPr>
            <w:r>
              <w:rPr/>
              <w:t>银行开户许可证或开户行基本信息；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法定代表人授权书</w:t>
            </w:r>
          </w:p>
        </w:tc>
        <w:tc>
          <w:tcPr>
            <w:tcW w:type="dxa" w:w="3322"/>
          </w:tcPr>
          <w:p>
            <w:pPr>
              <w:pStyle w:val="null3"/>
            </w:pPr>
            <w:r>
              <w:rPr/>
              <w:t>法定代表人授权书（附法定代表人身份证复印件）及被授权人身份证（法定代表人直接参加须提供法定代表人身份证明及法定代表人身份证复印件）；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提供2023年度经审计完整的财务审计报告（成立时间至提交响应文件截止时间不足一年的可提供成立后任意时段的资产负债表）或截止协商时间前三个月内由基本账户开户银行出具的资信证明；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提供截止协商时间近一年内任意一个月缴费凭据（依法免税的供应商应提供相关文件证明）；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提供截止协商时间近一年内任意一个月的社保缴费凭据或社保机构开具的社会保险参保缴费情况证明（依法不需要缴纳社会保障资金的供应商应提供相关证明）；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信誉要求</w:t>
            </w:r>
          </w:p>
        </w:tc>
        <w:tc>
          <w:tcPr>
            <w:tcW w:type="dxa" w:w="3322"/>
          </w:tcPr>
          <w:p>
            <w:pPr>
              <w:pStyle w:val="null3"/>
            </w:pPr>
            <w:r>
              <w:rPr/>
              <w:t>供应商未被列入“信用中国”网站中严重主体失信名单和经营异常名单、“中国执行信息公开网”网站失信被执行人、中国政府采购网政府采购严重违法失信行为记录名单中被财政部门禁止参加政府采购活动的供应商（提供查询结果网页截图并加盖供应商公章）；参加政府采购活动近三年内，在经营活动中没有重大违法记录声明函；</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本项目专门面向中小企业采购</w:t>
            </w:r>
          </w:p>
        </w:tc>
        <w:tc>
          <w:tcPr>
            <w:tcW w:type="dxa" w:w="3322"/>
          </w:tcPr>
          <w:p>
            <w:pPr>
              <w:pStyle w:val="null3"/>
            </w:pPr>
            <w:r>
              <w:rPr/>
              <w:t>本项目专门面向中小企业采购，供应商须为中型、小型、微型企业，并提供《中小企业声明函》（采购标的对应所属行业为其他未列明行业，声明函格式按照《政府采购促进中小企业发展管理办法》（财库〔2020〕46号）要求提供）。</w:t>
            </w:r>
          </w:p>
        </w:tc>
        <w:tc>
          <w:tcPr>
            <w:tcW w:type="dxa" w:w="1661"/>
          </w:tcPr>
          <w:p>
            <w:pPr>
              <w:pStyle w:val="null3"/>
            </w:pPr>
            <w:r>
              <w:rPr/>
              <w:t>中小企业声明函 残疾人福利性单位声明函 监狱企业的证明文件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供应商应具备《中华人民共和国政府采购法》第二十二条规定的条件</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供应商按照单一来源采购文件要求上传响应文件并进行电子签章</w:t>
            </w:r>
          </w:p>
        </w:tc>
        <w:tc>
          <w:tcPr>
            <w:tcW w:type="dxa" w:w="1661"/>
          </w:tcPr>
          <w:p>
            <w:pPr>
              <w:pStyle w:val="null3"/>
            </w:pPr>
            <w:r>
              <w:rPr/>
              <w:t>响应文件封面 资格证明文件 服务内容及商务应答表 中小企业声明函 残疾人福利性单位声明函 服务方案 供应商认为有必要说明的其他问题 标的清单 报价表 响应函 监狱企业的证明文件 协商保证金</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供应商按照单一来源采购文件要求上传响应文件并进行电子签章</w:t>
            </w:r>
          </w:p>
        </w:tc>
        <w:tc>
          <w:tcPr>
            <w:tcW w:type="dxa" w:w="1661"/>
          </w:tcPr>
          <w:p>
            <w:pPr>
              <w:pStyle w:val="null3"/>
            </w:pPr>
            <w:r>
              <w:rPr/>
              <w:t>响应文件封面 资格证明文件 服务内容及商务应答表 中小企业声明函 残疾人福利性单位声明函 服务方案 供应商认为有必要说明的其他问题 标的清单 报价表 响应函 监狱企业的证明文件 协商保证金</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符合单一来源采购文件要求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响应文件的语言及计量单位</w:t>
            </w:r>
          </w:p>
        </w:tc>
        <w:tc>
          <w:tcPr>
            <w:tcW w:type="dxa" w:w="3322"/>
          </w:tcPr>
          <w:p>
            <w:pPr>
              <w:pStyle w:val="null3"/>
            </w:pPr>
            <w:r>
              <w:rPr/>
              <w:t>符合单一来源采购文件要求</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协商保证金</w:t>
            </w:r>
          </w:p>
        </w:tc>
        <w:tc>
          <w:tcPr>
            <w:tcW w:type="dxa" w:w="3322"/>
          </w:tcPr>
          <w:p>
            <w:pPr>
              <w:pStyle w:val="null3"/>
            </w:pPr>
            <w:r>
              <w:rPr/>
              <w:t>符合单一来源采购文件要求</w:t>
            </w:r>
          </w:p>
        </w:tc>
        <w:tc>
          <w:tcPr>
            <w:tcW w:type="dxa" w:w="1661"/>
          </w:tcPr>
          <w:p>
            <w:pPr>
              <w:pStyle w:val="null3"/>
            </w:pPr>
            <w:r>
              <w:rPr/>
              <w:t>协商保证金</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详见附件：服务内容及商务应答表</w:t>
      </w:r>
    </w:p>
    <w:p>
      <w:pPr>
        <w:pStyle w:val="null3"/>
        <w:ind w:firstLine="960"/>
      </w:pPr>
      <w:r>
        <w:rPr/>
        <w:t>详见附件：资格证明文件</w:t>
      </w:r>
    </w:p>
    <w:p>
      <w:pPr>
        <w:pStyle w:val="null3"/>
        <w:ind w:firstLine="960"/>
      </w:pPr>
      <w:r>
        <w:rPr/>
        <w:t>详见附件：服务方案</w:t>
      </w:r>
    </w:p>
    <w:p>
      <w:pPr>
        <w:pStyle w:val="null3"/>
        <w:ind w:firstLine="960"/>
      </w:pPr>
      <w:r>
        <w:rPr/>
        <w:t>详见附件：协商保证金</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详见附件：合同通用.docx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