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长安校区14、15号学生公寓绿化工程项目</w:t>
      </w:r>
    </w:p>
    <w:p>
      <w:pPr>
        <w:pStyle w:val="null3"/>
        <w:jc w:val="center"/>
        <w:outlineLvl w:val="2"/>
      </w:pPr>
      <w:r>
        <w:rPr>
          <w:sz w:val="28"/>
          <w:b/>
        </w:rPr>
        <w:t>采购项目编号：</w:t>
      </w:r>
      <w:r>
        <w:rPr>
          <w:sz w:val="28"/>
          <w:b/>
        </w:rPr>
        <w:t>2024-HZZB-040</w:t>
      </w:r>
      <w:r>
        <w:br/>
      </w:r>
      <w:r>
        <w:br/>
      </w:r>
      <w:r>
        <w:br/>
      </w:r>
    </w:p>
    <w:p>
      <w:pPr>
        <w:pStyle w:val="null3"/>
        <w:jc w:val="center"/>
        <w:outlineLvl w:val="2"/>
      </w:pPr>
      <w:r>
        <w:rPr>
          <w:sz w:val="28"/>
          <w:b/>
        </w:rPr>
        <w:t>西安财经大学</w:t>
      </w:r>
    </w:p>
    <w:p>
      <w:pPr>
        <w:pStyle w:val="null3"/>
        <w:jc w:val="center"/>
        <w:outlineLvl w:val="2"/>
      </w:pPr>
      <w:r>
        <w:rPr>
          <w:sz w:val="28"/>
          <w:b/>
        </w:rPr>
        <w:t>衡正国际工程咨询有限公司</w:t>
      </w:r>
      <w:r>
        <w:rPr>
          <w:sz w:val="28"/>
          <w:b/>
        </w:rPr>
        <w:t>共同编制</w:t>
      </w:r>
    </w:p>
    <w:p>
      <w:pPr>
        <w:pStyle w:val="null3"/>
        <w:jc w:val="center"/>
        <w:outlineLvl w:val="2"/>
      </w:pPr>
      <w:r>
        <w:rPr>
          <w:sz w:val="28"/>
          <w:b/>
        </w:rPr>
        <w:t>2024年08月22日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衡正国际工程咨询有限公司</w:t>
      </w:r>
      <w:r>
        <w:rPr/>
        <w:t>（以下简称“代理机构”）受</w:t>
      </w:r>
      <w:r>
        <w:rPr/>
        <w:t>西安财经大学</w:t>
      </w:r>
      <w:r>
        <w:rPr/>
        <w:t>委托，拟对</w:t>
      </w:r>
      <w:r>
        <w:rPr/>
        <w:t>长安校区14、15号学生公寓绿化工程项目</w:t>
      </w:r>
      <w:r>
        <w:rPr/>
        <w:t>采用竞争性磋商采购方式进行采购，兹邀请供应商参加本项目的竞争性磋商。</w:t>
      </w:r>
    </w:p>
    <w:p>
      <w:pPr>
        <w:pStyle w:val="null3"/>
        <w:outlineLvl w:val="2"/>
      </w:pPr>
      <w:r>
        <w:rPr>
          <w:sz w:val="28"/>
          <w:b/>
        </w:rPr>
        <w:t>一、采购项目编号：</w:t>
      </w:r>
      <w:r>
        <w:rPr>
          <w:sz w:val="28"/>
          <w:b/>
        </w:rPr>
        <w:t>2024-HZZB-040</w:t>
      </w:r>
    </w:p>
    <w:p>
      <w:pPr>
        <w:pStyle w:val="null3"/>
        <w:outlineLvl w:val="2"/>
      </w:pPr>
      <w:r>
        <w:rPr>
          <w:sz w:val="28"/>
          <w:b/>
        </w:rPr>
        <w:t>二、采购项目名称：</w:t>
      </w:r>
      <w:r>
        <w:rPr>
          <w:sz w:val="28"/>
          <w:b/>
        </w:rPr>
        <w:t>长安校区14、15号学生公寓绿化工程项目</w:t>
      </w:r>
    </w:p>
    <w:p>
      <w:pPr>
        <w:pStyle w:val="null3"/>
        <w:outlineLvl w:val="2"/>
      </w:pPr>
      <w:r>
        <w:rPr>
          <w:sz w:val="28"/>
          <w:b/>
        </w:rPr>
        <w:t>三、磋商项目简介</w:t>
      </w:r>
    </w:p>
    <w:p>
      <w:pPr>
        <w:pStyle w:val="null3"/>
        <w:ind w:firstLine="480"/>
      </w:pPr>
      <w:r>
        <w:rPr/>
        <w:t>西安财经大学长安校区14、15号学生公寓绿化工程项目，包括绿化和土建两部分。绿化工程主要包括整理绿化用地、苗木种植等工作内容。土建工程主要包括新建西侧围墙等工作内容。详见磋商文件第三章及本项目工程量清单。</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1、供应商授权：法定代表人授权委托书（附法定代表人、被授权人身份证复印件）（法定代表人直接参加投标，须提供法定代表人身份证明及身份证复印件）。</w:t>
      </w:r>
    </w:p>
    <w:p>
      <w:pPr>
        <w:pStyle w:val="null3"/>
      </w:pPr>
      <w:r>
        <w:rPr/>
        <w:t>2、信用记录：供应商不得为“信用中国” 网站（www.creditchi na.gov.cn）中列入失信被执行人和重大税收违法失信主体，不得为中国政府采购网（www.cc gp.gov.cn）政府采购严重违法失信行为记录名单中被财政部门禁止参加政府采购活动的供应商。</w:t>
      </w:r>
    </w:p>
    <w:p>
      <w:pPr>
        <w:pStyle w:val="null3"/>
      </w:pPr>
      <w:r>
        <w:rPr/>
        <w:t>3、企业资质：供应商具有建设主管部门颁发的建筑工程施工总承包三级（含三级）以上资质，同时具备有效期内的安全生产许可证。</w:t>
      </w:r>
    </w:p>
    <w:p>
      <w:pPr>
        <w:pStyle w:val="null3"/>
      </w:pPr>
      <w:r>
        <w:rPr/>
        <w:t>4、项目经理：项目经理须具备建筑工程专业二级及以上注册建造师证书和有效的安全生产考核合格证，在本单位注册且未担任其他在建工程项目的项目经理。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西安财经大学</w:t>
      </w:r>
    </w:p>
    <w:p>
      <w:pPr>
        <w:pStyle w:val="null3"/>
      </w:pPr>
      <w:r>
        <w:rPr/>
        <w:t xml:space="preserve"> 地址： </w:t>
      </w:r>
      <w:r>
        <w:rPr/>
        <w:t>陕西省西安市长安区常宁大街360号</w:t>
      </w:r>
    </w:p>
    <w:p>
      <w:pPr>
        <w:pStyle w:val="null3"/>
      </w:pPr>
      <w:r>
        <w:rPr/>
        <w:t xml:space="preserve"> 邮编： </w:t>
      </w:r>
      <w:r>
        <w:rPr/>
        <w:t>710100</w:t>
      </w:r>
    </w:p>
    <w:p>
      <w:pPr>
        <w:pStyle w:val="null3"/>
      </w:pPr>
      <w:r>
        <w:rPr/>
        <w:t xml:space="preserve"> 联系人： </w:t>
      </w:r>
      <w:r>
        <w:rPr/>
        <w:t>吕鲲鲲</w:t>
      </w:r>
    </w:p>
    <w:p>
      <w:pPr>
        <w:pStyle w:val="null3"/>
      </w:pPr>
      <w:r>
        <w:rPr/>
        <w:t xml:space="preserve"> 联系电话： </w:t>
      </w:r>
      <w:r>
        <w:rPr/>
        <w:t>029-84199187</w:t>
      </w:r>
    </w:p>
    <w:p>
      <w:pPr>
        <w:pStyle w:val="null3"/>
        <w:outlineLvl w:val="3"/>
      </w:pPr>
      <w:r>
        <w:rPr>
          <w:sz w:val="24"/>
          <w:b/>
        </w:rPr>
        <w:t>代理机构：</w:t>
      </w:r>
      <w:r>
        <w:rPr>
          <w:sz w:val="24"/>
          <w:b/>
        </w:rPr>
        <w:t>衡正国际工程咨询有限公司</w:t>
      </w:r>
    </w:p>
    <w:p>
      <w:pPr>
        <w:pStyle w:val="null3"/>
      </w:pPr>
      <w:r>
        <w:rPr/>
        <w:t xml:space="preserve"> 地址： </w:t>
      </w:r>
      <w:r>
        <w:rPr/>
        <w:t>西安市雁塔区科技西路绿地博海大厦16层1603室</w:t>
      </w:r>
    </w:p>
    <w:p>
      <w:pPr>
        <w:pStyle w:val="null3"/>
      </w:pPr>
      <w:r>
        <w:rPr/>
        <w:t xml:space="preserve"> 邮编： </w:t>
      </w:r>
      <w:r>
        <w:rPr/>
        <w:t>710077</w:t>
      </w:r>
    </w:p>
    <w:p>
      <w:pPr>
        <w:pStyle w:val="null3"/>
      </w:pPr>
      <w:r>
        <w:rPr/>
        <w:t xml:space="preserve"> 联系人： </w:t>
      </w:r>
      <w:r>
        <w:rPr/>
        <w:t>陈梅</w:t>
      </w:r>
    </w:p>
    <w:p>
      <w:pPr>
        <w:pStyle w:val="null3"/>
      </w:pPr>
      <w:r>
        <w:rPr/>
        <w:t xml:space="preserve"> 联系电话： </w:t>
      </w:r>
      <w:r>
        <w:rPr/>
        <w:t>13679165459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代理服务费收费标准：按照国家计委计价格［2002］1980号、发改办价格［2003］857号、发改价格[2011]534号文件规定的标准（以中标金额为计算基数）下浮48%计取。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西安财经大学</w:t>
      </w:r>
      <w:r>
        <w:rPr/>
        <w:t>和</w:t>
      </w:r>
      <w:r>
        <w:rPr/>
        <w:t>衡正国际工程咨询有限公司</w:t>
      </w:r>
      <w:r>
        <w:rPr/>
        <w:t>享有。对磋商文件中供应商参加本次政府采购活动应当具备的条件，磋商项目技术、服务、商务及其他要求，评审细则及标准由</w:t>
      </w:r>
      <w:r>
        <w:rPr/>
        <w:t>西安财经大学</w:t>
      </w:r>
      <w:r>
        <w:rPr/>
        <w:t>负责解释。除上述磋商文件内容，其他内容由</w:t>
      </w:r>
      <w:r>
        <w:rPr/>
        <w:t>衡正国际工程咨询有限公司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西安财经大学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衡正国际工程咨询有限公司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详见采购文件及合同条款</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衡正国际工程咨询有限公司</w:t>
      </w:r>
      <w:r>
        <w:rPr/>
        <w:t xml:space="preserve"> 负责答复；供应商对采购过程的询问、质疑由</w:t>
      </w:r>
      <w:r>
        <w:rPr/>
        <w:t>衡正国际工程咨询有限公司</w:t>
      </w:r>
      <w:r>
        <w:rPr/>
        <w:t xml:space="preserve"> 负责答复；供应商对采购结果的询问、质疑由 </w:t>
      </w:r>
      <w:r>
        <w:rPr/>
        <w:t>衡正国际工程咨询有限公司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联系人：陈梅</w:t>
      </w:r>
    </w:p>
    <w:p>
      <w:pPr>
        <w:pStyle w:val="null3"/>
      </w:pPr>
      <w:r>
        <w:rPr/>
        <w:t>联系电话：13679165459</w:t>
      </w:r>
    </w:p>
    <w:p>
      <w:pPr>
        <w:pStyle w:val="null3"/>
      </w:pPr>
      <w:r>
        <w:rPr/>
        <w:t>地址：西安市雁塔区科技西路绿地博海大厦16层1603室</w:t>
      </w:r>
    </w:p>
    <w:p>
      <w:pPr>
        <w:pStyle w:val="null3"/>
      </w:pPr>
      <w:r>
        <w:rPr/>
        <w:t>邮编：710077</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1,000,000.00</w:t>
      </w:r>
    </w:p>
    <w:p>
      <w:pPr>
        <w:pStyle w:val="null3"/>
      </w:pPr>
      <w:r>
        <w:rPr/>
        <w:t>采购包最高限价（元）: 866,793.19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长安校区14、15号学生公寓绿化工程</w:t>
            </w:r>
          </w:p>
        </w:tc>
        <w:tc>
          <w:tcPr>
            <w:tcW w:type="dxa" w:w="1384"/>
          </w:tcPr>
          <w:p>
            <w:pPr>
              <w:pStyle w:val="null3"/>
              <w:jc w:val="right"/>
            </w:pPr>
            <w:r>
              <w:rPr/>
              <w:t>1.00</w:t>
            </w:r>
          </w:p>
        </w:tc>
        <w:tc>
          <w:tcPr>
            <w:tcW w:type="dxa" w:w="1384"/>
          </w:tcPr>
          <w:p>
            <w:pPr>
              <w:pStyle w:val="null3"/>
              <w:jc w:val="right"/>
            </w:pPr>
            <w:r>
              <w:rPr/>
              <w:t>1,000,000.00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标的名称：长安校区14、15号学生公寓绿化工程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详见附件</w:t>
            </w:r>
            <w:r>
              <w:rPr>
                <w:rFonts w:ascii="calibri" w:hAnsi="calibri" w:cs="calibri" w:eastAsia="calibri"/>
                <w:sz w:val="21"/>
              </w:rPr>
              <w:t>“</w:t>
            </w:r>
            <w:r>
              <w:rPr>
                <w:rFonts w:ascii="宋体" w:hAnsi="宋体" w:cs="宋体" w:eastAsia="宋体"/>
                <w:sz w:val="21"/>
              </w:rPr>
              <w:t>工程量清单</w:t>
            </w:r>
            <w:r>
              <w:rPr>
                <w:rFonts w:ascii="calibri" w:hAnsi="calibri" w:cs="calibri" w:eastAsia="calibri"/>
                <w:sz w:val="21"/>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达到国家现行施工验收规范“合格”标准。</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1、工期：60个日历天。养护期：1年 2、履约地点：西安市长安区常宁大街360号。 3、支付方式：按照合同约定。 4、支付约定： 第一阶段：承包人应于每月5日前将上月完成工程量报发包人审核，发包人于本月20日前审核完毕并按审定工程量的80%作为工程进度款，签发支付凭证，由发包人向承包人付款。工程进度款累计付到已完审定工程造价的80%时发包人停止付款； 第二阶段：在本工程完工交付使用且工程竣工验收合格、工程竣工资料完整移交、工程结算审核完成并通过城管部门绿化验收合格，付至结算价款的100%。 发包人在给承包人支付进度款过程中，如果承包人提供的资料与施工进度不相符，发包人有权暂缓工程款的支付。 5、保修期：保修期为1年，保修期自竣工验收合格之日算起。</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（1）有效的主体资格证明：提供合格有效的法人或者其他组织的营业执照等证明文件或自然人的身份证明； （2）财务状况报告：提供2023年度的财务审计报告或开标前六个月内其基本存款账户开户银行出具的资信证明（附开户许可证或开户备案证明或基本账户信息）； （3）税收缴纳证明：提供2024年01月01日至今已缴存的至少一个月的纳税证明或完税证明，依法免税的单位应提供相关证明材料； （4）社会保障资金缴纳证明：提供2024年01月01日至今已缴存的至少一个月的社会保障资金缴存单据或社保机构开具的社会保险参保缴费情况证明，依法不需要缴纳社会保障资金的单位应提供相关证明材料； （5）无重大违法记录声明：参加政府采购活动近3年内，在经营活动中没有重大违法记录的书面声明； （6）专业技术能力证明：具备履行合同所必需的设备和专业技术能力的证明材料(由投标人根据项目需求提供说明材料或者承诺)； （7）本项目不接受联合体磋商，提供书面承诺。 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供应商须提供2023年度经审计的财务报告或开标前六个月内其基本账户银行出具的资信证明或财政部门认可的政府采购专业担保机构出具的担保函； 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供应商授权</w:t>
            </w:r>
          </w:p>
        </w:tc>
        <w:tc>
          <w:tcPr>
            <w:tcW w:type="dxa" w:w="3322"/>
          </w:tcPr>
          <w:p>
            <w:pPr>
              <w:pStyle w:val="null3"/>
            </w:pPr>
            <w:r>
              <w:rPr/>
              <w:t>法定代表人授权委托书（附法定代表人、被授权人身份证复印件）（法定代表人直接参加投标，须提供法定代表人身份证明及身份证复印件）。</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供应商不得为“信用中国” 网站（www.creditchi na.gov.cn）中列入失信被执行人和重大税收违法失信主体，不得为中国政府采购网（www.cc gp.gov.cn）政府采购严重违法失信行为记录名单中被财政部门禁止参加政府采购活动的供应商。</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企业资质</w:t>
            </w:r>
          </w:p>
        </w:tc>
        <w:tc>
          <w:tcPr>
            <w:tcW w:type="dxa" w:w="3322"/>
          </w:tcPr>
          <w:p>
            <w:pPr>
              <w:pStyle w:val="null3"/>
            </w:pPr>
            <w:r>
              <w:rPr/>
              <w:t>供应商具有建设主管部门颁发的建筑工程施工总承包三级（含三级）以上资质，同时具备有效期内的安全生产许可证。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项目经理须具备建筑工程专业二级及以上注册建造师证书和有效的安全生产考核合格证，在本单位注册且未担任其他在建工程项目的项目经理。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限价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磋商响应文件上法定代表人或其授权代表人的签字齐全并加盖公章 ；</w:t>
            </w:r>
          </w:p>
        </w:tc>
        <w:tc>
          <w:tcPr>
            <w:tcW w:type="dxa" w:w="1661"/>
          </w:tcPr>
          <w:p>
            <w:pPr>
              <w:pStyle w:val="null3"/>
            </w:pPr>
            <w:r>
              <w:rPr/>
              <w:t>已标价工程量清单 施工组织设计 中小企业声明函 技术服务合同条款及其他商务要求应答表 响应文件封面 资格证明文件 项目管理机构组成表 残疾人福利性单位声明函 报价函 标的清单 供应商类似项目业绩一览表 响应函 主要人员简历表 监狱企业的证明文件 其他相关资料</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应符合“磋商响应文件格式”要求；</w:t>
            </w:r>
          </w:p>
        </w:tc>
        <w:tc>
          <w:tcPr>
            <w:tcW w:type="dxa" w:w="1661"/>
          </w:tcPr>
          <w:p>
            <w:pPr>
              <w:pStyle w:val="null3"/>
            </w:pPr>
            <w:r>
              <w:rPr/>
              <w:t>已标价工程量清单 施工组织设计 中小企业声明函 技术服务合同条款及其他商务要求应答表 响应文件封面 资格证明文件 项目管理机构组成表 残疾人福利性单位声明函 报价函 标的清单 供应商类似项目业绩一览表 响应函 主要人员简历表 监狱企业的证明文件 其他相关资料</w:t>
            </w:r>
          </w:p>
        </w:tc>
      </w:tr>
      <w:tr>
        <w:tc>
          <w:tcPr>
            <w:tcW w:type="dxa" w:w="831"/>
          </w:tcPr>
          <w:p>
            <w:pPr>
              <w:pStyle w:val="null3"/>
            </w:pPr>
            <w:r>
              <w:rPr/>
              <w:t>4</w:t>
            </w:r>
          </w:p>
        </w:tc>
        <w:tc>
          <w:tcPr>
            <w:tcW w:type="dxa" w:w="2492"/>
          </w:tcPr>
          <w:p>
            <w:pPr>
              <w:pStyle w:val="null3"/>
            </w:pPr>
            <w:r>
              <w:rPr/>
              <w:t>报价唯一</w:t>
            </w:r>
          </w:p>
        </w:tc>
        <w:tc>
          <w:tcPr>
            <w:tcW w:type="dxa" w:w="3322"/>
          </w:tcPr>
          <w:p>
            <w:pPr>
              <w:pStyle w:val="null3"/>
            </w:pPr>
            <w:r>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t>已标价工程量清单 报价函 标的清单</w:t>
            </w:r>
          </w:p>
        </w:tc>
      </w:tr>
      <w:tr>
        <w:tc>
          <w:tcPr>
            <w:tcW w:type="dxa" w:w="831"/>
          </w:tcPr>
          <w:p>
            <w:pPr>
              <w:pStyle w:val="null3"/>
            </w:pPr>
            <w:r>
              <w:rPr/>
              <w:t>5</w:t>
            </w:r>
          </w:p>
        </w:tc>
        <w:tc>
          <w:tcPr>
            <w:tcW w:type="dxa" w:w="2492"/>
          </w:tcPr>
          <w:p>
            <w:pPr>
              <w:pStyle w:val="null3"/>
            </w:pPr>
            <w:r>
              <w:rPr/>
              <w:t>实质性条款响应</w:t>
            </w:r>
          </w:p>
        </w:tc>
        <w:tc>
          <w:tcPr>
            <w:tcW w:type="dxa" w:w="3322"/>
          </w:tcPr>
          <w:p>
            <w:pPr>
              <w:pStyle w:val="null3"/>
            </w:pPr>
            <w:r>
              <w:rPr/>
              <w:t>完全响应竞争性磋商文件要求的各项技术（服务）、商务实质性条款，不能有采购人不能接受的附加条件；</w:t>
            </w:r>
          </w:p>
        </w:tc>
        <w:tc>
          <w:tcPr>
            <w:tcW w:type="dxa" w:w="1661"/>
          </w:tcPr>
          <w:p>
            <w:pPr>
              <w:pStyle w:val="null3"/>
            </w:pPr>
            <w:r>
              <w:rPr/>
              <w:t>响应文件封面 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施工及绿化养护方案</w:t>
            </w:r>
          </w:p>
        </w:tc>
        <w:tc>
          <w:tcPr>
            <w:tcW w:type="dxa" w:w="2492"/>
          </w:tcPr>
          <w:p>
            <w:pPr>
              <w:pStyle w:val="null3"/>
            </w:pPr>
            <w:r>
              <w:rPr/>
              <w:t>提供针对本项目的具体实施方案、绿化养护方案、工作计划，充分理解项目需求。方案措施合理、完善、可行，具有可操作性得[7-10]分；方案措施较合理、完善、可行，得[4-7）分；方案措施有欠缺，方案简单，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确保工程质量的技术组织措施</w:t>
            </w:r>
          </w:p>
        </w:tc>
        <w:tc>
          <w:tcPr>
            <w:tcW w:type="dxa" w:w="2492"/>
          </w:tcPr>
          <w:p>
            <w:pPr>
              <w:pStyle w:val="null3"/>
            </w:pPr>
            <w:r>
              <w:rPr/>
              <w:t>提供针对本项目措施方案，包括但不限于对施工进行全过程的质量检查，对施工材料、施工方法及实体质量的措施内容，措施内容合理可行完全符合项目采购需求的得(5-10]分，措施内容合理可行基本满足项目采购需求的得(0-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确保工期的技术组织措施</w:t>
            </w:r>
          </w:p>
        </w:tc>
        <w:tc>
          <w:tcPr>
            <w:tcW w:type="dxa" w:w="2492"/>
          </w:tcPr>
          <w:p>
            <w:pPr>
              <w:pStyle w:val="null3"/>
            </w:pPr>
            <w:r>
              <w:rPr/>
              <w:t>提供针对本项目制定的措施方案（需提供施工计划网络图或横道图），包括但不限于施工准备保证、划分各节点工期,分析确定重点工程工期等内容，措施内容有效可行并完全符合项目采购需求的得(4-8]分,措施内容有效可行基本符合项目采购需求的得(0-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苗木成活率保证措施</w:t>
            </w:r>
          </w:p>
        </w:tc>
        <w:tc>
          <w:tcPr>
            <w:tcW w:type="dxa" w:w="2492"/>
          </w:tcPr>
          <w:p>
            <w:pPr>
              <w:pStyle w:val="null3"/>
            </w:pPr>
            <w:r>
              <w:rPr/>
              <w:t>根据投标人提供的栽培技术（包括但不限于保证成活率为100%的技术、工艺以及防病虫害、风冻害等措施）的详实性、可行性，并提供保证成活率（100%）的承诺书。成活保障方案合理、完善、可行，具有可操作性得［7-10]分；成活保障方案较合理、完善、可行，得［4-7)分； 成活保障方案有欠缺，方案简单，得［0-4)分。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安全、文明施工措施及环境保护措施</w:t>
            </w:r>
          </w:p>
        </w:tc>
        <w:tc>
          <w:tcPr>
            <w:tcW w:type="dxa" w:w="2492"/>
          </w:tcPr>
          <w:p>
            <w:pPr>
              <w:pStyle w:val="null3"/>
            </w:pPr>
            <w:r>
              <w:rPr/>
              <w:t>提供针对本项目制定的措施方案，包括但不限于安全施工保证措施、文明施工措施及环境保护措施等内容，措施内容有效可行并完全符合项目采购需求的得(3-5]分,措施内容有效可行基本符合项目采购需求的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项目管理机构</w:t>
            </w:r>
          </w:p>
        </w:tc>
        <w:tc>
          <w:tcPr>
            <w:tcW w:type="dxa" w:w="2492"/>
          </w:tcPr>
          <w:p>
            <w:pPr>
              <w:pStyle w:val="null3"/>
            </w:pPr>
            <w:r>
              <w:rPr/>
              <w:t>项目管理机构业务能力强、管理水平高和具有丰富施工经验，劳动力安排配备合理、分工明确并完全符合项目采购需求的得(4-8]分,基本符合项目采购需求的得(0-4]分。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p>
            <w:pPr>
              <w:pStyle w:val="null3"/>
            </w:pPr>
            <w:r>
              <w:rPr/>
              <w:t>施工组织设计</w:t>
            </w:r>
          </w:p>
        </w:tc>
      </w:tr>
      <w:tr>
        <w:tc>
          <w:tcPr>
            <w:tcW w:type="dxa" w:w="831"/>
            <w:vMerge/>
          </w:tcPr>
          <w:p/>
        </w:tc>
        <w:tc>
          <w:tcPr>
            <w:tcW w:type="dxa" w:w="1661"/>
          </w:tcPr>
          <w:p>
            <w:pPr>
              <w:pStyle w:val="null3"/>
            </w:pPr>
            <w:r>
              <w:rPr/>
              <w:t>劳动力安排及施工机械配备投入计划</w:t>
            </w:r>
          </w:p>
        </w:tc>
        <w:tc>
          <w:tcPr>
            <w:tcW w:type="dxa" w:w="2492"/>
          </w:tcPr>
          <w:p>
            <w:pPr>
              <w:pStyle w:val="null3"/>
            </w:pPr>
            <w:r>
              <w:rPr/>
              <w:t>供应商所制定的劳动力安排及施工机械配备投入计划可操作性强，机械工具配置齐全、情况良好。根据响应情况得(3-5]分；供应商所制定的劳动力安排及施工机械配备投入计划可操作性一般，基本满足工作要求，根据响应情况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应急预案</w:t>
            </w:r>
          </w:p>
        </w:tc>
        <w:tc>
          <w:tcPr>
            <w:tcW w:type="dxa" w:w="2492"/>
          </w:tcPr>
          <w:p>
            <w:pPr>
              <w:pStyle w:val="null3"/>
            </w:pPr>
            <w:r>
              <w:rPr/>
              <w:t>根据投标人提供的针对绿化补栽的应急预案的详细程度及案例说明（包括但不限于因天气或气候原因导致枯枝、老旧及长势欠佳苗木增更换等问题，或人为原因，及时补换措施）和补货需求。 应急处理预案详尽、全面、有效、合理，可实施性强，得［3-5]分；应急处理预案有效、合理，具有一定实施性，得［2-3)分；预案有欠缺，方案简单，得［0-2)分。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承诺</w:t>
            </w:r>
          </w:p>
        </w:tc>
        <w:tc>
          <w:tcPr>
            <w:tcW w:type="dxa" w:w="2492"/>
          </w:tcPr>
          <w:p>
            <w:pPr>
              <w:pStyle w:val="null3"/>
            </w:pPr>
            <w:r>
              <w:rPr/>
              <w:t>投标人对本项目后期服务配合的承诺及具体措施，有利于本项目工作的开展。承诺措施合理、完善、可行，具有可操作性得[3-5]分；承诺措施较合理、完善、可行，得[0-3）分；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近三年（2021年1月1日至今）承接有类似业绩（每个1分，满分4分）。 注：①类似业绩时间以中标通知书或合同协议书最终签署日期为准； ②企业业绩以中标通知书或合同协议书复印件并加盖单位公章为准； ③类似业绩是同类型项目业绩。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满足磋商文件要求且最终报价最低的供应商的价格为磋商基准价，其价格得分为满分。其他供应商的价格得分统一按照下列公式计算磋商报价得分=（磋商基准价/最终磋商报价）×价格权值（30%）×100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5.0000%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详见附件：标的清单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详见附件：资格证明文件</w:t>
      </w:r>
    </w:p>
    <w:p>
      <w:pPr>
        <w:pStyle w:val="null3"/>
        <w:ind w:firstLine="960"/>
      </w:pPr>
      <w:r>
        <w:rPr/>
        <w:t>详见附件：施工组织设计</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详见附件：其他相关资料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详见附件：西安财经大学长安校区14、15号学生公寓绿化工程合同（定稿）.docx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