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版本号：240827001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试点推动《运动项目中心、体育协会、体育俱乐部、企业“四位一体”深度融合发展》-击剑采购项目</w:t>
      </w:r>
    </w:p>
    <w:p>
      <w:pPr>
        <w:pStyle w:val="null3"/>
        <w:jc w:val="center"/>
        <w:outlineLvl w:val="5"/>
      </w:pPr>
      <w:r>
        <w:rPr>
          <w:sz w:val="15"/>
          <w:b/>
        </w:rPr>
        <w:t xml:space="preserve">采购项目编号: </w:t>
      </w:r>
      <w:r>
        <w:rPr>
          <w:sz w:val="15"/>
          <w:b/>
        </w:rPr>
        <w:t>SDZC2024-208</w:t>
      </w:r>
      <w:r>
        <w:br/>
      </w:r>
      <w:r>
        <w:br/>
      </w:r>
      <w:r>
        <w:br/>
      </w:r>
    </w:p>
    <w:p>
      <w:pPr>
        <w:pStyle w:val="null3"/>
        <w:jc w:val="center"/>
        <w:outlineLvl w:val="5"/>
      </w:pPr>
      <w:r>
        <w:rPr>
          <w:sz w:val="15"/>
          <w:b/>
        </w:rPr>
        <w:t>陕西省体育局机关</w:t>
      </w:r>
    </w:p>
    <w:p>
      <w:pPr>
        <w:pStyle w:val="null3"/>
        <w:jc w:val="center"/>
        <w:outlineLvl w:val="5"/>
      </w:pPr>
      <w:r>
        <w:rPr>
          <w:sz w:val="15"/>
          <w:b/>
        </w:rPr>
        <w:t>陕西上德招标有限公司</w:t>
      </w:r>
      <w:r>
        <w:rPr>
          <w:sz w:val="15"/>
          <w:b/>
        </w:rPr>
        <w:t>共同编制</w:t>
      </w:r>
    </w:p>
    <w:p>
      <w:pPr>
        <w:pStyle w:val="null3"/>
        <w:jc w:val="center"/>
        <w:outlineLvl w:val="5"/>
      </w:pPr>
      <w:r>
        <w:rPr>
          <w:sz w:val="15"/>
          <w:b/>
        </w:rPr>
        <w:t>2024年08月28日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陕西上德招标有限公司</w:t>
      </w:r>
      <w:r>
        <w:rPr/>
        <w:t>（以下简称“代理机构”）受</w:t>
      </w:r>
      <w:r>
        <w:rPr/>
        <w:t>陕西省体育局机关</w:t>
      </w:r>
      <w:r>
        <w:rPr/>
        <w:t>委托，拟对</w:t>
      </w:r>
      <w:r>
        <w:rPr/>
        <w:t>试点推动《运动项目中心、体育协会、体育俱乐部、企业“四位一体”深度融合发展》-击剑采购项目</w:t>
      </w:r>
      <w:r>
        <w:rPr/>
        <w:t>采用单一来源方式进行采购，现邀请贵公司参加该项目的协商。</w:t>
      </w:r>
    </w:p>
    <w:p>
      <w:pPr>
        <w:pStyle w:val="null3"/>
        <w:outlineLvl w:val="2"/>
      </w:pPr>
      <w:r>
        <w:rPr>
          <w:sz w:val="28"/>
          <w:b/>
        </w:rPr>
        <w:t xml:space="preserve"> 一、采购项目编号：</w:t>
      </w:r>
      <w:r>
        <w:rPr>
          <w:sz w:val="28"/>
          <w:b/>
        </w:rPr>
        <w:t>SDZC2024-208</w:t>
      </w:r>
    </w:p>
    <w:p>
      <w:pPr>
        <w:pStyle w:val="null3"/>
        <w:outlineLvl w:val="2"/>
      </w:pPr>
      <w:r>
        <w:rPr>
          <w:sz w:val="28"/>
          <w:b/>
        </w:rPr>
        <w:t xml:space="preserve"> 二、采购项目名称：</w:t>
      </w:r>
      <w:r>
        <w:rPr>
          <w:sz w:val="28"/>
          <w:b/>
        </w:rPr>
        <w:t>试点推动《运动项目中心、体育协会、体育俱乐部、企业“四位一体”深度融合发展》-击剑采购项目</w:t>
      </w:r>
    </w:p>
    <w:p>
      <w:pPr>
        <w:pStyle w:val="null3"/>
        <w:outlineLvl w:val="2"/>
      </w:pPr>
      <w:r>
        <w:rPr>
          <w:sz w:val="28"/>
          <w:b/>
        </w:rPr>
        <w:t>三、协商项目简介：</w:t>
      </w:r>
    </w:p>
    <w:p>
      <w:pPr>
        <w:pStyle w:val="null3"/>
        <w:ind w:firstLine="480"/>
      </w:pPr>
      <w:r>
        <w:rPr/>
        <w:t>试点推动《运动项目中心、体育协会、体育俱乐部、企业“四位一体”深度融合发展》-击剑</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1、具有独立承担民事责任的能力：具有独立承担民事责任的能力；（提供书面声明，加盖供应商公章）；供应商需在项目电子化交易系统中按要求上传相应证明文件并进行电子签章。</w:t>
      </w:r>
    </w:p>
    <w:p>
      <w:pPr>
        <w:pStyle w:val="null3"/>
      </w:pPr>
      <w:r>
        <w:rPr/>
        <w:t>2、具有良好的商业信誉和健全的财务会计制度，具有依法缴纳税收和社会保障金的良好记录：具有良好的商业信誉和健全的财务会计制度，具有依法缴纳税收和社会保障金的良好记录；（提供书面声明，加盖供应商公章）；供应商需在项目电子化交易系统中按要求上传相应证明文件并进行电子签章。</w:t>
      </w:r>
    </w:p>
    <w:p>
      <w:pPr>
        <w:pStyle w:val="null3"/>
      </w:pPr>
      <w:r>
        <w:rPr/>
        <w:t>3、说明及承诺：提供具有履行本合同所必需的设备和专业技术能力的说明及承诺；（提供书面说明及承诺，加盖供应商公章）；供应商需在项目电子化交易系统中按要求上传相应证明文件并进行电子签章。</w:t>
      </w:r>
    </w:p>
    <w:p>
      <w:pPr>
        <w:pStyle w:val="null3"/>
      </w:pPr>
      <w:r>
        <w:rPr/>
        <w:t>4、声明：提供参加政府采购活动前三年内在经营活动中没有重大违法记录的书面声明。（提供书面声明，加盖供应商公章）；供应商需在项目电子化交易系统中按要求上传相应证明文件并进行电子签章。</w:t>
      </w:r>
    </w:p>
    <w:p>
      <w:pPr>
        <w:pStyle w:val="null3"/>
      </w:pPr>
      <w:r>
        <w:rPr/>
        <w:t>5、合法注册的法人或其他组织，并出具合法有效的营业执照/事业单位法人证书/非企业专业服务机构执业许可证/民办非企业单位登记证书：合法注册的法人或其他组织，并出具合法有效的营业执照/事业单位法人证书/非企业专业服务机构执业许可证/民办非企业单位登记证书；供应商需在项目电子化交易系统中按要求上传相应证明文件并进行电子签章。</w:t>
      </w:r>
    </w:p>
    <w:p>
      <w:pPr>
        <w:pStyle w:val="null3"/>
      </w:pPr>
      <w:r>
        <w:rPr/>
        <w:t>6、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式样见单一来源采购响应文件格式)；供应商需在项目电子化交易系统中按要求上传相应证明文件并进行电子签章。</w:t>
      </w:r>
    </w:p>
    <w:p>
      <w:pPr>
        <w:pStyle w:val="null3"/>
      </w:pPr>
      <w:r>
        <w:rPr/>
        <w:t>7、信用信息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资审小组在单一来源采购响应截止日当天在“信用中国”网站和中国政府采购网站进行查询，截图留档；如网站无供应商信息的，供应商须提供相关证明资料或书面声明，并进行电子签章）。</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陕西省体育局机关</w:t>
      </w:r>
    </w:p>
    <w:p>
      <w:pPr>
        <w:pStyle w:val="null3"/>
      </w:pPr>
      <w:r>
        <w:rPr/>
        <w:t xml:space="preserve"> 地址： </w:t>
      </w:r>
      <w:r>
        <w:rPr/>
        <w:t>西安市碑林区长安北路14号</w:t>
      </w:r>
    </w:p>
    <w:p>
      <w:pPr>
        <w:pStyle w:val="null3"/>
      </w:pPr>
      <w:r>
        <w:rPr/>
        <w:t xml:space="preserve"> 邮编： </w:t>
      </w:r>
      <w:r>
        <w:rPr/>
        <w:t>710061</w:t>
      </w:r>
    </w:p>
    <w:p>
      <w:pPr>
        <w:pStyle w:val="null3"/>
      </w:pPr>
      <w:r>
        <w:rPr/>
        <w:t xml:space="preserve"> 联系人： </w:t>
      </w:r>
      <w:r>
        <w:rPr/>
        <w:t>常老师</w:t>
      </w:r>
    </w:p>
    <w:p>
      <w:pPr>
        <w:pStyle w:val="null3"/>
      </w:pPr>
      <w:r>
        <w:rPr/>
        <w:t xml:space="preserve"> 联系电话： </w:t>
      </w:r>
      <w:r>
        <w:rPr/>
        <w:t xml:space="preserve"> 029-83690926</w:t>
      </w:r>
    </w:p>
    <w:p>
      <w:pPr>
        <w:pStyle w:val="null3"/>
        <w:outlineLvl w:val="2"/>
      </w:pPr>
      <w:r>
        <w:rPr>
          <w:sz w:val="28"/>
          <w:b/>
        </w:rPr>
        <w:t xml:space="preserve"> 代理机构：</w:t>
      </w:r>
      <w:r>
        <w:rPr>
          <w:sz w:val="28"/>
          <w:b/>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710018</w:t>
      </w:r>
    </w:p>
    <w:p>
      <w:pPr>
        <w:pStyle w:val="null3"/>
      </w:pPr>
      <w:r>
        <w:rPr/>
        <w:t xml:space="preserve"> 联系人： </w:t>
      </w:r>
      <w:r>
        <w:rPr/>
        <w:t>赵倩茹（9号工位）、杨宗峰</w:t>
      </w:r>
    </w:p>
    <w:p>
      <w:pPr>
        <w:pStyle w:val="null3"/>
      </w:pPr>
      <w:r>
        <w:rPr/>
        <w:t xml:space="preserve"> 联系电话： </w:t>
      </w:r>
      <w:r>
        <w:rPr/>
        <w:t>029-86673953/86518381/89299829/89293231转8009</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采购包1：500,000.00元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采购包1：500,000.00元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人在领取成交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 2.招标代理服务费应采用转账、刷卡、现金形式缴纳。 3. （1）开户行名称：陕西上德招标有限公司 （2）开 户 行：西安银行股份有限公司文景路支行 （3）账 号：707011510000013522 （4）财务部联系方式：029-86673953、029-86518381、029-89299829、029-89293231 转8033 备注：投标人在汇款（招标代理服务费）时须注明项目编号+项目简称</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陕西省体育局机关</w:t>
      </w:r>
      <w:r>
        <w:rPr/>
        <w:t>和</w:t>
      </w:r>
      <w:r>
        <w:rPr/>
        <w:t>陕西上德招标有限公司</w:t>
      </w:r>
      <w:r>
        <w:rPr/>
        <w:t>享有。对采购文件中供应商参加本次政府采购活动应当具备的条件、项目技术、服务、商务及其他要求，评审标准由采购人负责解释。除前述采购文件内容，其他内容由</w:t>
      </w:r>
      <w:r>
        <w:rPr/>
        <w:t>陕西上德招标有限公司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陕西省体育局机关</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陕西上德招标有限公司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符合国家规范，服务期间提供保障的服务达到采购方要求标准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试点推动《运动项目中心、体育协会、体育俱乐部、企业“四位一体”深度融合发展》-击剑</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赛事活动组织</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标的名称：赛事活动组织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13"/>
              <w:gridCol w:w="1735"/>
            </w:tblGrid>
            <w:tr>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名称</w:t>
                  </w:r>
                </w:p>
              </w:tc>
              <w:tc>
                <w:tcPr>
                  <w:tcW w:type="dxa" w:w="1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内容要求</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项目名称</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试点推动《运动项目中心、体育协会、体育俱乐部、企业</w:t>
                  </w:r>
                  <w:r>
                    <w:rPr>
                      <w:rFonts w:ascii="宋体" w:hAnsi="宋体" w:cs="宋体" w:eastAsia="宋体"/>
                      <w:sz w:val="28"/>
                    </w:rPr>
                    <w:t>“四位一体”深度融合发展》-击剑采购项目</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预算金额（万元）</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50</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活动地点</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陕西省内，西安、汉中等地市</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活动安排、</w:t>
                  </w:r>
                </w:p>
                <w:p>
                  <w:pPr>
                    <w:pStyle w:val="null3"/>
                    <w:jc w:val="center"/>
                  </w:pPr>
                  <w:r>
                    <w:rPr>
                      <w:rFonts w:ascii="宋体" w:hAnsi="宋体" w:cs="宋体" w:eastAsia="宋体"/>
                      <w:sz w:val="28"/>
                    </w:rPr>
                    <w:t>举办时间、天数</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根据采购人要求安排活动时间</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活动规模、</w:t>
                  </w:r>
                </w:p>
                <w:p>
                  <w:pPr>
                    <w:pStyle w:val="null3"/>
                    <w:jc w:val="center"/>
                  </w:pPr>
                  <w:r>
                    <w:rPr>
                      <w:rFonts w:ascii="宋体" w:hAnsi="宋体" w:cs="宋体" w:eastAsia="宋体"/>
                      <w:sz w:val="28"/>
                    </w:rPr>
                    <w:t>参与人员及人数</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举办陕西省青少年体育俱乐部击剑联赛、陕西省青少年击剑公开赛、陕西省击剑大师训练营等赛事活动，运动员总参与人数不低于</w:t>
                  </w:r>
                  <w:r>
                    <w:rPr>
                      <w:rFonts w:ascii="宋体" w:hAnsi="宋体" w:cs="宋体" w:eastAsia="宋体"/>
                      <w:sz w:val="28"/>
                    </w:rPr>
                    <w:t>3000人，带动参与击剑人数不少于2万人，</w:t>
                  </w:r>
                  <w:r>
                    <w:rPr>
                      <w:rFonts w:ascii="宋体" w:hAnsi="宋体" w:cs="宋体" w:eastAsia="宋体"/>
                      <w:sz w:val="28"/>
                      <w:b/>
                      <w:u w:val="single"/>
                    </w:rPr>
                    <w:t>推广流量不少于</w:t>
                  </w:r>
                  <w:r>
                    <w:rPr>
                      <w:rFonts w:ascii="宋体" w:hAnsi="宋体" w:cs="宋体" w:eastAsia="宋体"/>
                      <w:sz w:val="28"/>
                      <w:b/>
                      <w:u w:val="single"/>
                    </w:rPr>
                    <w:t>5万人次。</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需投入的设备、</w:t>
                  </w:r>
                </w:p>
                <w:p>
                  <w:pPr>
                    <w:pStyle w:val="null3"/>
                    <w:jc w:val="center"/>
                  </w:pPr>
                  <w:r>
                    <w:rPr>
                      <w:rFonts w:ascii="宋体" w:hAnsi="宋体" w:cs="宋体" w:eastAsia="宋体"/>
                      <w:sz w:val="28"/>
                    </w:rPr>
                    <w:t>材料、仪器</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击剑场馆、击剑剑道、裁判器等配套的竞赛器材设备、电脑、打印机、汽车、急救车辆、安全设施等</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媒体宣传推广</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每次赛事活动邀请不少于</w:t>
                  </w:r>
                  <w:r>
                    <w:rPr>
                      <w:rFonts w:ascii="宋体" w:hAnsi="宋体" w:cs="宋体" w:eastAsia="宋体"/>
                      <w:sz w:val="28"/>
                    </w:rPr>
                    <w:t>6家的中省主流媒体进行宣传报道，在新媒体平台上广泛宣传，采取图文直播形式开展宣传推广</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后勤保障</w:t>
                  </w:r>
                </w:p>
                <w:p>
                  <w:pPr>
                    <w:pStyle w:val="null3"/>
                    <w:jc w:val="center"/>
                  </w:pPr>
                  <w:r>
                    <w:rPr>
                      <w:rFonts w:ascii="宋体" w:hAnsi="宋体" w:cs="宋体" w:eastAsia="宋体"/>
                      <w:sz w:val="28"/>
                    </w:rPr>
                    <w:t>（交通、住宿、</w:t>
                  </w:r>
                </w:p>
                <w:p>
                  <w:pPr>
                    <w:pStyle w:val="null3"/>
                    <w:jc w:val="center"/>
                  </w:pPr>
                  <w:r>
                    <w:rPr>
                      <w:rFonts w:ascii="宋体" w:hAnsi="宋体" w:cs="宋体" w:eastAsia="宋体"/>
                      <w:sz w:val="28"/>
                    </w:rPr>
                    <w:t>餐饮等）</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赛事组委会统一安排裁判员、工作人员食宿、交通费用</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场馆</w:t>
                  </w:r>
                  <w:r>
                    <w:rPr>
                      <w:rFonts w:ascii="宋体" w:hAnsi="宋体" w:cs="宋体" w:eastAsia="宋体"/>
                      <w:sz w:val="28"/>
                    </w:rPr>
                    <w:t>/场地布置      （面积大小、要求等）</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场馆布置严格按照中国击剑协会《办赛指南》要求，面积不小于</w:t>
                  </w:r>
                  <w:r>
                    <w:rPr>
                      <w:rFonts w:ascii="宋体" w:hAnsi="宋体" w:cs="宋体" w:eastAsia="宋体"/>
                      <w:sz w:val="28"/>
                    </w:rPr>
                    <w:t>2000平米，有配套的更衣室、检录区、器材检验区、裁判员休息室等功能房。</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商务开发</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预算经费</w:t>
                  </w:r>
                  <w:r>
                    <w:rPr>
                      <w:rFonts w:ascii="宋体" w:hAnsi="宋体" w:cs="宋体" w:eastAsia="宋体"/>
                      <w:sz w:val="28"/>
                    </w:rPr>
                    <w:t>50万元，不足部分自筹，可通过自身运营和合作运营两种方式完成不低于50万元的商务开发指标</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运动员服务、</w:t>
                  </w:r>
                </w:p>
                <w:p>
                  <w:pPr>
                    <w:pStyle w:val="null3"/>
                    <w:jc w:val="center"/>
                  </w:pPr>
                  <w:r>
                    <w:rPr>
                      <w:rFonts w:ascii="宋体" w:hAnsi="宋体" w:cs="宋体" w:eastAsia="宋体"/>
                      <w:sz w:val="28"/>
                    </w:rPr>
                    <w:t>志愿者服务</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无特殊要求，可在各赛区自行招募一定数量的击剑爱好者和志愿者组建志愿者队伍，提供赛事保障</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医疗救援工作</w:t>
                  </w:r>
                </w:p>
                <w:p>
                  <w:pPr>
                    <w:pStyle w:val="null3"/>
                    <w:jc w:val="center"/>
                  </w:pPr>
                  <w:r>
                    <w:rPr>
                      <w:rFonts w:ascii="宋体" w:hAnsi="宋体" w:cs="宋体" w:eastAsia="宋体"/>
                      <w:sz w:val="28"/>
                    </w:rPr>
                    <w:t>（活动现场救护人员、救护车、救护仪器等）</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赛事活动现场需配备救护车、医疗救护人员和医疗设备、药品（</w:t>
                  </w:r>
                  <w:r>
                    <w:rPr>
                      <w:rFonts w:ascii="宋体" w:hAnsi="宋体" w:cs="宋体" w:eastAsia="宋体"/>
                      <w:sz w:val="28"/>
                    </w:rPr>
                    <w:t>AED、担架，氧气等）</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活动安保工作（配备安保人员及要求）</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按照《安全工作预案》要求配备相应的安保措施，签订《安保服务》协议，根据活动参与人数严格配备安保人员</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活动财务工作（资金分配要求）</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需合理分配人员劳务费、交通费、住宿费、食宿费、场地和器材租赁费、宣传推广费、物料制作费等费用</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应急预案</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严格按照省体育局一赛六案要求，规范制定《安全保障工作方案》、《熔断机制》、《公共突发事件处置方案》</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开闭幕式策划及演出</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无特殊要求</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安全责任划分</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赛事活动主办方落实安全主体责任</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购买保险要求</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赛事活动确保运动员意外伤害险全覆盖</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预期成果、效果</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通过试点，陕西省击剑协会会员数量大幅度增加，击剑俱乐部服务能力和训练水平大幅度提升，建立击剑项目数据信息平台和人才孵化基地，进一步推动击剑项目在全省的普及和推广，规范基层击剑俱乐部的教学训练工作，发现和培养更多优秀后备人才，积极践行</w:t>
                  </w:r>
                  <w:r>
                    <w:rPr>
                      <w:rFonts w:ascii="宋体" w:hAnsi="宋体" w:cs="宋体" w:eastAsia="宋体"/>
                      <w:sz w:val="28"/>
                    </w:rPr>
                    <w:t>“四位一体”深度融合发展新模式，力争通过试点向省级优秀运动队一定的反哺，助力陕西击剑项目高质量发展。</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其它要求</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无</w:t>
                  </w:r>
                </w:p>
              </w:tc>
            </w:tr>
          </w:tbl>
          <w:p/>
        </w:tc>
      </w:tr>
    </w:tbl>
    <w:p>
      <w:pPr>
        <w:pStyle w:val="null3"/>
        <w:outlineLvl w:val="3"/>
      </w:pPr>
      <w:r>
        <w:rPr>
          <w:sz w:val="24"/>
          <w:b/>
        </w:rPr>
        <w:t>3.2.3人员配置要求</w:t>
      </w:r>
    </w:p>
    <w:p>
      <w:pPr>
        <w:pStyle w:val="null3"/>
      </w:pPr>
      <w:r>
        <w:rPr/>
        <w:t>采购包1：</w:t>
      </w:r>
    </w:p>
    <w:p>
      <w:pPr>
        <w:pStyle w:val="null3"/>
      </w:pPr>
      <w:r>
        <w:rPr/>
        <w:t>根据项目需求配置</w:t>
      </w:r>
    </w:p>
    <w:p>
      <w:pPr>
        <w:pStyle w:val="null3"/>
        <w:outlineLvl w:val="3"/>
      </w:pPr>
      <w:r>
        <w:rPr>
          <w:sz w:val="24"/>
          <w:b/>
        </w:rPr>
        <w:t>3.2.4设施设备要求</w:t>
      </w:r>
    </w:p>
    <w:p>
      <w:pPr>
        <w:pStyle w:val="null3"/>
      </w:pPr>
      <w:r>
        <w:rPr/>
        <w:t>采购包1：</w:t>
      </w:r>
    </w:p>
    <w:p>
      <w:pPr>
        <w:pStyle w:val="null3"/>
      </w:pPr>
      <w:r>
        <w:rPr/>
        <w:t>根据项目需求配置</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根据采购人要求提供完整服务</w:t>
      </w:r>
    </w:p>
    <w:p>
      <w:pPr>
        <w:pStyle w:val="null3"/>
        <w:outlineLvl w:val="3"/>
      </w:pPr>
      <w:r>
        <w:rPr>
          <w:sz w:val="24"/>
          <w:b/>
        </w:rPr>
        <w:t>3.3.2服务地点</w:t>
      </w:r>
    </w:p>
    <w:p>
      <w:pPr>
        <w:pStyle w:val="null3"/>
      </w:pPr>
      <w:r>
        <w:rPr/>
        <w:t>采购包1：</w:t>
      </w:r>
    </w:p>
    <w:p>
      <w:pPr>
        <w:pStyle w:val="null3"/>
      </w:pPr>
      <w:r>
        <w:rPr/>
        <w:t>根据活动需求确定</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甲方收到乙方提供的经项目实施管理方签署的“政府采购项目（服务）验收结果报告单”及合同总金额等额发票，甲方审查合格后的15个工作日内向乙方支付100%合同款项</w:t>
      </w:r>
      <w:r>
        <w:rPr/>
        <w:t xml:space="preserve"> ，达到付款条件起 </w:t>
      </w:r>
      <w:r>
        <w:rPr/>
        <w:t>15</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符合国家规范，服务期间提供保障的服务达到采购方要求标准</w:t>
      </w:r>
    </w:p>
    <w:p>
      <w:pPr>
        <w:pStyle w:val="null3"/>
        <w:outlineLvl w:val="3"/>
      </w:pPr>
      <w:r>
        <w:rPr>
          <w:sz w:val="24"/>
          <w:b/>
        </w:rPr>
        <w:t>3.3.6违约责任及解决争议的方法</w:t>
      </w:r>
    </w:p>
    <w:p>
      <w:pPr>
        <w:pStyle w:val="null3"/>
      </w:pPr>
      <w:r>
        <w:rPr/>
        <w:t>采购包1：</w:t>
      </w:r>
    </w:p>
    <w:p>
      <w:pPr>
        <w:pStyle w:val="null3"/>
      </w:pPr>
      <w:r>
        <w:rPr/>
        <w:t>1.按《中华人民共和国民法典》中的相关条款执行: 2.未按合同要求的提供服务或服务质量不能满足甲方要求，甲方有权终止合同，甚至对乙方违约行为进行追究: 3.如有纠纷，双方友好协商解决，协商不成时可诉讼到甲方所在地人民法院解决。</w:t>
      </w:r>
    </w:p>
    <w:p>
      <w:pPr>
        <w:pStyle w:val="null3"/>
        <w:outlineLvl w:val="2"/>
      </w:pPr>
      <w:r>
        <w:rPr>
          <w:sz w:val="28"/>
          <w:b/>
        </w:rPr>
        <w:t>3.4其他要求</w:t>
      </w:r>
    </w:p>
    <w:p>
      <w:pPr>
        <w:pStyle w:val="null3"/>
      </w:pPr>
      <w:r>
        <w:rPr/>
        <w:t>采购包1：</w:t>
      </w:r>
    </w:p>
    <w:p>
      <w:pPr>
        <w:pStyle w:val="null3"/>
      </w:pPr>
      <w:r>
        <w:rPr/>
        <w:t>一、质量要求：符合国家规范，服务期间提供保障的服务达到采购方要求标准。 二、其他事项 1.采购、单一来源采购活动受国家法律保护和约束。采购单一来源采购双方遵守法律、法规和职业道德，凡在单一来源采购过程中弄虚作假，一经查出，追究责任方的法律、经济责任。 2.双方发生合同争议时，应友好协商解决，不能达成协议时，及时向有关部门要求调解、仲裁或诉讼，发生索赔按现行法律、法规和合同执行。 3.本文件未尽事宜按《中华人民共和国政府采购法》、《中华人民共和国政府采购法实施条例》及有关规定执行。 4.成交单位不得对赛事服务业务分包或转包。否则招标人有权终止合同，成交单位要承担由此造成的一切经济损失。 5.成交单位不得在服务期间对项目管理人员进行更换，如遇特殊情况须经招标人同意；招标人发现项目管理人员工作不力时，有权提出更换人员，更换的人员必须及时到场。 三、成交人在领取成交通知书时提供一正两副纸质单一来源采购响应文件，纸质单一来源采购响应文件采用书籍（胶装）方式装订成册，与电子单一来源采购响应文件一致的签字、盖章的完整版本。</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具有独立承担民事责任的能力；（提供书面声明，加盖供应商公章）；供应商需在项目电子化交易系统中按要求上传相应证明文件并进行电子签章。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具有良好的商业信誉和健全的财务会计制度，具有依法缴纳税收和社会保障金的良好记录</w:t>
            </w:r>
          </w:p>
        </w:tc>
        <w:tc>
          <w:tcPr>
            <w:tcW w:type="dxa" w:w="3322"/>
          </w:tcPr>
          <w:p>
            <w:pPr>
              <w:pStyle w:val="null3"/>
            </w:pPr>
            <w:r>
              <w:rPr/>
              <w:t>具有良好的商业信誉和健全的财务会计制度，具有依法缴纳税收和社会保障金的良好记录；（提供书面声明，加盖供应商公章）；供应商需在项目电子化交易系统中按要求上传相应证明文件并进行电子签章。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说明及承诺</w:t>
            </w:r>
          </w:p>
        </w:tc>
        <w:tc>
          <w:tcPr>
            <w:tcW w:type="dxa" w:w="3322"/>
          </w:tcPr>
          <w:p>
            <w:pPr>
              <w:pStyle w:val="null3"/>
            </w:pPr>
            <w:r>
              <w:rPr/>
              <w:t>提供具有履行本合同所必需的设备和专业技术能力的说明及承诺；（提供书面说明及承诺，加盖供应商公章）；供应商需在项目电子化交易系统中按要求上传相应证明文件并进行电子签章。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声明</w:t>
            </w:r>
          </w:p>
        </w:tc>
        <w:tc>
          <w:tcPr>
            <w:tcW w:type="dxa" w:w="3322"/>
          </w:tcPr>
          <w:p>
            <w:pPr>
              <w:pStyle w:val="null3"/>
            </w:pPr>
            <w:r>
              <w:rPr/>
              <w:t>提供参加政府采购活动前三年内在经营活动中没有重大违法记录的书面声明。（提供书面声明，加盖供应商公章）；供应商需在项目电子化交易系统中按要求上传相应证明文件并进行电子签章。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合法注册的法人或其他组织，并出具合法有效的营业执照/事业单位法人证书/非企业专业服务机构执业许可证/民办非企业单位登记证书</w:t>
            </w:r>
          </w:p>
        </w:tc>
        <w:tc>
          <w:tcPr>
            <w:tcW w:type="dxa" w:w="3322"/>
          </w:tcPr>
          <w:p>
            <w:pPr>
              <w:pStyle w:val="null3"/>
            </w:pPr>
            <w:r>
              <w:rPr/>
              <w:t>合法注册的法人或其他组织，并出具合法有效的营业执照/事业单位法人证书/非企业专业服务机构执业许可证/民办非企业单位登记证书；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式样见单一来源采购响应文件格式)；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信用信息查询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资审小组在单一来源采购响应截止日当天在“信用中国”网站和中国政府采购网站进行查询，截图留档；如网站无供应商信息的，供应商须提供相关证明资料或书面声明，并进行电子签章）。</w:t>
            </w:r>
          </w:p>
        </w:tc>
        <w:tc>
          <w:tcPr>
            <w:tcW w:type="dxa" w:w="1661"/>
          </w:tcPr>
          <w:p>
            <w:pPr>
              <w:pStyle w:val="null3"/>
            </w:pPr>
            <w:r>
              <w:rPr/>
              <w:t>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供应商名称</w:t>
            </w:r>
          </w:p>
        </w:tc>
        <w:tc>
          <w:tcPr>
            <w:tcW w:type="dxa" w:w="3322"/>
          </w:tcPr>
          <w:p>
            <w:pPr>
              <w:pStyle w:val="null3"/>
            </w:pPr>
            <w:r>
              <w:rPr/>
              <w:t>供应商名称与登记领取单一来源采购文件的单位名称一致</w:t>
            </w:r>
          </w:p>
        </w:tc>
        <w:tc>
          <w:tcPr>
            <w:tcW w:type="dxa" w:w="1661"/>
          </w:tcPr>
          <w:p>
            <w:pPr>
              <w:pStyle w:val="null3"/>
            </w:pPr>
            <w:r>
              <w:rPr/>
              <w:t>项目组人员配置 分项报价表 成功案例 供应商认为有必要说明的事宜 《供应商参与采购活动的承诺函》 中小企业声明函 拟投入的设备 报价表 商务条款响应偏离表 响应文件封面 资格证明文件 残疾人福利性单位声明函 服务方案 标的清单 法定代表人授权委托书（格式） 《拒绝政府采购领域商业贿赂承诺书》 响应函 服务内容及技术要求响应偏离表 监狱企业的证明文件</w:t>
            </w:r>
          </w:p>
        </w:tc>
      </w:tr>
      <w:tr>
        <w:tc>
          <w:tcPr>
            <w:tcW w:type="dxa" w:w="831"/>
          </w:tcPr>
          <w:p>
            <w:pPr>
              <w:pStyle w:val="null3"/>
            </w:pPr>
            <w:r>
              <w:rPr/>
              <w:t>5</w:t>
            </w:r>
          </w:p>
        </w:tc>
        <w:tc>
          <w:tcPr>
            <w:tcW w:type="dxa" w:w="2492"/>
          </w:tcPr>
          <w:p>
            <w:pPr>
              <w:pStyle w:val="null3"/>
            </w:pPr>
            <w:r>
              <w:rPr/>
              <w:t>格式编制</w:t>
            </w:r>
          </w:p>
        </w:tc>
        <w:tc>
          <w:tcPr>
            <w:tcW w:type="dxa" w:w="3322"/>
          </w:tcPr>
          <w:p>
            <w:pPr>
              <w:pStyle w:val="null3"/>
            </w:pPr>
            <w:r>
              <w:rPr/>
              <w:t>除明确允许供应商可以自行编写的外，单一来源采购响应文件按照单一来源采购文件给定的格式编制</w:t>
            </w:r>
          </w:p>
        </w:tc>
        <w:tc>
          <w:tcPr>
            <w:tcW w:type="dxa" w:w="1661"/>
          </w:tcPr>
          <w:p>
            <w:pPr>
              <w:pStyle w:val="null3"/>
            </w:pPr>
            <w:r>
              <w:rPr/>
              <w:t>分项报价表 《供应商参与采购活动的承诺函》 中小企业声明函 报价表 商务条款响应偏离表 响应文件封面 资格证明文件 残疾人福利性单位声明函 标的清单 法定代表人授权委托书（格式） 《拒绝政府采购领域商业贿赂承诺书》 响应函 监狱企业的证明文件</w:t>
            </w:r>
          </w:p>
        </w:tc>
      </w:tr>
      <w:tr>
        <w:tc>
          <w:tcPr>
            <w:tcW w:type="dxa" w:w="831"/>
          </w:tcPr>
          <w:p>
            <w:pPr>
              <w:pStyle w:val="null3"/>
            </w:pPr>
            <w:r>
              <w:rPr/>
              <w:t>6</w:t>
            </w:r>
          </w:p>
        </w:tc>
        <w:tc>
          <w:tcPr>
            <w:tcW w:type="dxa" w:w="2492"/>
          </w:tcPr>
          <w:p>
            <w:pPr>
              <w:pStyle w:val="null3"/>
            </w:pPr>
            <w:r>
              <w:rPr/>
              <w:t>盖章签字</w:t>
            </w:r>
          </w:p>
        </w:tc>
        <w:tc>
          <w:tcPr>
            <w:tcW w:type="dxa" w:w="3322"/>
          </w:tcPr>
          <w:p>
            <w:pPr>
              <w:pStyle w:val="null3"/>
            </w:pPr>
            <w:r>
              <w:rPr/>
              <w:t>单一来源采购响应文件按照单一来源采购文件的要求盖章签字</w:t>
            </w:r>
          </w:p>
        </w:tc>
        <w:tc>
          <w:tcPr>
            <w:tcW w:type="dxa" w:w="1661"/>
          </w:tcPr>
          <w:p>
            <w:pPr>
              <w:pStyle w:val="null3"/>
            </w:pPr>
            <w:r>
              <w:rPr/>
              <w:t>项目组人员配置 分项报价表 成功案例 供应商认为有必要说明的事宜 《供应商参与采购活动的承诺函》 中小企业声明函 拟投入的设备 报价表 商务条款响应偏离表 响应文件封面 资格证明文件 残疾人福利性单位声明函 服务方案 标的清单 法定代表人授权委托书（格式） 《拒绝政府采购领域商业贿赂承诺书》 响应函 服务内容及技术要求响应偏离表 监狱企业的证明文件</w:t>
            </w:r>
          </w:p>
        </w:tc>
      </w:tr>
      <w:tr>
        <w:tc>
          <w:tcPr>
            <w:tcW w:type="dxa" w:w="831"/>
          </w:tcPr>
          <w:p>
            <w:pPr>
              <w:pStyle w:val="null3"/>
            </w:pPr>
            <w:r>
              <w:rPr/>
              <w:t>7</w:t>
            </w:r>
          </w:p>
        </w:tc>
        <w:tc>
          <w:tcPr>
            <w:tcW w:type="dxa" w:w="2492"/>
          </w:tcPr>
          <w:p>
            <w:pPr>
              <w:pStyle w:val="null3"/>
            </w:pPr>
            <w:r>
              <w:rPr/>
              <w:t>协商报价</w:t>
            </w:r>
          </w:p>
        </w:tc>
        <w:tc>
          <w:tcPr>
            <w:tcW w:type="dxa" w:w="3322"/>
          </w:tcPr>
          <w:p>
            <w:pPr>
              <w:pStyle w:val="null3"/>
            </w:pPr>
            <w:r>
              <w:rPr/>
              <w:t>协商报价不能超过最高限价</w:t>
            </w:r>
          </w:p>
        </w:tc>
        <w:tc>
          <w:tcPr>
            <w:tcW w:type="dxa" w:w="1661"/>
          </w:tcPr>
          <w:p>
            <w:pPr>
              <w:pStyle w:val="null3"/>
            </w:pPr>
            <w:r>
              <w:rPr/>
              <w:t>报价表 响应函</w:t>
            </w:r>
          </w:p>
        </w:tc>
      </w:tr>
      <w:tr>
        <w:tc>
          <w:tcPr>
            <w:tcW w:type="dxa" w:w="831"/>
          </w:tcPr>
          <w:p>
            <w:pPr>
              <w:pStyle w:val="null3"/>
            </w:pPr>
            <w:r>
              <w:rPr/>
              <w:t>8</w:t>
            </w:r>
          </w:p>
        </w:tc>
        <w:tc>
          <w:tcPr>
            <w:tcW w:type="dxa" w:w="2492"/>
          </w:tcPr>
          <w:p>
            <w:pPr>
              <w:pStyle w:val="null3"/>
            </w:pPr>
            <w:r>
              <w:rPr/>
              <w:t>单一来源响应有效期</w:t>
            </w:r>
          </w:p>
        </w:tc>
        <w:tc>
          <w:tcPr>
            <w:tcW w:type="dxa" w:w="3322"/>
          </w:tcPr>
          <w:p>
            <w:pPr>
              <w:pStyle w:val="null3"/>
            </w:pPr>
            <w:r>
              <w:rPr/>
              <w:t>单一来源响应有效期符合单一来源采购文件的要求</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单一来源采购响应文件是否含有采购人不能接受的附加条件</w:t>
            </w:r>
          </w:p>
        </w:tc>
        <w:tc>
          <w:tcPr>
            <w:tcW w:type="dxa" w:w="3322"/>
          </w:tcPr>
          <w:p>
            <w:pPr>
              <w:pStyle w:val="null3"/>
            </w:pPr>
            <w:r>
              <w:rPr/>
              <w:t>单一来源采购响应文件不能含有采购人不能接受的附加条件</w:t>
            </w:r>
          </w:p>
        </w:tc>
        <w:tc>
          <w:tcPr>
            <w:tcW w:type="dxa" w:w="1661"/>
          </w:tcPr>
          <w:p>
            <w:pPr>
              <w:pStyle w:val="null3"/>
            </w:pPr>
            <w:r>
              <w:rPr/>
              <w:t>项目组人员配置 分项报价表 成功案例 供应商认为有必要说明的事宜 《供应商参与采购活动的承诺函》 中小企业声明函 拟投入的设备 报价表 商务条款响应偏离表 响应文件封面 资格证明文件 残疾人福利性单位声明函 服务方案 标的清单 法定代表人授权委托书（格式） 《拒绝政府采购领域商业贿赂承诺书》 响应函 服务内容及技术要求响应偏离表 监狱企业的证明文件</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详见附件：服务内容及技术要求响应偏离表</w:t>
      </w:r>
    </w:p>
    <w:p>
      <w:pPr>
        <w:pStyle w:val="null3"/>
        <w:ind w:firstLine="960"/>
      </w:pPr>
      <w:r>
        <w:rPr/>
        <w:t>详见附件：项目组人员配置</w:t>
      </w:r>
    </w:p>
    <w:p>
      <w:pPr>
        <w:pStyle w:val="null3"/>
        <w:ind w:firstLine="960"/>
      </w:pPr>
      <w:r>
        <w:rPr/>
        <w:t>详见附件：服务方案</w:t>
      </w:r>
    </w:p>
    <w:p>
      <w:pPr>
        <w:pStyle w:val="null3"/>
        <w:ind w:firstLine="960"/>
      </w:pPr>
      <w:r>
        <w:rPr/>
        <w:t>详见附件：成功案例</w:t>
      </w:r>
    </w:p>
    <w:p>
      <w:pPr>
        <w:pStyle w:val="null3"/>
        <w:ind w:firstLine="960"/>
      </w:pPr>
      <w:r>
        <w:rPr/>
        <w:t>详见附件：拟投入的设备</w:t>
      </w:r>
    </w:p>
    <w:p>
      <w:pPr>
        <w:pStyle w:val="null3"/>
        <w:ind w:firstLine="960"/>
      </w:pPr>
      <w:r>
        <w:rPr/>
        <w:t>详见附件：供应商认为有必要说明的事宜</w:t>
      </w:r>
    </w:p>
    <w:p>
      <w:pPr>
        <w:pStyle w:val="null3"/>
        <w:ind w:firstLine="960"/>
      </w:pPr>
      <w:r>
        <w:rPr/>
        <w:t>详见附件：《供应商参与采购活动的承诺函》</w:t>
      </w:r>
    </w:p>
    <w:p>
      <w:pPr>
        <w:pStyle w:val="null3"/>
        <w:ind w:firstLine="960"/>
      </w:pPr>
      <w:r>
        <w:rPr/>
        <w:t>详见附件：《拒绝政府采购领域商业贿赂承诺书》</w:t>
      </w:r>
    </w:p>
    <w:p>
      <w:pPr>
        <w:pStyle w:val="null3"/>
        <w:ind w:firstLine="960"/>
      </w:pPr>
      <w:r>
        <w:rPr/>
        <w:t>详见附件：商务条款响应偏离表</w:t>
      </w:r>
    </w:p>
    <w:p>
      <w:pPr>
        <w:pStyle w:val="null3"/>
        <w:ind w:firstLine="960"/>
      </w:pPr>
      <w:r>
        <w:rPr/>
        <w:t>详见附件：法定代表人授权委托书（格式）</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