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459572">
      <w:pPr>
        <w:adjustRightInd w:val="0"/>
        <w:snapToGrid w:val="0"/>
        <w:spacing w:line="360" w:lineRule="auto"/>
        <w:ind w:firstLine="643" w:firstLineChars="200"/>
        <w:jc w:val="center"/>
        <w:rPr>
          <w:rFonts w:hint="eastAsia" w:hAnsi="宋体"/>
          <w:highlight w:val="none"/>
        </w:rPr>
      </w:pPr>
      <w:r>
        <w:rPr>
          <w:rFonts w:hint="eastAsia" w:ascii="黑体" w:hAnsi="黑体" w:eastAsia="黑体" w:cs="黑体"/>
          <w:b/>
          <w:bCs/>
          <w:color w:val="auto"/>
          <w:kern w:val="2"/>
          <w:sz w:val="32"/>
          <w:szCs w:val="32"/>
          <w:highlight w:val="none"/>
          <w:lang w:val="zh-CN" w:eastAsia="zh-CN" w:bidi="ar-SA"/>
        </w:rPr>
        <w:t>拟签订的合同条款文本</w:t>
      </w:r>
    </w:p>
    <w:p w14:paraId="4991D27B">
      <w:pPr>
        <w:adjustRightInd w:val="0"/>
        <w:snapToGrid w:val="0"/>
        <w:spacing w:line="360" w:lineRule="auto"/>
        <w:ind w:firstLine="422" w:firstLineChars="200"/>
        <w:rPr>
          <w:rFonts w:hint="eastAsia" w:hAnsi="宋体"/>
          <w:b/>
          <w:highlight w:val="none"/>
        </w:rPr>
      </w:pPr>
    </w:p>
    <w:p w14:paraId="50447578">
      <w:pPr>
        <w:autoSpaceDE w:val="0"/>
        <w:autoSpaceDN w:val="0"/>
        <w:adjustRightInd w:val="0"/>
        <w:snapToGrid w:val="0"/>
        <w:spacing w:line="360" w:lineRule="auto"/>
        <w:ind w:firstLine="560" w:firstLineChars="20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 xml:space="preserve">甲方（采购人）： </w:t>
      </w:r>
    </w:p>
    <w:p w14:paraId="16B1170F">
      <w:pPr>
        <w:autoSpaceDE w:val="0"/>
        <w:autoSpaceDN w:val="0"/>
        <w:adjustRightInd w:val="0"/>
        <w:snapToGrid w:val="0"/>
        <w:spacing w:line="360" w:lineRule="auto"/>
        <w:ind w:firstLine="560" w:firstLineChars="20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 xml:space="preserve">乙方（成交供应商）： </w:t>
      </w:r>
    </w:p>
    <w:p w14:paraId="0CD47E89">
      <w:pPr>
        <w:autoSpaceDE w:val="0"/>
        <w:autoSpaceDN w:val="0"/>
        <w:adjustRightInd w:val="0"/>
        <w:snapToGrid w:val="0"/>
        <w:spacing w:line="360" w:lineRule="auto"/>
        <w:ind w:firstLine="560" w:firstLineChars="20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u w:val="single"/>
        </w:rPr>
        <w:t>陕西太白山国家级自然保护区2024年中央财政林业草原生态保护恢复资金项目(项目编号：YMD-2024262F)</w:t>
      </w:r>
      <w:r>
        <w:rPr>
          <w:rFonts w:hint="eastAsia" w:ascii="仿宋_GB2312" w:hAnsi="仿宋_GB2312" w:eastAsia="仿宋_GB2312" w:cs="仿宋_GB2312"/>
          <w:bCs/>
          <w:sz w:val="28"/>
          <w:szCs w:val="28"/>
          <w:highlight w:val="none"/>
        </w:rPr>
        <w:t>，由永明项目管理有限公司组织</w:t>
      </w:r>
      <w:r>
        <w:rPr>
          <w:rFonts w:hint="eastAsia" w:ascii="仿宋_GB2312" w:hAnsi="仿宋_GB2312" w:eastAsia="仿宋_GB2312" w:cs="仿宋_GB2312"/>
          <w:bCs/>
          <w:sz w:val="28"/>
          <w:szCs w:val="28"/>
          <w:highlight w:val="none"/>
          <w:lang w:eastAsia="zh-CN"/>
        </w:rPr>
        <w:t>招标</w:t>
      </w:r>
      <w:r>
        <w:rPr>
          <w:rFonts w:hint="eastAsia" w:ascii="仿宋_GB2312" w:hAnsi="仿宋_GB2312" w:eastAsia="仿宋_GB2312" w:cs="仿宋_GB2312"/>
          <w:bCs/>
          <w:sz w:val="28"/>
          <w:szCs w:val="28"/>
          <w:highlight w:val="none"/>
        </w:rPr>
        <w:t>，</w:t>
      </w:r>
      <w:r>
        <w:rPr>
          <w:rFonts w:hint="eastAsia" w:ascii="仿宋_GB2312" w:hAnsi="仿宋_GB2312" w:eastAsia="仿宋_GB2312" w:cs="仿宋_GB2312"/>
          <w:bCs/>
          <w:sz w:val="28"/>
          <w:szCs w:val="28"/>
          <w:highlight w:val="none"/>
          <w:u w:val="single"/>
        </w:rPr>
        <w:t xml:space="preserve">               </w:t>
      </w:r>
      <w:r>
        <w:rPr>
          <w:rFonts w:hint="eastAsia" w:ascii="仿宋_GB2312" w:hAnsi="仿宋_GB2312" w:eastAsia="仿宋_GB2312" w:cs="仿宋_GB2312"/>
          <w:bCs/>
          <w:sz w:val="28"/>
          <w:szCs w:val="28"/>
          <w:highlight w:val="none"/>
        </w:rPr>
        <w:t>(以下简称“甲方”)确定</w:t>
      </w:r>
      <w:r>
        <w:rPr>
          <w:rFonts w:hint="eastAsia" w:ascii="仿宋_GB2312" w:hAnsi="仿宋_GB2312" w:eastAsia="仿宋_GB2312" w:cs="仿宋_GB2312"/>
          <w:bCs/>
          <w:sz w:val="28"/>
          <w:szCs w:val="28"/>
          <w:highlight w:val="none"/>
          <w:u w:val="single"/>
        </w:rPr>
        <w:t xml:space="preserve">          </w:t>
      </w:r>
      <w:r>
        <w:rPr>
          <w:rFonts w:hint="eastAsia" w:ascii="仿宋_GB2312" w:hAnsi="仿宋_GB2312" w:eastAsia="仿宋_GB2312" w:cs="仿宋_GB2312"/>
          <w:bCs/>
          <w:sz w:val="28"/>
          <w:szCs w:val="28"/>
          <w:highlight w:val="none"/>
        </w:rPr>
        <w:t>（以下简称“乙方”）为该项目的成交供应商。</w:t>
      </w:r>
    </w:p>
    <w:p w14:paraId="5294AF3D">
      <w:pPr>
        <w:keepNext w:val="0"/>
        <w:keepLines w:val="0"/>
        <w:pageBreakBefore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依据《中华人民共和国</w:t>
      </w:r>
      <w:r>
        <w:rPr>
          <w:rFonts w:hint="eastAsia" w:ascii="仿宋_GB2312" w:hAnsi="仿宋_GB2312" w:eastAsia="仿宋_GB2312" w:cs="仿宋_GB2312"/>
          <w:bCs/>
          <w:sz w:val="28"/>
          <w:szCs w:val="28"/>
          <w:highlight w:val="none"/>
          <w:lang w:val="en-US" w:eastAsia="zh-CN"/>
        </w:rPr>
        <w:t>民法典</w:t>
      </w:r>
      <w:r>
        <w:rPr>
          <w:rFonts w:hint="eastAsia" w:ascii="仿宋_GB2312" w:hAnsi="仿宋_GB2312" w:eastAsia="仿宋_GB2312" w:cs="仿宋_GB2312"/>
          <w:bCs/>
          <w:sz w:val="28"/>
          <w:szCs w:val="28"/>
          <w:highlight w:val="none"/>
        </w:rPr>
        <w:t>》和《中华人民共和国政府采购法》之规定，经双方在平等、自愿、互利的基础上，签订本合同，共同信守。</w:t>
      </w:r>
    </w:p>
    <w:p w14:paraId="09366E3B">
      <w:pPr>
        <w:autoSpaceDE w:val="0"/>
        <w:autoSpaceDN w:val="0"/>
        <w:adjustRightInd w:val="0"/>
        <w:snapToGrid w:val="0"/>
        <w:spacing w:line="360" w:lineRule="auto"/>
        <w:ind w:firstLine="562" w:firstLineChars="200"/>
        <w:rPr>
          <w:rFonts w:hint="eastAsia" w:ascii="仿宋_GB2312" w:hAnsi="仿宋_GB2312" w:eastAsia="仿宋_GB2312" w:cs="仿宋_GB2312"/>
          <w:b/>
          <w:sz w:val="28"/>
          <w:szCs w:val="28"/>
          <w:highlight w:val="none"/>
        </w:rPr>
      </w:pPr>
      <w:r>
        <w:rPr>
          <w:rFonts w:hint="eastAsia" w:ascii="仿宋_GB2312" w:hAnsi="仿宋" w:eastAsia="仿宋_GB2312"/>
          <w:b/>
          <w:sz w:val="28"/>
          <w:szCs w:val="28"/>
          <w:lang w:val="en-US" w:eastAsia="zh-CN"/>
        </w:rPr>
        <w:t>一</w:t>
      </w:r>
      <w:r>
        <w:rPr>
          <w:rFonts w:hint="eastAsia" w:ascii="仿宋_GB2312" w:hAnsi="仿宋" w:eastAsia="仿宋_GB2312"/>
          <w:b/>
          <w:sz w:val="28"/>
          <w:szCs w:val="28"/>
        </w:rPr>
        <w:t>、委托工作内容</w:t>
      </w:r>
      <w:r>
        <w:rPr>
          <w:rFonts w:hint="eastAsia" w:ascii="仿宋_GB2312" w:hAnsi="仿宋" w:eastAsia="仿宋_GB2312"/>
          <w:b/>
          <w:sz w:val="28"/>
          <w:szCs w:val="28"/>
          <w:u w:val="single"/>
          <w:lang w:val="en-US" w:eastAsia="zh-CN"/>
        </w:rPr>
        <w:t xml:space="preserve">              </w:t>
      </w:r>
    </w:p>
    <w:p w14:paraId="4B67A308">
      <w:pPr>
        <w:keepNext w:val="0"/>
        <w:keepLines w:val="0"/>
        <w:pageBreakBefore w:val="0"/>
        <w:widowControl w:val="0"/>
        <w:kinsoku/>
        <w:wordWrap/>
        <w:overflowPunct/>
        <w:topLinePunct w:val="0"/>
        <w:bidi w:val="0"/>
        <w:adjustRightInd w:val="0"/>
        <w:snapToGrid w:val="0"/>
        <w:spacing w:line="360" w:lineRule="auto"/>
        <w:ind w:firstLine="562" w:firstLineChars="200"/>
        <w:textAlignment w:val="auto"/>
        <w:rPr>
          <w:rFonts w:hint="eastAsia" w:ascii="仿宋_GB2312" w:hAnsi="仿宋_GB2312" w:eastAsia="仿宋_GB2312" w:cs="仿宋_GB2312"/>
          <w:b/>
          <w:sz w:val="28"/>
          <w:szCs w:val="28"/>
          <w:highlight w:val="none"/>
        </w:rPr>
      </w:pPr>
      <w:r>
        <w:rPr>
          <w:rFonts w:hint="eastAsia" w:ascii="仿宋_GB2312" w:hAnsi="仿宋_GB2312" w:eastAsia="仿宋_GB2312" w:cs="仿宋_GB2312"/>
          <w:b/>
          <w:sz w:val="28"/>
          <w:szCs w:val="28"/>
          <w:highlight w:val="none"/>
          <w:lang w:val="en-US" w:eastAsia="zh-CN"/>
        </w:rPr>
        <w:t>二</w:t>
      </w:r>
      <w:r>
        <w:rPr>
          <w:rFonts w:hint="eastAsia" w:ascii="仿宋_GB2312" w:hAnsi="仿宋_GB2312" w:eastAsia="仿宋_GB2312" w:cs="仿宋_GB2312"/>
          <w:b/>
          <w:sz w:val="28"/>
          <w:szCs w:val="28"/>
          <w:highlight w:val="none"/>
        </w:rPr>
        <w:t>、合同价款</w:t>
      </w:r>
    </w:p>
    <w:p w14:paraId="2EF13803">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（一）合同总价款为人民币（大写）</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w:t>
      </w:r>
      <w:r>
        <w:rPr>
          <w:rFonts w:hint="eastAsia" w:ascii="微软雅黑" w:hAnsi="微软雅黑" w:eastAsia="微软雅黑" w:cs="微软雅黑"/>
          <w:sz w:val="28"/>
          <w:szCs w:val="28"/>
          <w:highlight w:val="none"/>
          <w:lang w:val="en-US" w:eastAsia="zh-CN"/>
        </w:rPr>
        <w:t>￥</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w:t>
      </w:r>
    </w:p>
    <w:p w14:paraId="66EF4CE4">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rPr>
        <w:t>（二）</w:t>
      </w:r>
      <w:r>
        <w:rPr>
          <w:rFonts w:hint="eastAsia" w:ascii="仿宋_GB2312" w:hAnsi="仿宋_GB2312" w:eastAsia="仿宋_GB2312" w:cs="仿宋_GB2312"/>
          <w:bCs/>
          <w:sz w:val="28"/>
          <w:szCs w:val="28"/>
          <w:highlight w:val="none"/>
        </w:rPr>
        <w:t>合同总价</w:t>
      </w:r>
      <w:r>
        <w:rPr>
          <w:rFonts w:hint="eastAsia" w:ascii="仿宋_GB2312" w:hAnsi="仿宋_GB2312" w:eastAsia="仿宋_GB2312" w:cs="仿宋_GB2312"/>
          <w:bCs/>
          <w:sz w:val="28"/>
          <w:szCs w:val="28"/>
          <w:highlight w:val="none"/>
          <w:lang w:val="en-US" w:eastAsia="zh-CN"/>
        </w:rPr>
        <w:t>包括</w:t>
      </w:r>
      <w:r>
        <w:rPr>
          <w:rFonts w:hint="eastAsia" w:ascii="仿宋_GB2312" w:hAnsi="仿宋_GB2312" w:eastAsia="仿宋_GB2312" w:cs="仿宋_GB2312"/>
          <w:bCs/>
          <w:sz w:val="28"/>
          <w:szCs w:val="28"/>
          <w:highlight w:val="none"/>
        </w:rPr>
        <w:t>但不限于</w:t>
      </w:r>
      <w:r>
        <w:rPr>
          <w:rFonts w:hint="eastAsia" w:ascii="仿宋_GB2312" w:hAnsi="仿宋_GB2312" w:eastAsia="仿宋_GB2312" w:cs="仿宋_GB2312"/>
          <w:b w:val="0"/>
          <w:bCs w:val="0"/>
          <w:sz w:val="28"/>
          <w:szCs w:val="28"/>
          <w:highlight w:val="none"/>
          <w:lang w:val="en-US" w:eastAsia="zh-CN"/>
        </w:rPr>
        <w:t>人工费</w:t>
      </w:r>
      <w:r>
        <w:rPr>
          <w:rFonts w:hint="eastAsia" w:ascii="仿宋_GB2312" w:hAnsi="仿宋_GB2312" w:eastAsia="仿宋_GB2312" w:cs="仿宋_GB2312"/>
          <w:b w:val="0"/>
          <w:bCs w:val="0"/>
          <w:sz w:val="28"/>
          <w:szCs w:val="28"/>
          <w:highlight w:val="none"/>
        </w:rPr>
        <w:t>、</w:t>
      </w:r>
      <w:r>
        <w:rPr>
          <w:rFonts w:hint="eastAsia" w:ascii="仿宋_GB2312" w:hAnsi="仿宋_GB2312" w:eastAsia="仿宋_GB2312" w:cs="仿宋_GB2312"/>
          <w:b w:val="0"/>
          <w:bCs w:val="0"/>
          <w:sz w:val="28"/>
          <w:szCs w:val="28"/>
          <w:highlight w:val="none"/>
          <w:lang w:val="en-US" w:eastAsia="zh-CN"/>
        </w:rPr>
        <w:t>设备费</w:t>
      </w:r>
      <w:r>
        <w:rPr>
          <w:rFonts w:hint="eastAsia" w:ascii="仿宋_GB2312" w:hAnsi="仿宋_GB2312" w:eastAsia="仿宋_GB2312" w:cs="仿宋_GB2312"/>
          <w:b w:val="0"/>
          <w:bCs w:val="0"/>
          <w:sz w:val="28"/>
          <w:szCs w:val="28"/>
          <w:highlight w:val="none"/>
          <w:lang w:eastAsia="zh-CN"/>
        </w:rPr>
        <w:t>、</w:t>
      </w:r>
      <w:r>
        <w:rPr>
          <w:rFonts w:hint="eastAsia" w:ascii="仿宋_GB2312" w:hAnsi="仿宋_GB2312" w:eastAsia="仿宋_GB2312" w:cs="仿宋_GB2312"/>
          <w:b w:val="0"/>
          <w:bCs w:val="0"/>
          <w:sz w:val="28"/>
          <w:szCs w:val="28"/>
          <w:highlight w:val="none"/>
          <w:lang w:val="en-US" w:eastAsia="zh-CN"/>
        </w:rPr>
        <w:t>交通</w:t>
      </w:r>
      <w:r>
        <w:rPr>
          <w:rFonts w:hint="eastAsia" w:ascii="仿宋_GB2312" w:hAnsi="仿宋_GB2312" w:eastAsia="仿宋_GB2312" w:cs="仿宋_GB2312"/>
          <w:b w:val="0"/>
          <w:bCs w:val="0"/>
          <w:sz w:val="28"/>
          <w:szCs w:val="28"/>
          <w:highlight w:val="none"/>
          <w:lang w:eastAsia="zh-CN"/>
        </w:rPr>
        <w:t>费、</w:t>
      </w:r>
      <w:r>
        <w:rPr>
          <w:rFonts w:hint="eastAsia" w:ascii="仿宋_GB2312" w:hAnsi="仿宋_GB2312" w:eastAsia="仿宋_GB2312" w:cs="仿宋_GB2312"/>
          <w:b w:val="0"/>
          <w:bCs w:val="0"/>
          <w:sz w:val="28"/>
          <w:szCs w:val="28"/>
          <w:highlight w:val="none"/>
          <w:lang w:val="en-US" w:eastAsia="zh-CN"/>
        </w:rPr>
        <w:t>住宿费</w:t>
      </w:r>
      <w:r>
        <w:rPr>
          <w:rFonts w:hint="eastAsia" w:ascii="仿宋_GB2312" w:hAnsi="仿宋_GB2312" w:eastAsia="仿宋_GB2312" w:cs="仿宋_GB2312"/>
          <w:bCs/>
          <w:sz w:val="28"/>
          <w:szCs w:val="28"/>
          <w:highlight w:val="none"/>
        </w:rPr>
        <w:t>、税金等一切相关费用，</w:t>
      </w:r>
      <w:r>
        <w:rPr>
          <w:rFonts w:hint="eastAsia" w:ascii="仿宋_GB2312" w:hAnsi="仿宋_GB2312" w:eastAsia="仿宋_GB2312" w:cs="仿宋_GB2312"/>
          <w:sz w:val="28"/>
          <w:szCs w:val="28"/>
          <w:highlight w:val="none"/>
        </w:rPr>
        <w:t>服务期内甲方不再增加任何费用</w:t>
      </w:r>
      <w:r>
        <w:rPr>
          <w:rFonts w:hint="eastAsia" w:ascii="仿宋_GB2312" w:hAnsi="仿宋_GB2312" w:eastAsia="仿宋_GB2312" w:cs="仿宋_GB2312"/>
          <w:color w:val="auto"/>
          <w:sz w:val="28"/>
          <w:szCs w:val="28"/>
          <w:highlight w:val="none"/>
          <w:lang w:val="en-US" w:eastAsia="zh-CN"/>
        </w:rPr>
        <w:t>。</w:t>
      </w:r>
    </w:p>
    <w:p w14:paraId="6E63BFE0">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（三）合同总价一次性包死，不受市场价格变化因素的影响。</w:t>
      </w:r>
    </w:p>
    <w:p w14:paraId="5BC71DBC">
      <w:pPr>
        <w:keepNext w:val="0"/>
        <w:keepLines w:val="0"/>
        <w:pageBreakBefore w:val="0"/>
        <w:widowControl w:val="0"/>
        <w:kinsoku/>
        <w:wordWrap/>
        <w:overflowPunct/>
        <w:topLinePunct w:val="0"/>
        <w:bidi w:val="0"/>
        <w:adjustRightInd w:val="0"/>
        <w:snapToGrid w:val="0"/>
        <w:spacing w:line="360" w:lineRule="auto"/>
        <w:ind w:firstLine="562" w:firstLineChars="200"/>
        <w:textAlignment w:val="auto"/>
        <w:rPr>
          <w:rFonts w:hint="eastAsia" w:ascii="仿宋_GB2312" w:hAnsi="仿宋_GB2312" w:eastAsia="仿宋_GB2312" w:cs="仿宋_GB2312"/>
          <w:b/>
          <w:sz w:val="28"/>
          <w:szCs w:val="28"/>
          <w:highlight w:val="none"/>
        </w:rPr>
      </w:pPr>
      <w:r>
        <w:rPr>
          <w:rFonts w:hint="eastAsia" w:ascii="仿宋_GB2312" w:hAnsi="仿宋_GB2312" w:eastAsia="仿宋_GB2312" w:cs="仿宋_GB2312"/>
          <w:b/>
          <w:sz w:val="28"/>
          <w:szCs w:val="28"/>
          <w:highlight w:val="none"/>
          <w:lang w:val="en-US" w:eastAsia="zh-CN"/>
        </w:rPr>
        <w:t>三</w:t>
      </w:r>
      <w:r>
        <w:rPr>
          <w:rFonts w:hint="eastAsia" w:ascii="仿宋_GB2312" w:hAnsi="仿宋_GB2312" w:eastAsia="仿宋_GB2312" w:cs="仿宋_GB2312"/>
          <w:b/>
          <w:sz w:val="28"/>
          <w:szCs w:val="28"/>
          <w:highlight w:val="none"/>
        </w:rPr>
        <w:t>、款项结算</w:t>
      </w:r>
    </w:p>
    <w:p w14:paraId="53505CD0">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bCs/>
          <w:color w:val="auto"/>
          <w:sz w:val="28"/>
          <w:szCs w:val="28"/>
          <w:highlight w:val="none"/>
          <w:lang w:val="en-US" w:eastAsia="zh-CN"/>
        </w:rPr>
      </w:pPr>
      <w:r>
        <w:rPr>
          <w:rFonts w:hint="eastAsia" w:ascii="仿宋_GB2312" w:hAnsi="仿宋_GB2312" w:eastAsia="仿宋_GB2312" w:cs="仿宋_GB2312"/>
          <w:bCs/>
          <w:color w:val="auto"/>
          <w:sz w:val="28"/>
          <w:szCs w:val="28"/>
          <w:highlight w:val="none"/>
        </w:rPr>
        <w:t>（一）项款支</w:t>
      </w:r>
      <w:r>
        <w:rPr>
          <w:rFonts w:hint="eastAsia" w:ascii="仿宋_GB2312" w:hAnsi="仿宋_GB2312" w:eastAsia="仿宋_GB2312" w:cs="仿宋_GB2312"/>
          <w:sz w:val="28"/>
          <w:szCs w:val="28"/>
          <w:highlight w:val="none"/>
        </w:rPr>
        <w:t xml:space="preserve">付: </w:t>
      </w:r>
      <w:r>
        <w:rPr>
          <w:rFonts w:hint="eastAsia" w:ascii="仿宋_GB2312" w:hAnsi="仿宋_GB2312" w:eastAsia="仿宋_GB2312" w:cs="仿宋_GB2312"/>
          <w:sz w:val="28"/>
          <w:szCs w:val="28"/>
          <w:highlight w:val="none"/>
          <w:lang w:val="en-US" w:eastAsia="zh-CN"/>
        </w:rPr>
        <w:t xml:space="preserve"> 合同签订后 ，达到付款条件起 10 日内，支付合同总金额的 60.00%； 项目通过最终验收后 ，达到付款条件起 10 日内，支付合同总金额的 40.00%，即</w:t>
      </w:r>
      <w:r>
        <w:rPr>
          <w:rFonts w:hint="eastAsia" w:ascii="仿宋_GB2312" w:hAnsi="仿宋_GB2312" w:eastAsia="仿宋_GB2312" w:cs="仿宋_GB2312"/>
          <w:sz w:val="28"/>
          <w:szCs w:val="28"/>
          <w:highlight w:val="none"/>
          <w:u w:val="single"/>
          <w:lang w:val="en-US" w:eastAsia="zh-CN"/>
        </w:rPr>
        <w:t>¥     元,大写：人民币    元。</w:t>
      </w:r>
    </w:p>
    <w:p w14:paraId="6FEEB7F8">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（二）支付方式：银行转账。</w:t>
      </w:r>
    </w:p>
    <w:p w14:paraId="09820224">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（三）结算方式：乙方在接受付款前，</w:t>
      </w:r>
      <w:r>
        <w:rPr>
          <w:rFonts w:hint="eastAsia" w:ascii="仿宋_GB2312" w:hAnsi="仿宋_GB2312" w:eastAsia="仿宋_GB2312" w:cs="仿宋_GB2312"/>
          <w:sz w:val="28"/>
          <w:szCs w:val="28"/>
          <w:highlight w:val="none"/>
          <w:lang w:val="en-US" w:eastAsia="zh-CN"/>
        </w:rPr>
        <w:t>根据支付方式开具</w:t>
      </w:r>
      <w:r>
        <w:rPr>
          <w:rFonts w:hint="eastAsia" w:ascii="仿宋_GB2312" w:hAnsi="仿宋_GB2312" w:eastAsia="仿宋_GB2312" w:cs="仿宋_GB2312"/>
          <w:sz w:val="28"/>
          <w:szCs w:val="28"/>
          <w:highlight w:val="none"/>
        </w:rPr>
        <w:t>发票给甲方。</w:t>
      </w:r>
    </w:p>
    <w:p w14:paraId="0CEF4FA3">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（四）验收依据：根据招标文件、投标文件、合同及国家相关标准：验收清单（注明各成果资料的品名、数量）。</w:t>
      </w:r>
    </w:p>
    <w:p w14:paraId="6C3BDF55">
      <w:pPr>
        <w:keepNext w:val="0"/>
        <w:keepLines w:val="0"/>
        <w:pageBreakBefore w:val="0"/>
        <w:widowControl w:val="0"/>
        <w:kinsoku/>
        <w:wordWrap/>
        <w:overflowPunct/>
        <w:topLinePunct w:val="0"/>
        <w:autoSpaceDE w:val="0"/>
        <w:autoSpaceDN w:val="0"/>
        <w:bidi w:val="0"/>
        <w:adjustRightInd w:val="0"/>
        <w:snapToGrid w:val="0"/>
        <w:spacing w:line="360" w:lineRule="auto"/>
        <w:ind w:firstLine="562" w:firstLineChars="200"/>
        <w:textAlignment w:val="auto"/>
        <w:rPr>
          <w:rFonts w:hint="eastAsia" w:ascii="仿宋_GB2312" w:hAnsi="仿宋_GB2312" w:eastAsia="仿宋_GB2312" w:cs="仿宋_GB2312"/>
          <w:b/>
          <w:bCs/>
          <w:sz w:val="28"/>
          <w:szCs w:val="28"/>
          <w:highlight w:val="none"/>
        </w:rPr>
      </w:pPr>
      <w:r>
        <w:rPr>
          <w:rFonts w:hint="eastAsia" w:ascii="仿宋_GB2312" w:hAnsi="仿宋_GB2312" w:eastAsia="仿宋_GB2312" w:cs="仿宋_GB2312"/>
          <w:b/>
          <w:bCs/>
          <w:sz w:val="28"/>
          <w:szCs w:val="28"/>
          <w:highlight w:val="none"/>
          <w:lang w:val="en-US" w:eastAsia="zh-CN"/>
        </w:rPr>
        <w:t>四</w:t>
      </w:r>
      <w:r>
        <w:rPr>
          <w:rFonts w:hint="eastAsia" w:ascii="仿宋_GB2312" w:hAnsi="仿宋_GB2312" w:eastAsia="仿宋_GB2312" w:cs="仿宋_GB2312"/>
          <w:b/>
          <w:bCs/>
          <w:sz w:val="28"/>
          <w:szCs w:val="28"/>
          <w:highlight w:val="none"/>
        </w:rPr>
        <w:t>、服务要求</w:t>
      </w:r>
    </w:p>
    <w:p w14:paraId="4DE7C609">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150"/>
        <w:textAlignment w:val="auto"/>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color w:val="auto"/>
          <w:sz w:val="28"/>
          <w:szCs w:val="28"/>
          <w:highlight w:val="none"/>
        </w:rPr>
        <w:t>（一）</w:t>
      </w:r>
      <w:r>
        <w:rPr>
          <w:rFonts w:hint="eastAsia" w:ascii="仿宋_GB2312" w:hAnsi="仿宋_GB2312" w:eastAsia="仿宋_GB2312" w:cs="仿宋_GB2312"/>
          <w:bCs/>
          <w:color w:val="auto"/>
          <w:sz w:val="28"/>
          <w:szCs w:val="28"/>
          <w:highlight w:val="none"/>
          <w:lang w:val="en-US" w:eastAsia="zh-CN"/>
        </w:rPr>
        <w:t>服务期限</w:t>
      </w:r>
      <w:r>
        <w:rPr>
          <w:rFonts w:hint="eastAsia" w:ascii="仿宋_GB2312" w:hAnsi="仿宋_GB2312" w:eastAsia="仿宋_GB2312" w:cs="仿宋_GB2312"/>
          <w:bCs/>
          <w:color w:val="auto"/>
          <w:sz w:val="28"/>
          <w:szCs w:val="28"/>
          <w:highlight w:val="none"/>
        </w:rPr>
        <w:t>：</w:t>
      </w:r>
      <w:r>
        <w:rPr>
          <w:rFonts w:hint="eastAsia" w:ascii="仿宋_GB2312" w:hAnsi="仿宋_GB2312" w:eastAsia="仿宋_GB2312" w:cs="仿宋_GB2312"/>
          <w:bCs/>
          <w:color w:val="auto"/>
          <w:sz w:val="28"/>
          <w:szCs w:val="28"/>
          <w:highlight w:val="none"/>
          <w:lang w:val="en-US" w:eastAsia="zh-CN"/>
        </w:rPr>
        <w:t>1年。</w:t>
      </w:r>
      <w:r>
        <w:rPr>
          <w:rFonts w:hint="eastAsia" w:ascii="仿宋_GB2312" w:hAnsi="仿宋_GB2312" w:eastAsia="仿宋_GB2312" w:cs="仿宋_GB2312"/>
          <w:bCs/>
          <w:color w:val="auto"/>
          <w:kern w:val="0"/>
          <w:sz w:val="28"/>
          <w:szCs w:val="28"/>
          <w:highlight w:val="none"/>
        </w:rPr>
        <w:br w:type="textWrapping"/>
      </w:r>
      <w:r>
        <w:rPr>
          <w:rFonts w:hint="eastAsia" w:ascii="仿宋_GB2312" w:hAnsi="仿宋_GB2312" w:eastAsia="仿宋_GB2312" w:cs="仿宋_GB2312"/>
          <w:bCs/>
          <w:kern w:val="0"/>
          <w:sz w:val="28"/>
          <w:szCs w:val="28"/>
          <w:highlight w:val="none"/>
        </w:rPr>
        <w:t xml:space="preserve">   </w:t>
      </w:r>
      <w:r>
        <w:rPr>
          <w:rFonts w:hint="eastAsia" w:ascii="仿宋_GB2312" w:hAnsi="仿宋_GB2312" w:eastAsia="仿宋_GB2312" w:cs="仿宋_GB2312"/>
          <w:bCs/>
          <w:sz w:val="28"/>
          <w:szCs w:val="28"/>
          <w:highlight w:val="none"/>
        </w:rPr>
        <w:t>（二）服务地点：</w:t>
      </w:r>
      <w:r>
        <w:rPr>
          <w:rFonts w:hint="eastAsia" w:ascii="仿宋_GB2312" w:hAnsi="仿宋_GB2312" w:eastAsia="仿宋_GB2312" w:cs="仿宋_GB2312"/>
          <w:bCs/>
          <w:sz w:val="28"/>
          <w:szCs w:val="28"/>
          <w:highlight w:val="none"/>
          <w:lang w:val="en-US" w:eastAsia="zh-CN"/>
        </w:rPr>
        <w:t>采购人指定地点</w:t>
      </w:r>
      <w:r>
        <w:rPr>
          <w:rFonts w:hint="eastAsia" w:ascii="仿宋_GB2312" w:hAnsi="仿宋_GB2312" w:eastAsia="仿宋_GB2312" w:cs="仿宋_GB2312"/>
          <w:bCs/>
          <w:sz w:val="28"/>
          <w:szCs w:val="28"/>
          <w:highlight w:val="none"/>
        </w:rPr>
        <w:t>。</w:t>
      </w:r>
    </w:p>
    <w:p w14:paraId="4D9D5972">
      <w:pPr>
        <w:keepNext w:val="0"/>
        <w:keepLines w:val="0"/>
        <w:pageBreakBefore w:val="0"/>
        <w:widowControl w:val="0"/>
        <w:kinsoku/>
        <w:wordWrap/>
        <w:overflowPunct/>
        <w:topLinePunct w:val="0"/>
        <w:bidi w:val="0"/>
        <w:adjustRightInd w:val="0"/>
        <w:snapToGrid w:val="0"/>
        <w:spacing w:line="360" w:lineRule="auto"/>
        <w:ind w:left="559" w:leftChars="266" w:firstLine="0" w:firstLineChars="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b/>
          <w:bCs/>
          <w:sz w:val="28"/>
          <w:szCs w:val="28"/>
          <w:highlight w:val="none"/>
          <w:lang w:val="en-US" w:eastAsia="zh-CN"/>
        </w:rPr>
        <w:t>五</w:t>
      </w:r>
      <w:r>
        <w:rPr>
          <w:rFonts w:hint="eastAsia" w:ascii="仿宋_GB2312" w:hAnsi="仿宋_GB2312" w:eastAsia="仿宋_GB2312" w:cs="仿宋_GB2312"/>
          <w:b/>
          <w:bCs/>
          <w:sz w:val="28"/>
          <w:szCs w:val="28"/>
          <w:highlight w:val="none"/>
        </w:rPr>
        <w:t>、服务承诺：</w:t>
      </w:r>
      <w:r>
        <w:rPr>
          <w:rFonts w:hint="eastAsia" w:ascii="仿宋_GB2312" w:hAnsi="仿宋_GB2312" w:eastAsia="仿宋_GB2312" w:cs="仿宋_GB2312"/>
          <w:sz w:val="28"/>
          <w:szCs w:val="28"/>
          <w:highlight w:val="none"/>
        </w:rPr>
        <w:t>要求具有完善的管理及服务体系、高效的工作作风。</w:t>
      </w:r>
      <w:r>
        <w:rPr>
          <w:rFonts w:hint="eastAsia" w:ascii="仿宋_GB2312" w:hAnsi="仿宋_GB2312" w:eastAsia="仿宋_GB2312" w:cs="仿宋_GB2312"/>
          <w:b/>
          <w:sz w:val="28"/>
          <w:szCs w:val="28"/>
          <w:highlight w:val="none"/>
          <w:lang w:val="en-US" w:eastAsia="zh-CN"/>
        </w:rPr>
        <w:t>六</w:t>
      </w:r>
      <w:r>
        <w:rPr>
          <w:rFonts w:hint="eastAsia" w:ascii="仿宋_GB2312" w:hAnsi="仿宋_GB2312" w:eastAsia="仿宋_GB2312" w:cs="仿宋_GB2312"/>
          <w:b/>
          <w:sz w:val="28"/>
          <w:szCs w:val="28"/>
          <w:highlight w:val="none"/>
        </w:rPr>
        <w:t>、</w:t>
      </w:r>
      <w:r>
        <w:rPr>
          <w:rFonts w:hint="eastAsia" w:ascii="仿宋_GB2312" w:hAnsi="仿宋_GB2312" w:eastAsia="仿宋_GB2312" w:cs="仿宋_GB2312"/>
          <w:b/>
          <w:bCs/>
          <w:sz w:val="28"/>
          <w:szCs w:val="28"/>
          <w:highlight w:val="none"/>
          <w:lang w:val="en-US" w:eastAsia="zh-CN"/>
        </w:rPr>
        <w:t>权利和义务</w:t>
      </w:r>
      <w:r>
        <w:rPr>
          <w:rFonts w:hint="eastAsia" w:ascii="仿宋_GB2312" w:hAnsi="仿宋_GB2312" w:eastAsia="仿宋_GB2312" w:cs="仿宋_GB2312"/>
          <w:sz w:val="28"/>
          <w:szCs w:val="28"/>
          <w:highlight w:val="none"/>
          <w:lang w:val="en-US" w:eastAsia="zh-CN"/>
        </w:rPr>
        <w:t xml:space="preserve"> </w:t>
      </w:r>
    </w:p>
    <w:p w14:paraId="7D4C2B65">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（一）</w:t>
      </w:r>
      <w:r>
        <w:rPr>
          <w:rFonts w:hint="eastAsia" w:ascii="仿宋_GB2312" w:hAnsi="仿宋_GB2312" w:eastAsia="仿宋_GB2312" w:cs="仿宋_GB2312"/>
          <w:sz w:val="28"/>
          <w:szCs w:val="28"/>
          <w:highlight w:val="none"/>
          <w:lang w:val="en-US" w:eastAsia="zh-CN"/>
        </w:rPr>
        <w:t xml:space="preserve">甲方权利与义务 </w:t>
      </w:r>
    </w:p>
    <w:p w14:paraId="2B843377">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 xml:space="preserve">1、甲方有权对乙方的项目实施情况进行检查和监督，对检查中发现的问题及时向乙方提出书面或口头改进意见，并要求乙方限期予以整改。对乙方不符合本项目要求规定，造成严重影响的行为进行处罚。 </w:t>
      </w:r>
    </w:p>
    <w:p w14:paraId="35F1DF7F">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 xml:space="preserve">2、甲方有权监督检查乙方的检查情况。 </w:t>
      </w:r>
    </w:p>
    <w:p w14:paraId="30DD030E">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 xml:space="preserve">3、甲方可要求乙方调整不合格的服务人员，并于5日内调整到位。 </w:t>
      </w:r>
    </w:p>
    <w:p w14:paraId="3FD79B8E">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 xml:space="preserve">4、双方可根据政策的变动并结合实际情况对合同项目内容进行修改和补充，对项目内容的修改和补充双方以书面补充协议形式做出。 </w:t>
      </w:r>
    </w:p>
    <w:p w14:paraId="158539F3">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 xml:space="preserve">5、甲方有权调阅乙方关于该项目的全部工作资料，并对本项目的检查和研究成果拥有所有权。 </w:t>
      </w:r>
    </w:p>
    <w:p w14:paraId="4F8A47E0">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 xml:space="preserve">（二）乙方权利和义务 </w:t>
      </w:r>
    </w:p>
    <w:p w14:paraId="26CDA9C0">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 xml:space="preserve">1、乙方应按照国家服务规范、标准、规程和甲方的采购需求和服务要求进行工作，根据甲方要求按时提交质量合格的服务成果，满足甲方需求。 </w:t>
      </w:r>
    </w:p>
    <w:p w14:paraId="60B031AF">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 xml:space="preserve">2、乙方有权对业务工作提出建议。 </w:t>
      </w:r>
    </w:p>
    <w:p w14:paraId="03B98EF9">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 xml:space="preserve">3、乙方应接受甲方的检查监督及指导，完成甲方依合同约定交办的各项工作任务。 </w:t>
      </w:r>
    </w:p>
    <w:p w14:paraId="3CAD9894">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 xml:space="preserve">4、按合同约定要求开展工作，如有改变，乙方应提出书面申请，并征得甲方的书面同意。 </w:t>
      </w:r>
    </w:p>
    <w:p w14:paraId="2CD112D0">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 xml:space="preserve">5、乙方负责检查人员的管理，确保人员足额到位、并且具备足够的能力以满足岗位需要。乙方应在签订合同后5日内，按照响应文件的承诺，完成组建足额检查队员上岗。乙方对所人员负责，对人员进行车辆行驶、现场检查、检查工具使用等安全教育，人员管理中出现的一切问题与甲方无关。 </w:t>
      </w:r>
    </w:p>
    <w:p w14:paraId="094F432B">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 xml:space="preserve">6、乙方应向甲方提供工作人员名单，并保证检查人员的相对稳定。同时乙方应为本项目设置固定项目管理团队，并保证团队骨干的稳定性。 </w:t>
      </w:r>
    </w:p>
    <w:p w14:paraId="2AEE7838">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bCs/>
          <w:sz w:val="28"/>
          <w:szCs w:val="28"/>
          <w:highlight w:val="none"/>
        </w:rPr>
      </w:pPr>
      <w:r>
        <w:rPr>
          <w:rFonts w:hint="eastAsia" w:ascii="仿宋_GB2312" w:hAnsi="仿宋_GB2312" w:eastAsia="仿宋_GB2312" w:cs="仿宋_GB2312"/>
          <w:sz w:val="28"/>
          <w:szCs w:val="28"/>
          <w:highlight w:val="none"/>
          <w:lang w:val="en-US" w:eastAsia="zh-CN"/>
        </w:rPr>
        <w:t xml:space="preserve">7、在现场的乙方工作人员，应遵守甲方或管理单位的安全保卫及其他有关的规章制度，承担其有关资料保密义务。对于不称职或不合适服务岗位的乙方工作人员，甲方有权要求乙方立即更换。 </w:t>
      </w:r>
    </w:p>
    <w:p w14:paraId="4A188D37">
      <w:pPr>
        <w:keepNext w:val="0"/>
        <w:keepLines w:val="0"/>
        <w:pageBreakBefore w:val="0"/>
        <w:widowControl w:val="0"/>
        <w:kinsoku/>
        <w:wordWrap/>
        <w:overflowPunct/>
        <w:topLinePunct w:val="0"/>
        <w:autoSpaceDE w:val="0"/>
        <w:autoSpaceDN w:val="0"/>
        <w:bidi w:val="0"/>
        <w:adjustRightInd w:val="0"/>
        <w:snapToGrid w:val="0"/>
        <w:spacing w:line="360" w:lineRule="auto"/>
        <w:ind w:firstLine="562" w:firstLineChars="200"/>
        <w:textAlignment w:val="auto"/>
        <w:rPr>
          <w:rFonts w:hint="eastAsia" w:ascii="仿宋_GB2312" w:hAnsi="仿宋_GB2312" w:eastAsia="仿宋_GB2312" w:cs="仿宋_GB2312"/>
          <w:b/>
          <w:sz w:val="28"/>
          <w:szCs w:val="28"/>
          <w:highlight w:val="none"/>
          <w:lang w:val="en-US" w:eastAsia="zh-CN"/>
        </w:rPr>
      </w:pPr>
      <w:r>
        <w:rPr>
          <w:rFonts w:hint="eastAsia" w:ascii="仿宋_GB2312" w:hAnsi="仿宋_GB2312" w:eastAsia="仿宋_GB2312" w:cs="仿宋_GB2312"/>
          <w:b/>
          <w:sz w:val="28"/>
          <w:szCs w:val="28"/>
          <w:highlight w:val="none"/>
          <w:lang w:val="en-US" w:eastAsia="zh-CN"/>
        </w:rPr>
        <w:t>七</w:t>
      </w:r>
      <w:r>
        <w:rPr>
          <w:rFonts w:hint="eastAsia" w:ascii="仿宋_GB2312" w:hAnsi="仿宋_GB2312" w:eastAsia="仿宋_GB2312" w:cs="仿宋_GB2312"/>
          <w:b/>
          <w:sz w:val="28"/>
          <w:szCs w:val="28"/>
          <w:highlight w:val="none"/>
        </w:rPr>
        <w:t>、</w:t>
      </w:r>
      <w:r>
        <w:rPr>
          <w:rFonts w:hint="eastAsia" w:ascii="仿宋_GB2312" w:hAnsi="仿宋_GB2312" w:eastAsia="仿宋_GB2312" w:cs="仿宋_GB2312"/>
          <w:b/>
          <w:sz w:val="28"/>
          <w:szCs w:val="28"/>
          <w:highlight w:val="none"/>
          <w:lang w:val="en-US" w:eastAsia="zh-CN"/>
        </w:rPr>
        <w:t>验收</w:t>
      </w:r>
    </w:p>
    <w:p w14:paraId="56FCFB17">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（一）本项目验收费用，由乙方自行承担。</w:t>
      </w:r>
    </w:p>
    <w:p w14:paraId="51262090">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（二）服务期满后，由乙方向甲方递交验收通知书，经甲方确认后，组织乙方进行系统验收。验收合格后，填写项目验收单作为对本次服务的最终认可。</w:t>
      </w:r>
    </w:p>
    <w:p w14:paraId="7B430271">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（三）验收依据：</w:t>
      </w:r>
    </w:p>
    <w:p w14:paraId="76395338">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bCs/>
          <w:sz w:val="28"/>
          <w:szCs w:val="28"/>
          <w:highlight w:val="none"/>
          <w:lang w:eastAsia="zh-CN"/>
        </w:rPr>
      </w:pPr>
      <w:r>
        <w:rPr>
          <w:rFonts w:hint="eastAsia" w:ascii="仿宋_GB2312" w:hAnsi="仿宋_GB2312" w:eastAsia="仿宋_GB2312" w:cs="仿宋_GB2312"/>
          <w:bCs/>
          <w:sz w:val="28"/>
          <w:szCs w:val="28"/>
          <w:highlight w:val="none"/>
        </w:rPr>
        <w:t>根据招标文件、投标文件、合同及国家相关标准</w:t>
      </w:r>
      <w:r>
        <w:rPr>
          <w:rFonts w:hint="eastAsia" w:ascii="仿宋_GB2312" w:hAnsi="仿宋_GB2312" w:eastAsia="仿宋_GB2312" w:cs="仿宋_GB2312"/>
          <w:bCs/>
          <w:sz w:val="28"/>
          <w:szCs w:val="28"/>
          <w:highlight w:val="none"/>
          <w:lang w:eastAsia="zh-CN"/>
        </w:rPr>
        <w:t>。</w:t>
      </w:r>
    </w:p>
    <w:p w14:paraId="33787B48">
      <w:pPr>
        <w:keepNext w:val="0"/>
        <w:keepLines w:val="0"/>
        <w:pageBreakBefore w:val="0"/>
        <w:widowControl w:val="0"/>
        <w:kinsoku/>
        <w:wordWrap/>
        <w:overflowPunct/>
        <w:topLinePunct w:val="0"/>
        <w:bidi w:val="0"/>
        <w:adjustRightInd w:val="0"/>
        <w:snapToGrid w:val="0"/>
        <w:spacing w:line="360" w:lineRule="auto"/>
        <w:ind w:firstLine="562" w:firstLineChars="200"/>
        <w:textAlignment w:val="auto"/>
        <w:rPr>
          <w:rFonts w:hint="eastAsia" w:ascii="仿宋_GB2312" w:hAnsi="仿宋_GB2312" w:eastAsia="仿宋_GB2312" w:cs="仿宋_GB2312"/>
          <w:b/>
          <w:sz w:val="28"/>
          <w:szCs w:val="28"/>
          <w:highlight w:val="none"/>
        </w:rPr>
      </w:pPr>
      <w:r>
        <w:rPr>
          <w:rFonts w:hint="eastAsia" w:ascii="仿宋_GB2312" w:hAnsi="仿宋_GB2312" w:eastAsia="仿宋_GB2312" w:cs="仿宋_GB2312"/>
          <w:b/>
          <w:sz w:val="28"/>
          <w:szCs w:val="28"/>
          <w:highlight w:val="none"/>
          <w:lang w:val="en-US" w:eastAsia="zh-CN"/>
        </w:rPr>
        <w:t>八、</w:t>
      </w:r>
      <w:r>
        <w:rPr>
          <w:rFonts w:hint="eastAsia" w:ascii="仿宋_GB2312" w:hAnsi="仿宋_GB2312" w:eastAsia="仿宋_GB2312" w:cs="仿宋_GB2312"/>
          <w:b/>
          <w:sz w:val="28"/>
          <w:szCs w:val="28"/>
          <w:highlight w:val="none"/>
        </w:rPr>
        <w:t>其它事项</w:t>
      </w:r>
    </w:p>
    <w:p w14:paraId="7D140EE6">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（一）乙方不得将项目转让、分包给其它单位或个人。</w:t>
      </w:r>
    </w:p>
    <w:p w14:paraId="49DC03EA">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b w:val="0"/>
          <w:bCs/>
          <w:sz w:val="28"/>
          <w:szCs w:val="28"/>
          <w:highlight w:val="none"/>
        </w:rPr>
      </w:pPr>
      <w:r>
        <w:rPr>
          <w:rFonts w:hint="eastAsia" w:ascii="仿宋_GB2312" w:hAnsi="仿宋_GB2312" w:eastAsia="仿宋_GB2312" w:cs="仿宋_GB2312"/>
          <w:b w:val="0"/>
          <w:bCs/>
          <w:sz w:val="28"/>
          <w:szCs w:val="28"/>
          <w:highlight w:val="none"/>
        </w:rPr>
        <w:t>（二）乙方的磋商响应文件和承诺等内容将列入合同。</w:t>
      </w:r>
    </w:p>
    <w:p w14:paraId="27B56407">
      <w:pPr>
        <w:keepNext w:val="0"/>
        <w:keepLines w:val="0"/>
        <w:pageBreakBefore w:val="0"/>
        <w:widowControl w:val="0"/>
        <w:kinsoku/>
        <w:wordWrap/>
        <w:overflowPunct/>
        <w:topLinePunct w:val="0"/>
        <w:bidi w:val="0"/>
        <w:adjustRightInd w:val="0"/>
        <w:snapToGrid w:val="0"/>
        <w:spacing w:line="360" w:lineRule="auto"/>
        <w:ind w:firstLine="562" w:firstLineChars="200"/>
        <w:textAlignment w:val="auto"/>
        <w:rPr>
          <w:rFonts w:hint="eastAsia" w:ascii="仿宋_GB2312" w:hAnsi="仿宋_GB2312" w:eastAsia="仿宋_GB2312" w:cs="仿宋_GB2312"/>
          <w:b/>
          <w:sz w:val="28"/>
          <w:szCs w:val="28"/>
          <w:highlight w:val="none"/>
        </w:rPr>
      </w:pPr>
      <w:r>
        <w:rPr>
          <w:rFonts w:hint="eastAsia" w:ascii="仿宋_GB2312" w:hAnsi="仿宋_GB2312" w:eastAsia="仿宋_GB2312" w:cs="仿宋_GB2312"/>
          <w:b/>
          <w:bCs/>
          <w:sz w:val="28"/>
          <w:szCs w:val="28"/>
          <w:highlight w:val="none"/>
          <w:lang w:val="en-US" w:eastAsia="zh-CN"/>
        </w:rPr>
        <w:t>九</w:t>
      </w:r>
      <w:r>
        <w:rPr>
          <w:rFonts w:hint="eastAsia" w:ascii="仿宋_GB2312" w:hAnsi="仿宋_GB2312" w:eastAsia="仿宋_GB2312" w:cs="仿宋_GB2312"/>
          <w:b/>
          <w:bCs/>
          <w:sz w:val="28"/>
          <w:szCs w:val="28"/>
          <w:highlight w:val="none"/>
        </w:rPr>
        <w:t>、</w:t>
      </w:r>
      <w:r>
        <w:rPr>
          <w:rFonts w:hint="eastAsia" w:ascii="仿宋_GB2312" w:hAnsi="仿宋_GB2312" w:eastAsia="仿宋_GB2312" w:cs="仿宋_GB2312"/>
          <w:b/>
          <w:sz w:val="28"/>
          <w:szCs w:val="28"/>
          <w:highlight w:val="none"/>
        </w:rPr>
        <w:t>违约责任</w:t>
      </w:r>
    </w:p>
    <w:p w14:paraId="0367781C">
      <w:pPr>
        <w:autoSpaceDE w:val="0"/>
        <w:autoSpaceDN w:val="0"/>
        <w:adjustRightInd w:val="0"/>
        <w:snapToGrid w:val="0"/>
        <w:spacing w:line="360" w:lineRule="auto"/>
        <w:ind w:firstLine="63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（一）按《中华人民共和国民法典》中的相关条款执行。</w:t>
      </w:r>
    </w:p>
    <w:p w14:paraId="5C059474">
      <w:pPr>
        <w:autoSpaceDE w:val="0"/>
        <w:autoSpaceDN w:val="0"/>
        <w:adjustRightInd w:val="0"/>
        <w:snapToGrid w:val="0"/>
        <w:spacing w:line="360" w:lineRule="auto"/>
        <w:ind w:firstLine="63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（二）按合同要求提供服务或服务质量不能满足</w:t>
      </w:r>
      <w:r>
        <w:rPr>
          <w:rFonts w:hint="eastAsia" w:ascii="仿宋_GB2312" w:hAnsi="仿宋_GB2312" w:eastAsia="仿宋_GB2312" w:cs="仿宋_GB2312"/>
          <w:sz w:val="28"/>
          <w:szCs w:val="28"/>
          <w:highlight w:val="none"/>
        </w:rPr>
        <w:t>不能满足本次磋商要求</w:t>
      </w:r>
      <w:r>
        <w:rPr>
          <w:rFonts w:hint="eastAsia" w:ascii="仿宋_GB2312" w:hAnsi="仿宋_GB2312" w:eastAsia="仿宋_GB2312" w:cs="仿宋_GB2312"/>
          <w:bCs/>
          <w:sz w:val="28"/>
          <w:szCs w:val="28"/>
          <w:highlight w:val="none"/>
        </w:rPr>
        <w:t>，乙方必须无条件提高技术，完善服务质量，否则，甲方会同监督机构、采购代理机构有权终止合同并对乙方违约行为进行追究，同时按政府采购供应商管理办法进行相应的处罚。</w:t>
      </w:r>
    </w:p>
    <w:p w14:paraId="03B84611">
      <w:pPr>
        <w:autoSpaceDE w:val="0"/>
        <w:autoSpaceDN w:val="0"/>
        <w:adjustRightInd w:val="0"/>
        <w:snapToGrid w:val="0"/>
        <w:spacing w:line="360" w:lineRule="auto"/>
        <w:ind w:firstLine="63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（三）任何一方因不可抗力原因不能履行协议时，应尽快通知对方，双方均设法补偿。如仍无法履约协议，可协商延缓或撤销协议，双方责任免除。</w:t>
      </w:r>
    </w:p>
    <w:p w14:paraId="634A5EDE">
      <w:pPr>
        <w:autoSpaceDE w:val="0"/>
        <w:autoSpaceDN w:val="0"/>
        <w:adjustRightInd w:val="0"/>
        <w:spacing w:line="360" w:lineRule="auto"/>
        <w:ind w:firstLine="562" w:firstLineChars="200"/>
        <w:rPr>
          <w:rFonts w:hint="eastAsia" w:ascii="仿宋_GB2312" w:hAnsi="仿宋_GB2312" w:eastAsia="仿宋_GB2312" w:cs="仿宋_GB2312"/>
          <w:b/>
          <w:bCs/>
          <w:sz w:val="28"/>
          <w:szCs w:val="28"/>
          <w:highlight w:val="none"/>
        </w:rPr>
      </w:pPr>
      <w:r>
        <w:rPr>
          <w:rFonts w:hint="eastAsia" w:ascii="仿宋_GB2312" w:hAnsi="仿宋_GB2312" w:eastAsia="仿宋_GB2312" w:cs="仿宋_GB2312"/>
          <w:b/>
          <w:bCs/>
          <w:sz w:val="28"/>
          <w:szCs w:val="28"/>
          <w:highlight w:val="none"/>
          <w:lang w:val="en-US" w:eastAsia="zh-CN"/>
        </w:rPr>
        <w:t>十</w:t>
      </w:r>
      <w:r>
        <w:rPr>
          <w:rFonts w:hint="eastAsia" w:ascii="仿宋_GB2312" w:hAnsi="仿宋_GB2312" w:eastAsia="仿宋_GB2312" w:cs="仿宋_GB2312"/>
          <w:b/>
          <w:bCs/>
          <w:sz w:val="28"/>
          <w:szCs w:val="28"/>
          <w:highlight w:val="none"/>
        </w:rPr>
        <w:t>、合同争议解决的方式</w:t>
      </w:r>
    </w:p>
    <w:p w14:paraId="38B426E4">
      <w:pPr>
        <w:autoSpaceDE w:val="0"/>
        <w:autoSpaceDN w:val="0"/>
        <w:adjustRightInd w:val="0"/>
        <w:spacing w:line="360" w:lineRule="auto"/>
        <w:ind w:firstLine="560" w:firstLineChars="20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本合同在履行过程中发生的争议，由甲、乙双方当事人协商解决，协商不成的按下列第</w:t>
      </w:r>
      <w:r>
        <w:rPr>
          <w:rFonts w:hint="eastAsia" w:ascii="仿宋_GB2312" w:hAnsi="仿宋_GB2312" w:eastAsia="仿宋_GB2312" w:cs="仿宋_GB2312"/>
          <w:bCs/>
          <w:sz w:val="28"/>
          <w:szCs w:val="28"/>
          <w:highlight w:val="none"/>
          <w:u w:val="single"/>
        </w:rPr>
        <w:t>（二）</w:t>
      </w:r>
      <w:r>
        <w:rPr>
          <w:rFonts w:hint="eastAsia" w:ascii="仿宋_GB2312" w:hAnsi="仿宋_GB2312" w:eastAsia="仿宋_GB2312" w:cs="仿宋_GB2312"/>
          <w:bCs/>
          <w:sz w:val="28"/>
          <w:szCs w:val="28"/>
          <w:highlight w:val="none"/>
        </w:rPr>
        <w:t>种方式解决：</w:t>
      </w:r>
    </w:p>
    <w:p w14:paraId="235AE1C7">
      <w:pPr>
        <w:autoSpaceDE w:val="0"/>
        <w:autoSpaceDN w:val="0"/>
        <w:adjustRightInd w:val="0"/>
        <w:spacing w:line="360" w:lineRule="auto"/>
        <w:ind w:firstLine="560" w:firstLineChars="20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（一）提交西安仲裁委员会仲裁；</w:t>
      </w:r>
    </w:p>
    <w:p w14:paraId="0D9D35B5">
      <w:pPr>
        <w:autoSpaceDE w:val="0"/>
        <w:autoSpaceDN w:val="0"/>
        <w:adjustRightInd w:val="0"/>
        <w:spacing w:line="360" w:lineRule="auto"/>
        <w:ind w:firstLine="560" w:firstLineChars="20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（二）依法向甲方所在地人民法院起诉。</w:t>
      </w:r>
    </w:p>
    <w:p w14:paraId="4CD18077">
      <w:pPr>
        <w:autoSpaceDE w:val="0"/>
        <w:autoSpaceDN w:val="0"/>
        <w:adjustRightInd w:val="0"/>
        <w:spacing w:line="360" w:lineRule="auto"/>
        <w:ind w:firstLine="562" w:firstLineChars="200"/>
        <w:rPr>
          <w:rFonts w:hint="eastAsia" w:ascii="仿宋_GB2312" w:hAnsi="仿宋_GB2312" w:eastAsia="仿宋_GB2312" w:cs="仿宋_GB2312"/>
          <w:b/>
          <w:bCs/>
          <w:sz w:val="28"/>
          <w:szCs w:val="28"/>
          <w:highlight w:val="none"/>
        </w:rPr>
      </w:pPr>
      <w:r>
        <w:rPr>
          <w:rFonts w:hint="eastAsia" w:ascii="仿宋_GB2312" w:hAnsi="仿宋_GB2312" w:eastAsia="仿宋_GB2312" w:cs="仿宋_GB2312"/>
          <w:b/>
          <w:bCs/>
          <w:sz w:val="28"/>
          <w:szCs w:val="28"/>
          <w:highlight w:val="none"/>
          <w:lang w:val="en-US" w:eastAsia="zh-CN"/>
        </w:rPr>
        <w:t>十一</w:t>
      </w:r>
      <w:r>
        <w:rPr>
          <w:rFonts w:hint="eastAsia" w:ascii="仿宋_GB2312" w:hAnsi="仿宋_GB2312" w:eastAsia="仿宋_GB2312" w:cs="仿宋_GB2312"/>
          <w:b/>
          <w:bCs/>
          <w:sz w:val="28"/>
          <w:szCs w:val="28"/>
          <w:highlight w:val="none"/>
        </w:rPr>
        <w:t>、合同生效</w:t>
      </w:r>
    </w:p>
    <w:p w14:paraId="643F340E">
      <w:pPr>
        <w:autoSpaceDE w:val="0"/>
        <w:autoSpaceDN w:val="0"/>
        <w:adjustRightInd w:val="0"/>
        <w:spacing w:line="360" w:lineRule="auto"/>
        <w:ind w:firstLine="560" w:firstLineChars="20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（一）本合同经双方签字盖章后生效。</w:t>
      </w:r>
    </w:p>
    <w:p w14:paraId="26616C44">
      <w:pPr>
        <w:autoSpaceDE w:val="0"/>
        <w:autoSpaceDN w:val="0"/>
        <w:adjustRightInd w:val="0"/>
        <w:spacing w:line="360" w:lineRule="auto"/>
        <w:ind w:firstLine="560" w:firstLineChars="20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（二）本合同须经甲、乙双方的法定代表人（授权代理人）在合同书上签字并加盖本单位公章后正式生效。</w:t>
      </w:r>
    </w:p>
    <w:p w14:paraId="30AD660C">
      <w:pPr>
        <w:autoSpaceDE w:val="0"/>
        <w:autoSpaceDN w:val="0"/>
        <w:adjustRightInd w:val="0"/>
        <w:spacing w:line="360" w:lineRule="auto"/>
        <w:ind w:firstLine="560" w:firstLineChars="20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（三）合同生效后，甲、乙双方须严格执行本合同条款的规定，全面履行合同，违者按《</w:t>
      </w:r>
      <w:r>
        <w:rPr>
          <w:rFonts w:hint="eastAsia" w:ascii="仿宋_GB2312" w:hAnsi="仿宋" w:eastAsia="仿宋_GB2312"/>
          <w:bCs/>
          <w:sz w:val="28"/>
          <w:szCs w:val="28"/>
          <w:highlight w:val="none"/>
          <w:lang w:eastAsia="zh-CN"/>
        </w:rPr>
        <w:t>中华人民共和国民法典</w:t>
      </w:r>
      <w:r>
        <w:rPr>
          <w:rFonts w:hint="eastAsia" w:ascii="仿宋_GB2312" w:hAnsi="仿宋_GB2312" w:eastAsia="仿宋_GB2312" w:cs="仿宋_GB2312"/>
          <w:bCs/>
          <w:sz w:val="28"/>
          <w:szCs w:val="28"/>
          <w:highlight w:val="none"/>
        </w:rPr>
        <w:t>》的有关规定承担相应责任。</w:t>
      </w:r>
    </w:p>
    <w:p w14:paraId="6E7BCC72">
      <w:pPr>
        <w:autoSpaceDE w:val="0"/>
        <w:autoSpaceDN w:val="0"/>
        <w:adjustRightInd w:val="0"/>
        <w:spacing w:line="360" w:lineRule="auto"/>
        <w:ind w:firstLine="560" w:firstLineChars="20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（四）本合同一式</w:t>
      </w:r>
      <w:r>
        <w:rPr>
          <w:rFonts w:hint="eastAsia" w:ascii="仿宋_GB2312" w:hAnsi="仿宋_GB2312" w:eastAsia="仿宋_GB2312" w:cs="仿宋_GB2312"/>
          <w:bCs/>
          <w:sz w:val="28"/>
          <w:szCs w:val="28"/>
          <w:highlight w:val="none"/>
          <w:u w:val="single"/>
        </w:rPr>
        <w:t xml:space="preserve">   </w:t>
      </w:r>
      <w:r>
        <w:rPr>
          <w:rFonts w:hint="eastAsia" w:ascii="仿宋_GB2312" w:hAnsi="仿宋_GB2312" w:eastAsia="仿宋_GB2312" w:cs="仿宋_GB2312"/>
          <w:bCs/>
          <w:sz w:val="28"/>
          <w:szCs w:val="28"/>
          <w:highlight w:val="none"/>
        </w:rPr>
        <w:t>份，甲乙双方各执</w:t>
      </w:r>
      <w:r>
        <w:rPr>
          <w:rFonts w:hint="eastAsia" w:ascii="仿宋_GB2312" w:hAnsi="仿宋_GB2312" w:eastAsia="仿宋_GB2312" w:cs="仿宋_GB2312"/>
          <w:bCs/>
          <w:sz w:val="28"/>
          <w:szCs w:val="28"/>
          <w:highlight w:val="none"/>
          <w:u w:val="single"/>
        </w:rPr>
        <w:t xml:space="preserve">    </w:t>
      </w:r>
      <w:r>
        <w:rPr>
          <w:rFonts w:hint="eastAsia" w:ascii="仿宋_GB2312" w:hAnsi="仿宋_GB2312" w:eastAsia="仿宋_GB2312" w:cs="仿宋_GB2312"/>
          <w:bCs/>
          <w:sz w:val="28"/>
          <w:szCs w:val="28"/>
          <w:highlight w:val="none"/>
        </w:rPr>
        <w:t>份。</w:t>
      </w:r>
      <w:bookmarkStart w:id="0" w:name="_GoBack"/>
      <w:bookmarkEnd w:id="0"/>
    </w:p>
    <w:p w14:paraId="04366997">
      <w:pPr>
        <w:autoSpaceDE w:val="0"/>
        <w:autoSpaceDN w:val="0"/>
        <w:adjustRightInd w:val="0"/>
        <w:spacing w:line="360" w:lineRule="auto"/>
        <w:ind w:firstLine="560" w:firstLineChars="20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（五）本合同如有未尽事宜，甲、乙双方协商解决。</w:t>
      </w:r>
    </w:p>
    <w:p w14:paraId="3B207A01">
      <w:pPr>
        <w:tabs>
          <w:tab w:val="left" w:pos="480"/>
        </w:tabs>
        <w:spacing w:line="360" w:lineRule="auto"/>
        <w:ind w:firstLine="480" w:firstLineChars="200"/>
        <w:rPr>
          <w:rFonts w:hint="eastAsia" w:ascii="仿宋_GB2312" w:hAnsi="仿宋_GB2312" w:eastAsia="仿宋_GB2312" w:cs="仿宋_GB2312"/>
          <w:spacing w:val="-20"/>
          <w:kern w:val="0"/>
          <w:sz w:val="28"/>
          <w:szCs w:val="28"/>
          <w:highlight w:val="none"/>
        </w:rPr>
      </w:pPr>
    </w:p>
    <w:tbl>
      <w:tblPr>
        <w:tblStyle w:val="13"/>
        <w:tblW w:w="8621"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2821"/>
        <w:gridCol w:w="2900"/>
        <w:gridCol w:w="2900"/>
      </w:tblGrid>
      <w:tr w14:paraId="6C7B9EDD">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2821" w:type="dxa"/>
            <w:noWrap w:val="0"/>
            <w:vAlign w:val="center"/>
          </w:tcPr>
          <w:p w14:paraId="70953A3A">
            <w:pPr>
              <w:autoSpaceDE w:val="0"/>
              <w:autoSpaceDN w:val="0"/>
              <w:adjustRightInd w:val="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甲  方</w:t>
            </w:r>
          </w:p>
        </w:tc>
        <w:tc>
          <w:tcPr>
            <w:tcW w:w="2900" w:type="dxa"/>
            <w:noWrap w:val="0"/>
            <w:vAlign w:val="center"/>
          </w:tcPr>
          <w:p w14:paraId="46D1BD11">
            <w:pPr>
              <w:autoSpaceDE w:val="0"/>
              <w:autoSpaceDN w:val="0"/>
              <w:adjustRightInd w:val="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乙  方</w:t>
            </w:r>
          </w:p>
        </w:tc>
        <w:tc>
          <w:tcPr>
            <w:tcW w:w="2900" w:type="dxa"/>
            <w:noWrap w:val="0"/>
            <w:vAlign w:val="center"/>
          </w:tcPr>
          <w:p w14:paraId="50EB6319">
            <w:pPr>
              <w:autoSpaceDE w:val="0"/>
              <w:autoSpaceDN w:val="0"/>
              <w:adjustRightInd w:val="0"/>
              <w:rPr>
                <w:rFonts w:hint="eastAsia" w:ascii="仿宋_GB2312" w:hAnsi="仿宋_GB2312" w:eastAsia="仿宋_GB2312" w:cs="仿宋_GB2312"/>
                <w:spacing w:val="-20"/>
                <w:kern w:val="0"/>
                <w:sz w:val="28"/>
                <w:szCs w:val="28"/>
                <w:highlight w:val="none"/>
                <w:lang w:val="en-US" w:eastAsia="zh-CN"/>
              </w:rPr>
            </w:pPr>
            <w:r>
              <w:rPr>
                <w:rFonts w:hint="eastAsia" w:ascii="仿宋_GB2312" w:hAnsi="仿宋_GB2312" w:eastAsia="仿宋_GB2312" w:cs="仿宋_GB2312"/>
                <w:spacing w:val="-20"/>
                <w:kern w:val="0"/>
                <w:sz w:val="28"/>
                <w:szCs w:val="28"/>
                <w:highlight w:val="none"/>
                <w:lang w:val="en-US" w:eastAsia="zh-CN"/>
              </w:rPr>
              <w:t>鉴证方</w:t>
            </w:r>
          </w:p>
        </w:tc>
      </w:tr>
      <w:tr w14:paraId="52FAB99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2821" w:type="dxa"/>
            <w:noWrap w:val="0"/>
            <w:vAlign w:val="center"/>
          </w:tcPr>
          <w:p w14:paraId="5C206372">
            <w:pPr>
              <w:autoSpaceDE w:val="0"/>
              <w:autoSpaceDN w:val="0"/>
              <w:adjustRightInd w:val="0"/>
              <w:ind w:firstLine="840" w:firstLineChars="35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（盖章）</w:t>
            </w:r>
          </w:p>
        </w:tc>
        <w:tc>
          <w:tcPr>
            <w:tcW w:w="2900" w:type="dxa"/>
            <w:noWrap w:val="0"/>
            <w:vAlign w:val="center"/>
          </w:tcPr>
          <w:p w14:paraId="1522B326">
            <w:pPr>
              <w:autoSpaceDE w:val="0"/>
              <w:autoSpaceDN w:val="0"/>
              <w:adjustRightInd w:val="0"/>
              <w:ind w:firstLine="960" w:firstLineChars="40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（盖章）</w:t>
            </w:r>
          </w:p>
        </w:tc>
        <w:tc>
          <w:tcPr>
            <w:tcW w:w="2900" w:type="dxa"/>
            <w:noWrap w:val="0"/>
            <w:vAlign w:val="center"/>
          </w:tcPr>
          <w:p w14:paraId="7812BDC9">
            <w:pPr>
              <w:autoSpaceDE w:val="0"/>
              <w:autoSpaceDN w:val="0"/>
              <w:adjustRightInd w:val="0"/>
              <w:ind w:firstLine="960" w:firstLineChars="40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（盖章）</w:t>
            </w:r>
          </w:p>
        </w:tc>
      </w:tr>
      <w:tr w14:paraId="29E088D8">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2821" w:type="dxa"/>
            <w:noWrap w:val="0"/>
            <w:vAlign w:val="center"/>
          </w:tcPr>
          <w:p w14:paraId="30F88F01">
            <w:pPr>
              <w:autoSpaceDE w:val="0"/>
              <w:autoSpaceDN w:val="0"/>
              <w:adjustRightInd w:val="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 xml:space="preserve">地址： </w:t>
            </w:r>
          </w:p>
        </w:tc>
        <w:tc>
          <w:tcPr>
            <w:tcW w:w="2900" w:type="dxa"/>
            <w:noWrap w:val="0"/>
            <w:vAlign w:val="center"/>
          </w:tcPr>
          <w:p w14:paraId="3F1971E0">
            <w:pPr>
              <w:autoSpaceDE w:val="0"/>
              <w:autoSpaceDN w:val="0"/>
              <w:adjustRightInd w:val="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地址：</w:t>
            </w:r>
          </w:p>
        </w:tc>
        <w:tc>
          <w:tcPr>
            <w:tcW w:w="2900" w:type="dxa"/>
            <w:noWrap w:val="0"/>
            <w:vAlign w:val="center"/>
          </w:tcPr>
          <w:p w14:paraId="4B086A12">
            <w:pPr>
              <w:autoSpaceDE w:val="0"/>
              <w:autoSpaceDN w:val="0"/>
              <w:adjustRightInd w:val="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地址：</w:t>
            </w:r>
          </w:p>
        </w:tc>
      </w:tr>
      <w:tr w14:paraId="0EE9EA0A">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2821" w:type="dxa"/>
            <w:noWrap w:val="0"/>
            <w:vAlign w:val="center"/>
          </w:tcPr>
          <w:p w14:paraId="411E7B29">
            <w:pPr>
              <w:autoSpaceDE w:val="0"/>
              <w:autoSpaceDN w:val="0"/>
              <w:adjustRightInd w:val="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邮编：</w:t>
            </w:r>
          </w:p>
        </w:tc>
        <w:tc>
          <w:tcPr>
            <w:tcW w:w="2900" w:type="dxa"/>
            <w:noWrap w:val="0"/>
            <w:vAlign w:val="center"/>
          </w:tcPr>
          <w:p w14:paraId="0A525628">
            <w:pPr>
              <w:autoSpaceDE w:val="0"/>
              <w:autoSpaceDN w:val="0"/>
              <w:adjustRightInd w:val="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邮编：</w:t>
            </w:r>
          </w:p>
        </w:tc>
        <w:tc>
          <w:tcPr>
            <w:tcW w:w="2900" w:type="dxa"/>
            <w:noWrap w:val="0"/>
            <w:vAlign w:val="center"/>
          </w:tcPr>
          <w:p w14:paraId="234328DF">
            <w:pPr>
              <w:autoSpaceDE w:val="0"/>
              <w:autoSpaceDN w:val="0"/>
              <w:adjustRightInd w:val="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邮编：</w:t>
            </w:r>
          </w:p>
        </w:tc>
      </w:tr>
      <w:tr w14:paraId="2B821600">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2821" w:type="dxa"/>
            <w:noWrap w:val="0"/>
            <w:vAlign w:val="center"/>
          </w:tcPr>
          <w:p w14:paraId="1BB037CE">
            <w:pPr>
              <w:autoSpaceDE w:val="0"/>
              <w:autoSpaceDN w:val="0"/>
              <w:adjustRightInd w:val="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 xml:space="preserve">法定代表人： </w:t>
            </w:r>
          </w:p>
        </w:tc>
        <w:tc>
          <w:tcPr>
            <w:tcW w:w="2900" w:type="dxa"/>
            <w:noWrap w:val="0"/>
            <w:vAlign w:val="center"/>
          </w:tcPr>
          <w:p w14:paraId="6487B232">
            <w:pPr>
              <w:autoSpaceDE w:val="0"/>
              <w:autoSpaceDN w:val="0"/>
              <w:adjustRightInd w:val="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法定代表人：</w:t>
            </w:r>
          </w:p>
        </w:tc>
        <w:tc>
          <w:tcPr>
            <w:tcW w:w="2900" w:type="dxa"/>
            <w:noWrap w:val="0"/>
            <w:vAlign w:val="center"/>
          </w:tcPr>
          <w:p w14:paraId="7339C1AD">
            <w:pPr>
              <w:autoSpaceDE w:val="0"/>
              <w:autoSpaceDN w:val="0"/>
              <w:adjustRightInd w:val="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法定代表人：</w:t>
            </w:r>
          </w:p>
        </w:tc>
      </w:tr>
      <w:tr w14:paraId="065AF01B">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2821" w:type="dxa"/>
            <w:noWrap w:val="0"/>
            <w:vAlign w:val="center"/>
          </w:tcPr>
          <w:p w14:paraId="7B4C6608">
            <w:pPr>
              <w:autoSpaceDE w:val="0"/>
              <w:autoSpaceDN w:val="0"/>
              <w:adjustRightInd w:val="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被授权代表：</w:t>
            </w:r>
          </w:p>
        </w:tc>
        <w:tc>
          <w:tcPr>
            <w:tcW w:w="2900" w:type="dxa"/>
            <w:noWrap w:val="0"/>
            <w:vAlign w:val="center"/>
          </w:tcPr>
          <w:p w14:paraId="66755DA2">
            <w:pPr>
              <w:autoSpaceDE w:val="0"/>
              <w:autoSpaceDN w:val="0"/>
              <w:adjustRightInd w:val="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被授权代表：</w:t>
            </w:r>
          </w:p>
        </w:tc>
        <w:tc>
          <w:tcPr>
            <w:tcW w:w="2900" w:type="dxa"/>
            <w:noWrap w:val="0"/>
            <w:vAlign w:val="center"/>
          </w:tcPr>
          <w:p w14:paraId="0C7406BE">
            <w:pPr>
              <w:autoSpaceDE w:val="0"/>
              <w:autoSpaceDN w:val="0"/>
              <w:adjustRightInd w:val="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被授权代表：</w:t>
            </w:r>
          </w:p>
        </w:tc>
      </w:tr>
      <w:tr w14:paraId="4218B213">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2821" w:type="dxa"/>
            <w:noWrap w:val="0"/>
            <w:vAlign w:val="center"/>
          </w:tcPr>
          <w:p w14:paraId="033455DB">
            <w:pPr>
              <w:autoSpaceDE w:val="0"/>
              <w:autoSpaceDN w:val="0"/>
              <w:adjustRightInd w:val="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电话：</w:t>
            </w:r>
          </w:p>
        </w:tc>
        <w:tc>
          <w:tcPr>
            <w:tcW w:w="2900" w:type="dxa"/>
            <w:noWrap w:val="0"/>
            <w:vAlign w:val="center"/>
          </w:tcPr>
          <w:p w14:paraId="24DEA0E3">
            <w:pPr>
              <w:autoSpaceDE w:val="0"/>
              <w:autoSpaceDN w:val="0"/>
              <w:adjustRightInd w:val="0"/>
              <w:ind w:left="840" w:hanging="720" w:hangingChars="30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电话：</w:t>
            </w:r>
          </w:p>
        </w:tc>
        <w:tc>
          <w:tcPr>
            <w:tcW w:w="2900" w:type="dxa"/>
            <w:noWrap w:val="0"/>
            <w:vAlign w:val="center"/>
          </w:tcPr>
          <w:p w14:paraId="41308A4F">
            <w:pPr>
              <w:autoSpaceDE w:val="0"/>
              <w:autoSpaceDN w:val="0"/>
              <w:adjustRightInd w:val="0"/>
              <w:ind w:left="720" w:leftChars="0" w:hanging="720" w:hangingChars="30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电话：</w:t>
            </w:r>
          </w:p>
        </w:tc>
      </w:tr>
      <w:tr w14:paraId="0614415A">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2821" w:type="dxa"/>
            <w:noWrap w:val="0"/>
            <w:vAlign w:val="center"/>
          </w:tcPr>
          <w:p w14:paraId="494E6441">
            <w:pPr>
              <w:autoSpaceDE w:val="0"/>
              <w:autoSpaceDN w:val="0"/>
              <w:adjustRightInd w:val="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传真：</w:t>
            </w:r>
          </w:p>
        </w:tc>
        <w:tc>
          <w:tcPr>
            <w:tcW w:w="2900" w:type="dxa"/>
            <w:noWrap w:val="0"/>
            <w:vAlign w:val="center"/>
          </w:tcPr>
          <w:p w14:paraId="5E31107B">
            <w:pPr>
              <w:autoSpaceDE w:val="0"/>
              <w:autoSpaceDN w:val="0"/>
              <w:adjustRightInd w:val="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传真：</w:t>
            </w:r>
          </w:p>
        </w:tc>
        <w:tc>
          <w:tcPr>
            <w:tcW w:w="2900" w:type="dxa"/>
            <w:noWrap w:val="0"/>
            <w:vAlign w:val="center"/>
          </w:tcPr>
          <w:p w14:paraId="0E79DCEE">
            <w:pPr>
              <w:autoSpaceDE w:val="0"/>
              <w:autoSpaceDN w:val="0"/>
              <w:adjustRightInd w:val="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传真：</w:t>
            </w:r>
          </w:p>
        </w:tc>
      </w:tr>
      <w:tr w14:paraId="3D42F83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2821" w:type="dxa"/>
            <w:noWrap w:val="0"/>
            <w:vAlign w:val="center"/>
          </w:tcPr>
          <w:p w14:paraId="52DF3CD5">
            <w:pPr>
              <w:autoSpaceDE w:val="0"/>
              <w:autoSpaceDN w:val="0"/>
              <w:adjustRightInd w:val="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开户银行：</w:t>
            </w:r>
          </w:p>
        </w:tc>
        <w:tc>
          <w:tcPr>
            <w:tcW w:w="2900" w:type="dxa"/>
            <w:noWrap w:val="0"/>
            <w:vAlign w:val="center"/>
          </w:tcPr>
          <w:p w14:paraId="0BB9C538">
            <w:pPr>
              <w:autoSpaceDE w:val="0"/>
              <w:autoSpaceDN w:val="0"/>
              <w:adjustRightInd w:val="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开户银行：</w:t>
            </w:r>
          </w:p>
        </w:tc>
        <w:tc>
          <w:tcPr>
            <w:tcW w:w="2900" w:type="dxa"/>
            <w:noWrap w:val="0"/>
            <w:vAlign w:val="center"/>
          </w:tcPr>
          <w:p w14:paraId="67EADAF3">
            <w:pPr>
              <w:autoSpaceDE w:val="0"/>
              <w:autoSpaceDN w:val="0"/>
              <w:adjustRightInd w:val="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开户银行：</w:t>
            </w:r>
          </w:p>
        </w:tc>
      </w:tr>
      <w:tr w14:paraId="5675B8E4">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2821" w:type="dxa"/>
            <w:noWrap w:val="0"/>
            <w:vAlign w:val="center"/>
          </w:tcPr>
          <w:p w14:paraId="1724CF34">
            <w:pPr>
              <w:autoSpaceDE w:val="0"/>
              <w:autoSpaceDN w:val="0"/>
              <w:adjustRightInd w:val="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日期：</w:t>
            </w:r>
          </w:p>
        </w:tc>
        <w:tc>
          <w:tcPr>
            <w:tcW w:w="2900" w:type="dxa"/>
            <w:noWrap w:val="0"/>
            <w:vAlign w:val="center"/>
          </w:tcPr>
          <w:p w14:paraId="4AF787A5">
            <w:pPr>
              <w:autoSpaceDE w:val="0"/>
              <w:autoSpaceDN w:val="0"/>
              <w:adjustRightInd w:val="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日期：</w:t>
            </w:r>
          </w:p>
        </w:tc>
        <w:tc>
          <w:tcPr>
            <w:tcW w:w="2900" w:type="dxa"/>
            <w:noWrap w:val="0"/>
            <w:vAlign w:val="center"/>
          </w:tcPr>
          <w:p w14:paraId="38579C92">
            <w:pPr>
              <w:autoSpaceDE w:val="0"/>
              <w:autoSpaceDN w:val="0"/>
              <w:adjustRightInd w:val="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日期：</w:t>
            </w:r>
          </w:p>
        </w:tc>
      </w:tr>
    </w:tbl>
    <w:p w14:paraId="5DF41E91"/>
    <w:sectPr>
      <w:headerReference r:id="rId3" w:type="default"/>
      <w:footerReference r:id="rId4" w:type="default"/>
      <w:pgSz w:w="11909" w:h="16841"/>
      <w:pgMar w:top="1417" w:right="1417" w:bottom="1417" w:left="1417" w:header="850" w:footer="1020" w:gutter="0"/>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0AD462A6-4A31-41C8-A02C-C8FAB1C04729}"/>
  </w:font>
  <w:font w:name="黑体">
    <w:panose1 w:val="02010609060101010101"/>
    <w:charset w:val="86"/>
    <w:family w:val="auto"/>
    <w:pitch w:val="default"/>
    <w:sig w:usb0="800002BF" w:usb1="38CF7CFA" w:usb2="00000016" w:usb3="00000000" w:csb0="00040001" w:csb1="00000000"/>
    <w:embedRegular r:id="rId2" w:fontKey="{C4A09E5E-54C6-455D-9D3B-FCE2385C62EE}"/>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B0BCC110-4B4D-4B6B-9019-A358995F68FB}"/>
  </w:font>
  <w:font w:name="仿宋_GB2312">
    <w:panose1 w:val="02010609030101010101"/>
    <w:charset w:val="86"/>
    <w:family w:val="modern"/>
    <w:pitch w:val="default"/>
    <w:sig w:usb0="00000001" w:usb1="080E0000" w:usb2="00000000" w:usb3="00000000" w:csb0="00040000" w:csb1="00000000"/>
    <w:embedRegular r:id="rId4" w:fontKey="{54238E7C-A748-4121-BEFD-6DFEA8525B94}"/>
  </w:font>
  <w:font w:name="微软雅黑">
    <w:panose1 w:val="020B0503020204020204"/>
    <w:charset w:val="86"/>
    <w:family w:val="swiss"/>
    <w:pitch w:val="default"/>
    <w:sig w:usb0="80000287" w:usb1="280F3C52" w:usb2="00000016" w:usb3="00000000" w:csb0="0004001F" w:csb1="00000000"/>
    <w:embedRegular r:id="rId5" w:fontKey="{FA43C8C1-FCC7-4505-9228-01735D7A1F2F}"/>
  </w:font>
  <w:font w:name="DejaVuSan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6176F0">
    <w:pPr>
      <w:spacing w:line="14" w:lineRule="auto"/>
      <w:rPr>
        <w:rFonts w:ascii="Arial"/>
        <w:sz w:val="2"/>
      </w:rPr>
    </w:pPr>
    <w:r>
      <w:rPr>
        <w:sz w:val="2"/>
      </w:rPr>
      <w:pict>
        <v:shape id="文本框 7" o:spid="_x0000_s4097" o:spt="202" type="#_x0000_t202" style="position:absolute;left:0pt;margin-left:206.6pt;margin-top:-13.75pt;height:144pt;width:144pt;mso-position-horizontal-relative:margin;mso-wrap-style:none;z-index:251659264;mso-width-relative:page;mso-height-relative:page;" filled="f" stroked="f" coordsize="21600,21600" o:gfxdata="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MZmIR/YAAAACwEAAA8AAAAAAAAAAQAgAAAAIgAAAGRycy9kb3ducmV2Lnht&#10;bFBLAQIUABQAAAAIAIdO4kD1i4dkMgIAAGEEAAAOAAAAAAAAAAEAIAAAACcBAABkcnMvZTJvRG9j&#10;LnhtbFBLBQYAAAAABgAGAFkBAADLBQAAAAA=&#10;">
          <v:path/>
          <v:fill on="f" focussize="0,0"/>
          <v:stroke on="f" weight="0.5pt"/>
          <v:imagedata o:title=""/>
          <o:lock v:ext="edit" aspectratio="f"/>
          <v:textbox inset="0mm,0mm,0mm,0mm" style="mso-fit-shape-to-text:t;">
            <w:txbxContent>
              <w:p w14:paraId="142533AB">
                <w:pPr>
                  <w:pStyle w:val="8"/>
                  <w:tabs>
                    <w:tab w:val="center" w:pos="4153"/>
                    <w:tab w:val="right" w:pos="8306"/>
                    <w:tab w:val="clear" w:pos="4140"/>
                    <w:tab w:val="clear" w:pos="8300"/>
                  </w:tabs>
                </w:pPr>
                <w:r>
                  <w:rPr>
                    <w:sz w:val="21"/>
                    <w:szCs w:val="21"/>
                  </w:rPr>
                  <w:t xml:space="preserve">第 </w:t>
                </w:r>
                <w:r>
                  <w:rPr>
                    <w:sz w:val="21"/>
                    <w:szCs w:val="21"/>
                  </w:rPr>
                  <w:fldChar w:fldCharType="begin"/>
                </w:r>
                <w:r>
                  <w:rPr>
                    <w:sz w:val="21"/>
                    <w:szCs w:val="21"/>
                  </w:rPr>
                  <w:instrText xml:space="preserve"> PAGE  \* MERGEFORMAT </w:instrText>
                </w:r>
                <w:r>
                  <w:rPr>
                    <w:sz w:val="21"/>
                    <w:szCs w:val="21"/>
                  </w:rPr>
                  <w:fldChar w:fldCharType="separate"/>
                </w:r>
                <w:r>
                  <w:rPr>
                    <w:sz w:val="21"/>
                    <w:szCs w:val="21"/>
                  </w:rPr>
                  <w:t>53</w:t>
                </w:r>
                <w:r>
                  <w:rPr>
                    <w:sz w:val="21"/>
                    <w:szCs w:val="21"/>
                  </w:rPr>
                  <w:fldChar w:fldCharType="end"/>
                </w:r>
                <w:r>
                  <w:rPr>
                    <w:sz w:val="21"/>
                    <w:szCs w:val="21"/>
                  </w:rP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510F29">
    <w:pPr>
      <w:spacing w:line="14" w:lineRule="auto"/>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jI2ODM0OTc1MGVjZTdkOTg4ZTY5ZTg3YzFjOGQ2YWIifQ=="/>
  </w:docVars>
  <w:rsids>
    <w:rsidRoot w:val="29BB6BC2"/>
    <w:rsid w:val="00032C77"/>
    <w:rsid w:val="0005444A"/>
    <w:rsid w:val="00055484"/>
    <w:rsid w:val="00196F8D"/>
    <w:rsid w:val="002134F5"/>
    <w:rsid w:val="002A2C9E"/>
    <w:rsid w:val="00301B8C"/>
    <w:rsid w:val="00333158"/>
    <w:rsid w:val="00366B06"/>
    <w:rsid w:val="005C205E"/>
    <w:rsid w:val="00680F55"/>
    <w:rsid w:val="006B2966"/>
    <w:rsid w:val="006E04B8"/>
    <w:rsid w:val="007377F8"/>
    <w:rsid w:val="008B1E38"/>
    <w:rsid w:val="009015B2"/>
    <w:rsid w:val="00AD6F4F"/>
    <w:rsid w:val="00B35765"/>
    <w:rsid w:val="00C65FC8"/>
    <w:rsid w:val="00CC3A78"/>
    <w:rsid w:val="00CF6641"/>
    <w:rsid w:val="00EF3803"/>
    <w:rsid w:val="00F47186"/>
    <w:rsid w:val="00FA5ACA"/>
    <w:rsid w:val="00FC1B97"/>
    <w:rsid w:val="02680F16"/>
    <w:rsid w:val="028750FB"/>
    <w:rsid w:val="071938B9"/>
    <w:rsid w:val="0CF24C32"/>
    <w:rsid w:val="0EBB3568"/>
    <w:rsid w:val="0EC60B07"/>
    <w:rsid w:val="10332904"/>
    <w:rsid w:val="10CF4970"/>
    <w:rsid w:val="10F63A27"/>
    <w:rsid w:val="15ED32D1"/>
    <w:rsid w:val="172B4FA4"/>
    <w:rsid w:val="192A37C4"/>
    <w:rsid w:val="198577DD"/>
    <w:rsid w:val="19966094"/>
    <w:rsid w:val="1CA80820"/>
    <w:rsid w:val="1D6E70FD"/>
    <w:rsid w:val="21665943"/>
    <w:rsid w:val="244871F4"/>
    <w:rsid w:val="25295AB7"/>
    <w:rsid w:val="274E2D73"/>
    <w:rsid w:val="27EF733B"/>
    <w:rsid w:val="292902AA"/>
    <w:rsid w:val="29BB6BC2"/>
    <w:rsid w:val="2CF77560"/>
    <w:rsid w:val="2F1025C8"/>
    <w:rsid w:val="30104537"/>
    <w:rsid w:val="313868D1"/>
    <w:rsid w:val="325B49C3"/>
    <w:rsid w:val="326A7D77"/>
    <w:rsid w:val="33EF3E56"/>
    <w:rsid w:val="39094D4C"/>
    <w:rsid w:val="3CCE5611"/>
    <w:rsid w:val="3CE71A85"/>
    <w:rsid w:val="412A6A1E"/>
    <w:rsid w:val="414032D5"/>
    <w:rsid w:val="4EC118A7"/>
    <w:rsid w:val="4FDA2485"/>
    <w:rsid w:val="54F63A8A"/>
    <w:rsid w:val="5C7E1FD1"/>
    <w:rsid w:val="5D3B49BA"/>
    <w:rsid w:val="60E414E6"/>
    <w:rsid w:val="60F8708E"/>
    <w:rsid w:val="61DE6FB3"/>
    <w:rsid w:val="61E5759F"/>
    <w:rsid w:val="696F3399"/>
    <w:rsid w:val="734E36BE"/>
    <w:rsid w:val="741C09D0"/>
    <w:rsid w:val="74343D24"/>
    <w:rsid w:val="764F97C9"/>
    <w:rsid w:val="780E58FD"/>
    <w:rsid w:val="78C53AE4"/>
    <w:rsid w:val="7EB216B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4"/>
    <w:basedOn w:val="1"/>
    <w:next w:val="1"/>
    <w:qFormat/>
    <w:uiPriority w:val="9"/>
    <w:pPr>
      <w:keepNext/>
      <w:keepLines/>
      <w:spacing w:before="280" w:after="290" w:line="372" w:lineRule="auto"/>
      <w:outlineLvl w:val="3"/>
    </w:pPr>
    <w:rPr>
      <w:rFonts w:ascii="Arial" w:hAnsi="Arial" w:cs="Times New Roman"/>
      <w:b/>
      <w:sz w:val="28"/>
    </w:rPr>
  </w:style>
  <w:style w:type="character" w:default="1" w:styleId="15">
    <w:name w:val="Default Paragraph Font"/>
    <w:semiHidden/>
    <w:unhideWhenUsed/>
    <w:qFormat/>
    <w:uiPriority w:val="1"/>
  </w:style>
  <w:style w:type="table" w:default="1" w:styleId="13">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1"/>
    <w:autoRedefine/>
    <w:qFormat/>
    <w:uiPriority w:val="99"/>
    <w:pPr>
      <w:jc w:val="left"/>
    </w:pPr>
    <w:rPr>
      <w:kern w:val="0"/>
    </w:rPr>
  </w:style>
  <w:style w:type="paragraph" w:styleId="4">
    <w:name w:val="Normal Indent"/>
    <w:basedOn w:val="1"/>
    <w:autoRedefine/>
    <w:qFormat/>
    <w:uiPriority w:val="0"/>
    <w:pPr>
      <w:ind w:firstLine="420"/>
    </w:pPr>
    <w:rPr>
      <w:szCs w:val="21"/>
    </w:rPr>
  </w:style>
  <w:style w:type="paragraph" w:styleId="5">
    <w:name w:val="annotation text"/>
    <w:basedOn w:val="1"/>
    <w:autoRedefine/>
    <w:qFormat/>
    <w:uiPriority w:val="0"/>
    <w:pPr>
      <w:jc w:val="left"/>
    </w:pPr>
  </w:style>
  <w:style w:type="paragraph" w:styleId="6">
    <w:name w:val="Plain Text"/>
    <w:basedOn w:val="1"/>
    <w:autoRedefine/>
    <w:qFormat/>
    <w:uiPriority w:val="0"/>
    <w:rPr>
      <w:rFonts w:ascii="宋体" w:hAnsi="Courier New"/>
      <w:kern w:val="0"/>
      <w:sz w:val="20"/>
    </w:rPr>
  </w:style>
  <w:style w:type="paragraph" w:styleId="7">
    <w:name w:val="Balloon Text"/>
    <w:basedOn w:val="1"/>
    <w:link w:val="18"/>
    <w:autoRedefine/>
    <w:qFormat/>
    <w:uiPriority w:val="0"/>
    <w:rPr>
      <w:sz w:val="18"/>
      <w:szCs w:val="18"/>
    </w:rPr>
  </w:style>
  <w:style w:type="paragraph" w:styleId="8">
    <w:name w:val="footer"/>
    <w:basedOn w:val="1"/>
    <w:next w:val="2"/>
    <w:autoRedefine/>
    <w:qFormat/>
    <w:uiPriority w:val="0"/>
    <w:pPr>
      <w:tabs>
        <w:tab w:val="center" w:pos="4140"/>
        <w:tab w:val="right" w:pos="8300"/>
      </w:tabs>
      <w:snapToGrid w:val="0"/>
      <w:jc w:val="left"/>
    </w:pPr>
    <w:rPr>
      <w:sz w:val="18"/>
      <w:szCs w:val="18"/>
    </w:rPr>
  </w:style>
  <w:style w:type="paragraph" w:styleId="9">
    <w:name w:val="header"/>
    <w:basedOn w:val="1"/>
    <w:link w:val="17"/>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Message Header"/>
    <w:basedOn w:val="1"/>
    <w:autoRedefine/>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rPr>
  </w:style>
  <w:style w:type="paragraph" w:styleId="11">
    <w:name w:val="Normal (Web)"/>
    <w:basedOn w:val="1"/>
    <w:autoRedefine/>
    <w:qFormat/>
    <w:uiPriority w:val="99"/>
    <w:pPr>
      <w:widowControl/>
      <w:spacing w:before="100" w:beforeAutospacing="1" w:after="100" w:afterAutospacing="1"/>
      <w:jc w:val="left"/>
    </w:pPr>
    <w:rPr>
      <w:rFonts w:ascii="宋体" w:cs="宋体"/>
      <w:kern w:val="0"/>
      <w:sz w:val="24"/>
      <w:szCs w:val="24"/>
    </w:rPr>
  </w:style>
  <w:style w:type="paragraph" w:styleId="12">
    <w:name w:val="Body Text First Indent"/>
    <w:basedOn w:val="2"/>
    <w:autoRedefine/>
    <w:qFormat/>
    <w:uiPriority w:val="0"/>
    <w:pPr>
      <w:spacing w:line="360" w:lineRule="auto"/>
      <w:ind w:firstLine="420"/>
    </w:pPr>
    <w:rPr>
      <w:rFonts w:ascii="宋体" w:hAnsi="宋体"/>
      <w:sz w:val="24"/>
    </w:rPr>
  </w:style>
  <w:style w:type="table" w:styleId="14">
    <w:name w:val="Table Grid"/>
    <w:basedOn w:val="13"/>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annotation reference"/>
    <w:basedOn w:val="15"/>
    <w:autoRedefine/>
    <w:qFormat/>
    <w:uiPriority w:val="0"/>
    <w:rPr>
      <w:sz w:val="21"/>
      <w:szCs w:val="21"/>
    </w:rPr>
  </w:style>
  <w:style w:type="character" w:customStyle="1" w:styleId="17">
    <w:name w:val="页眉 Char"/>
    <w:basedOn w:val="15"/>
    <w:link w:val="9"/>
    <w:autoRedefine/>
    <w:qFormat/>
    <w:uiPriority w:val="0"/>
    <w:rPr>
      <w:kern w:val="2"/>
      <w:sz w:val="18"/>
      <w:szCs w:val="18"/>
    </w:rPr>
  </w:style>
  <w:style w:type="character" w:customStyle="1" w:styleId="18">
    <w:name w:val="批注框文本 Char"/>
    <w:basedOn w:val="15"/>
    <w:link w:val="7"/>
    <w:autoRedefine/>
    <w:qFormat/>
    <w:uiPriority w:val="0"/>
    <w:rPr>
      <w:kern w:val="2"/>
      <w:sz w:val="18"/>
      <w:szCs w:val="18"/>
    </w:rPr>
  </w:style>
  <w:style w:type="paragraph" w:customStyle="1" w:styleId="19">
    <w:name w:val="样式 10 磅"/>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0">
    <w:name w:val="正文空2格  1."/>
    <w:basedOn w:val="1"/>
    <w:autoRedefine/>
    <w:qFormat/>
    <w:uiPriority w:val="0"/>
    <w:pPr>
      <w:adjustRightInd w:val="0"/>
      <w:spacing w:line="360" w:lineRule="auto"/>
      <w:ind w:firstLine="480" w:firstLineChars="200"/>
    </w:pPr>
    <w:rPr>
      <w:rFonts w:hint="eastAsia" w:ascii="宋体" w:eastAsia="仿宋" w:cs="宋体"/>
      <w:kern w:val="0"/>
      <w:sz w:val="28"/>
    </w:rPr>
  </w:style>
  <w:style w:type="paragraph" w:customStyle="1" w:styleId="21">
    <w:name w:val="Default1"/>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2148</Words>
  <Characters>2186</Characters>
  <Lines>23</Lines>
  <Paragraphs>6</Paragraphs>
  <TotalTime>2</TotalTime>
  <ScaleCrop>false</ScaleCrop>
  <LinksUpToDate>false</LinksUpToDate>
  <CharactersWithSpaces>2303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2022-09-28T14:56:00Z</dcterms:created>
  <dc:creator>独舞的蒲公英</dc:creator>
  <cp:lastModifiedBy>此城以北</cp:lastModifiedBy>
  <cp:lastPrinted>2022-09-28T14:56:00Z</cp:lastPrinted>
  <dcterms:modified xsi:type="dcterms:W3CDTF">2024-08-29T11:35:24Z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E79E879024B94D3FB100E7468F0D228F</vt:lpwstr>
  </property>
</Properties>
</file>