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637"/>
        <w:gridCol w:w="6710"/>
      </w:tblGrid>
      <w:tr w14:paraId="6CAB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 w14:paraId="1636F70E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参数性质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ascii="宋体" w:hAnsi="宋体" w:eastAsia="宋体" w:cs="Segoe UI Symbol"/>
                <w:color w:val="auto"/>
                <w:sz w:val="24"/>
                <w:szCs w:val="24"/>
                <w:highlight w:val="none"/>
              </w:rPr>
              <w:t>☆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宋体" w:hAnsi="宋体" w:eastAsia="宋体" w:cs="Cambria Math"/>
                <w:color w:val="auto"/>
                <w:sz w:val="24"/>
                <w:szCs w:val="24"/>
                <w:highlight w:val="none"/>
              </w:rPr>
              <w:t>△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80" w:type="dxa"/>
            <w:vAlign w:val="center"/>
          </w:tcPr>
          <w:p w14:paraId="0E443E34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790" w:type="dxa"/>
            <w:vAlign w:val="center"/>
          </w:tcPr>
          <w:p w14:paraId="4A3934F0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技术参数与性能指标</w:t>
            </w:r>
          </w:p>
        </w:tc>
      </w:tr>
      <w:tr w14:paraId="0FB2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0" w:type="dxa"/>
            <w:vAlign w:val="center"/>
          </w:tcPr>
          <w:p w14:paraId="3FBBAC69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0" w:type="dxa"/>
            <w:vAlign w:val="center"/>
          </w:tcPr>
          <w:p w14:paraId="441826E2"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both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90" w:type="dxa"/>
            <w:vAlign w:val="center"/>
          </w:tcPr>
          <w:p w14:paraId="66A22259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一、技术参数</w:t>
            </w:r>
          </w:p>
          <w:p w14:paraId="799B162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1.1工作条件:</w:t>
            </w:r>
          </w:p>
          <w:p w14:paraId="257EFF2C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电压：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220VAC±10%</w:t>
            </w:r>
          </w:p>
          <w:p w14:paraId="2A8DC5E0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室温：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  <w:p w14:paraId="1FC0C3E3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相对湿度：20%-80%</w:t>
            </w:r>
          </w:p>
          <w:p w14:paraId="34BC1B76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 性能指标：</w:t>
            </w:r>
          </w:p>
          <w:p w14:paraId="067CA6E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1.2.1检测器：</w:t>
            </w:r>
          </w:p>
          <w:p w14:paraId="091726AF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1.2.1.1 SCD、CCD或CID检测器，在光谱仪波长范围内具有连续像素，能任意选择波长；</w:t>
            </w:r>
          </w:p>
          <w:p w14:paraId="4212D093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▲1.2.1.2 检测单元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1000,000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个检测单元，读取速度≥1MHz；</w:t>
            </w:r>
          </w:p>
          <w:p w14:paraId="40B346A2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1.2.1.3像素分辨率：≤0.00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nm；</w:t>
            </w:r>
          </w:p>
          <w:p w14:paraId="09C29747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1.2.1.4 检测器制冷系统：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三级制冷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，工作温度：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≤-4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。</w:t>
            </w:r>
          </w:p>
          <w:p w14:paraId="0FEA6999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1.2.1.5杂散光≤0.3ppm，10000ppm Ca在As193.696 nm</w:t>
            </w:r>
          </w:p>
          <w:p w14:paraId="5CDCCCAE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1.2.2 光学系统：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恒温驱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气型中阶梯分光系统</w:t>
            </w:r>
          </w:p>
          <w:p w14:paraId="3FF1165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1.2.2.1单色器：中阶梯光栅和棱镜二维色散系统，在光谱仪全波长范围内一次曝光同时测定所有元素；</w:t>
            </w:r>
          </w:p>
          <w:p w14:paraId="50C7FF0F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▲1.2.2.2 光室：带精密光室恒温38℃±0.1℃（提供光室温度实时反馈软件截图），可使用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气体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进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行光室吹扫，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须提供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测定&lt;200nm谱线时驱气量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数值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；</w:t>
            </w:r>
          </w:p>
          <w:p w14:paraId="661153AE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1.2.2.3波长范围：必须包含167-782nm，全波长覆盖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提供软件截图；</w:t>
            </w:r>
          </w:p>
          <w:p w14:paraId="78A77464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1.2.2.4光学分辨率（FHW）：</w:t>
            </w:r>
          </w:p>
          <w:p w14:paraId="1411BE30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As189.042nm半峰宽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0.007nm， Ca393.366nm半峰宽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0.017nm，   Ba614.172nm半峰宽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0.024nm, K766.490nm半峰宽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0.035nm，并提供证明材料；</w:t>
            </w:r>
          </w:p>
          <w:p w14:paraId="0FA4FC12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1.2.2.5焦距≤580mm。</w:t>
            </w:r>
          </w:p>
          <w:p w14:paraId="78E5411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1.2.3 等离子体：</w:t>
            </w:r>
          </w:p>
          <w:p w14:paraId="5FC53233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1.2.3.1等离子体观察方式：炬管垂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直放置，双向观测，在一次分析中同时给出水平和垂直观测的结果；</w:t>
            </w:r>
          </w:p>
          <w:p w14:paraId="1E7CEACB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1.2.3.2 RF发生器：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Hans"/>
              </w:rPr>
              <w:t>采用免维护的平板或等离子线圈设计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Hans"/>
              </w:rPr>
              <w:t>若为线圈设计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离子体线圈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具有保护层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若发生器为风冷，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在达到现场验收标准基础上加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配三套发生器备用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提供原厂图片证明文件</w:t>
            </w:r>
          </w:p>
          <w:p w14:paraId="605F2034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snapToGrid w:val="0"/>
                <w:color w:val="000000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1.2.3.3 频率：≤40.68MHZ；</w:t>
            </w:r>
          </w:p>
        </w:tc>
      </w:tr>
      <w:tr w14:paraId="6565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0" w:type="dxa"/>
            <w:vAlign w:val="center"/>
          </w:tcPr>
          <w:p w14:paraId="5785288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680" w:type="dxa"/>
            <w:vAlign w:val="center"/>
          </w:tcPr>
          <w:p w14:paraId="08936537"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both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90" w:type="dxa"/>
            <w:vAlign w:val="center"/>
          </w:tcPr>
          <w:p w14:paraId="74528947"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1.2.3.4气路控制：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不少于3路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高精度质量流量计，由软件直接控制，包括冷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却气、辅助气、雾化气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等，均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由质量流量控制器控制，其中雾化气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控制精度≤0.01L/min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8FD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0" w:type="dxa"/>
            <w:vAlign w:val="center"/>
          </w:tcPr>
          <w:p w14:paraId="5E5B56D4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0" w:type="dxa"/>
            <w:vAlign w:val="center"/>
          </w:tcPr>
          <w:p w14:paraId="39668E57"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both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90" w:type="dxa"/>
            <w:vAlign w:val="center"/>
          </w:tcPr>
          <w:p w14:paraId="7F11B3F1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▲1.2.3.5尾焰处理技术：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锥内反吹氩气技术，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使用空气、氮气或氩气等气体切割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若使用气体切割技术，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消耗量需小于3L/min（气体切割尾焰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在达到现场验收标准基础上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另加配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1套高纯氮气发生器和氮气净化器）。提供仪器尾焰处理硬件设计照片证明文件。</w:t>
            </w:r>
          </w:p>
          <w:p w14:paraId="43E1F7A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1.2.4 进样系统：</w:t>
            </w:r>
          </w:p>
          <w:p w14:paraId="0420D9FC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▲1.2.4.1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炬管：无需手动连接等离子气，辅助气气路的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便捷切换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炬管（若中心管和矩管不可分割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在达到现场验收标准基础上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加配3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套进样系统备用）（提供矩管气路图片）；</w:t>
            </w:r>
          </w:p>
          <w:p w14:paraId="1F695C80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1.2.4.2雾化器：高效同心雾化器；</w:t>
            </w:r>
          </w:p>
          <w:p w14:paraId="220A3B83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1.2.4.3雾化室：旋流雾化室；</w:t>
            </w:r>
          </w:p>
          <w:p w14:paraId="55C624F8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▲1.2.4.4需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废液安全在线自动监控功能，实时自动监控；（提供软件截图证明材料）</w:t>
            </w:r>
          </w:p>
          <w:p w14:paraId="1AADE89E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▲1.2.4.5蠕动泵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4通道蠕动泵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，0-125 rpm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连续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可调。</w:t>
            </w:r>
          </w:p>
          <w:p w14:paraId="3454205A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1.2.4.6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配置HF、高盐、有机进样系统：HF进样系统可耐受耐50% HCl、HNO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、H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SO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、H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PO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，40%HF； 高盐进项系统可耐受40% TDS，有机进样系统可耐受100%有机样品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7CC8726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1.2.5分析软件：</w:t>
            </w:r>
          </w:p>
          <w:p w14:paraId="4B35A7E1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1.2.5.1 基于网络化连接与控制的多任务、多用途操作平台. 具有登录口令保护，多级操作权限设置和网络安全管理，具有历史记录和电子签名、自动备份等功能；</w:t>
            </w:r>
          </w:p>
          <w:p w14:paraId="4D262BC8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1.2.5.2 软件具有定性、半定量、定量分析功能；</w:t>
            </w:r>
          </w:p>
          <w:p w14:paraId="293EAD48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1.2.5.3具有同时记录所有元素谱线的“摄谱”功能；</w:t>
            </w:r>
          </w:p>
          <w:p w14:paraId="37425A8C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▲1.2.5.4 具有元素间干扰校正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和实时背景扣除等不少于三种干扰校正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提供证明文件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AE90287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1.2.5.5 仪器诊断软件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网络通讯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离线再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处理功能；</w:t>
            </w:r>
          </w:p>
          <w:p w14:paraId="19A97D88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1.2.5.6支持Excel，XML,CSV数据导出,可直接与LIMS系统对接。</w:t>
            </w:r>
          </w:p>
          <w:p w14:paraId="575CA8FC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1.2.6 分析性能： </w:t>
            </w:r>
          </w:p>
          <w:p w14:paraId="33EA5A18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▲1.2.6.1分析速度：≥每分钟70个元素或140条谱线，且每条测量谱线的积分时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间≥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秒，重复3次（提供软件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截图证明）</w:t>
            </w:r>
          </w:p>
          <w:p w14:paraId="4D777481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1.2.6.2样品消耗量：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2ml，测定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70个元素；</w:t>
            </w:r>
          </w:p>
          <w:p w14:paraId="516037A5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1.2.6.3谱线灵活性：可对分析元素的任何一条谱线进行定性、半定量和定量分析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，便于分析研究；</w:t>
            </w:r>
          </w:p>
          <w:p w14:paraId="2EEB8589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1.2.6.4 测定谱线的线性动态范围：≥10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（以Mn257.6nm 来测定，相关系数≥0.9996），提供证明材料；</w:t>
            </w:r>
          </w:p>
          <w:p w14:paraId="67B78C57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▲1.2.6.5内标校正：同时的内标校正，即内标元素和测量元素必须同时曝光；</w:t>
            </w:r>
          </w:p>
          <w:p w14:paraId="5E19EDD7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1.2.6.6精密度：测定1ppm或10ppm多元素混合标准溶液，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十次的RSD≤0.5%；</w:t>
            </w:r>
          </w:p>
          <w:p w14:paraId="75E996A8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▲1.2.6.7稳定性：测定1ppm或10ppm多元素混合标准溶液，不使用内标校正，连续测定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小时的稳定性RSD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1.0%；</w:t>
            </w:r>
          </w:p>
          <w:p w14:paraId="7F6AEEBE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1.2.6.8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检出限：（以1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次空白的3φ做为检出限）</w:t>
            </w:r>
          </w:p>
          <w:p w14:paraId="28CC91A3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Zn(213.856nm)检出限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0.20 ug/L</w:t>
            </w:r>
          </w:p>
          <w:p w14:paraId="41B606A0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Cu(324.754nm)检出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限≤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0.60 ug/L</w:t>
            </w:r>
          </w:p>
          <w:p w14:paraId="2FDB34C2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Ni(231.604nm)检出限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0.60 ug/L</w:t>
            </w:r>
          </w:p>
          <w:p w14:paraId="258BA1FB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Cr(267.716nm)检出限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0.60 ug/L</w:t>
            </w:r>
          </w:p>
          <w:p w14:paraId="483F3D64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Ba(455.403nm)检出限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0.03 ug/L</w:t>
            </w:r>
          </w:p>
          <w:p w14:paraId="5DF28291"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Mn(257.610nm)检出限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0.07 ug/L</w:t>
            </w:r>
          </w:p>
        </w:tc>
      </w:tr>
      <w:tr w14:paraId="2E81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0" w:type="dxa"/>
            <w:vAlign w:val="center"/>
          </w:tcPr>
          <w:p w14:paraId="587ECC3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0" w:type="dxa"/>
            <w:vAlign w:val="center"/>
          </w:tcPr>
          <w:p w14:paraId="4A8C6DEE"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both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90" w:type="dxa"/>
            <w:vAlign w:val="center"/>
          </w:tcPr>
          <w:p w14:paraId="06CDF2D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二、配置：</w:t>
            </w:r>
          </w:p>
          <w:p w14:paraId="097321AB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2.1等离子体发射光谱仪主机（带快速进样阀、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路质量流量计控制气路，4通道蠕动泵）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  <w:p w14:paraId="7F125CF8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 配套循环水冷机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以及仪器到场达到验收标准的相应配件（包括但不限于，气体发生装置、气体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净化器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真空泵等）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  <w:p w14:paraId="1D9BDCBD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 系统软件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  <w:p w14:paraId="03C27D5C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数据处理设备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CPU:I5 14代及以上，主频≥2.8GHz，集显，内存≥32GB，硬盘≥512GB SSD，显示器≥23吋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】</w:t>
            </w:r>
          </w:p>
          <w:p w14:paraId="213EE93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稳压电源：具有滤波净化功能的单相稳压电源，功率10KVA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1套</w:t>
            </w:r>
          </w:p>
          <w:p w14:paraId="29116C0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2.6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A4激光打印机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分辨率≥600*1200dpi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】</w:t>
            </w:r>
          </w:p>
          <w:p w14:paraId="446F514B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2.7石英进样系统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（包括：旋流雾化室；可拆卸矩管；2.0mm中心管；同心型雾化器）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  <w:p w14:paraId="241FDFF9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2.8双向有机进样系统（包括:双向炬管；V型槽雾化器；有机雾化室；球形连接夹子；雾化室连接管；中心管套；1mm中心管；炬管套）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  <w:p w14:paraId="238FACAD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2.9双向耐HF酸进样系统（包括:双向炬管；Mira Mist雾化器；耐HF酸雾化室；中心管套；2mm陶瓷中心管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；炬管套）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1套</w:t>
            </w:r>
          </w:p>
          <w:p w14:paraId="5D81DB5F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2.10双向耐高盐进样系统（包括:双向炬管；高盐雾化器；有机雾化室；雾化室连接管；中心管套 ；2mm中心管；炬管套）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1套</w:t>
            </w:r>
          </w:p>
          <w:p w14:paraId="5DFBD3A0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2.11双向矩管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若中心管和矩管不可分割需多提供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套进样系统备用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 w14:paraId="52C1D459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2.12进样泵管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≥30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根</w:t>
            </w:r>
          </w:p>
          <w:p w14:paraId="479C7E45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2.13废液泵管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≥30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ab/>
            </w:r>
          </w:p>
          <w:p w14:paraId="503F831F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2.14标液（500ml多元素混标溶液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溶剂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0.2%HNO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，含有：10mg/L 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K,Ni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1mg/L Al,Cu,Mn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0.2mg/L Ba,Ca,Mg,Zn）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1套</w:t>
            </w:r>
          </w:p>
          <w:p w14:paraId="35A82B17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2.15安装调试液（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500ml 2mg/L Zn 溶液）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1套</w:t>
            </w:r>
          </w:p>
          <w:p w14:paraId="7D416961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2.16工具箱（包含各种使用工具，接口、卡扣、管线）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1套</w:t>
            </w:r>
          </w:p>
          <w:p w14:paraId="398DA3A2">
            <w:pPr>
              <w:spacing w:line="360" w:lineRule="auto"/>
              <w:rPr>
                <w:rFonts w:hint="eastAsia" w:ascii="宋体" w:hAnsi="宋体" w:eastAsia="宋体" w:cs="宋体"/>
                <w:b/>
                <w:snapToGrid w:val="0"/>
                <w:color w:val="000000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2.17实验通风系统装修（包含人工，分级，现场勘测）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1套</w:t>
            </w:r>
          </w:p>
        </w:tc>
      </w:tr>
      <w:tr w14:paraId="069D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0" w:type="dxa"/>
            <w:vAlign w:val="center"/>
          </w:tcPr>
          <w:p w14:paraId="765F9A3E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0" w:type="dxa"/>
            <w:vAlign w:val="center"/>
          </w:tcPr>
          <w:p w14:paraId="63DD3C79"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both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90" w:type="dxa"/>
            <w:vAlign w:val="center"/>
          </w:tcPr>
          <w:p w14:paraId="3DEB5294">
            <w:pPr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售后服务标准要求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 w14:paraId="6F417AB2">
            <w:pPr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.培训：技术人员对采购人实验室仪器操作人员提供免费的操作及维护培训，直至操作人员熟练掌握各项操作技能，每年提供4次免费的上门培训。提供2个名额在厂家实验室的培训。</w:t>
            </w:r>
          </w:p>
          <w:p w14:paraId="292B6DD5">
            <w:pPr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.维修：在接到采购人有关操作问题、仪器故障的询问时，承诺2小时内响应，如有必要现场维修，24小时内派合格工程师到用户现场，48小时内排除故障。并及时提供相对应问题的解决方案。</w:t>
            </w:r>
          </w:p>
          <w:p w14:paraId="253D7687">
            <w:pPr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.提供仪器最新信息及应用资料，享受免费升级服务，免费升级软件。提供终身免费技术支持。提供免费移机服务。</w:t>
            </w:r>
          </w:p>
          <w:p w14:paraId="617E5560">
            <w:pPr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即时响应（包括电话响应）；电话响应无法解决时， 24 小时内到达现场。修复时间 48小时内；如 48 小时内无法修复，应提供相应解决方案。</w:t>
            </w:r>
          </w:p>
        </w:tc>
      </w:tr>
    </w:tbl>
    <w:p w14:paraId="19772F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A6222"/>
    <w:multiLevelType w:val="multilevel"/>
    <w:tmpl w:val="2C8A622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TY0MjE5ODlmZmUzZGU0YWNiZDQ1OGMwNmQ3MzYifQ=="/>
  </w:docVars>
  <w:rsids>
    <w:rsidRoot w:val="195C48FC"/>
    <w:rsid w:val="195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0"/>
    <w:pPr>
      <w:ind w:left="720"/>
      <w:contextualSpacing/>
    </w:pPr>
    <w:rPr>
      <w:rFonts w:ascii="Calibri" w:hAnsi="Calibri"/>
      <w:sz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2024-08-05T11:08:00Z</dcterms:created>
  <dc:creator>疯子1977</dc:creator>
  <cp:lastModifiedBy>疯子1977</cp:lastModifiedBy>
  <dcterms:modified xsi:type="dcterms:W3CDTF">2024-08-05T11:09:00Z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0DF2E2AB6EEC4F5DBEFE7AE6A69BED87_11</vt:lpwstr>
  </property>
</Properties>
</file>