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版本号：241015002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2024年信息化建设项目</w:t>
      </w:r>
    </w:p>
    <w:p>
      <w:pPr>
        <w:pStyle w:val="null3"/>
        <w:jc w:val="center"/>
        <w:outlineLvl w:val="2"/>
      </w:pPr>
      <w:r>
        <w:rPr>
          <w:sz w:val="28"/>
          <w:b/>
        </w:rPr>
        <w:t>采购项目编号：</w:t>
      </w:r>
      <w:r>
        <w:rPr>
          <w:sz w:val="28"/>
          <w:b/>
        </w:rPr>
        <w:t>SNJZ-2024-136</w:t>
      </w:r>
      <w:r>
        <w:br/>
      </w:r>
      <w:r>
        <w:br/>
      </w:r>
      <w:r>
        <w:br/>
      </w:r>
    </w:p>
    <w:p>
      <w:pPr>
        <w:pStyle w:val="null3"/>
        <w:jc w:val="center"/>
        <w:outlineLvl w:val="2"/>
      </w:pPr>
      <w:r>
        <w:rPr>
          <w:sz w:val="28"/>
          <w:b/>
        </w:rPr>
        <w:t>杨凌职业技术学院</w:t>
      </w:r>
    </w:p>
    <w:p>
      <w:pPr>
        <w:pStyle w:val="null3"/>
        <w:jc w:val="center"/>
        <w:outlineLvl w:val="2"/>
      </w:pPr>
      <w:r>
        <w:rPr>
          <w:sz w:val="28"/>
          <w:b/>
        </w:rPr>
        <w:t>陕西教育招标有限责任公司</w:t>
      </w:r>
      <w:r>
        <w:rPr>
          <w:sz w:val="28"/>
          <w:b/>
        </w:rPr>
        <w:t>共同编制</w:t>
      </w:r>
    </w:p>
    <w:p>
      <w:pPr>
        <w:pStyle w:val="null3"/>
        <w:jc w:val="center"/>
        <w:outlineLvl w:val="2"/>
      </w:pPr>
      <w:r>
        <w:rPr>
          <w:sz w:val="28"/>
          <w:b/>
        </w:rPr>
        <w:t>2024年09月29日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陕西教育招标有限责任公司</w:t>
      </w:r>
      <w:r>
        <w:rPr/>
        <w:t>（以下简称“代理机构”）受</w:t>
      </w:r>
      <w:r>
        <w:rPr/>
        <w:t>杨凌职业技术学院</w:t>
      </w:r>
      <w:r>
        <w:rPr/>
        <w:t>委托，拟对</w:t>
      </w:r>
      <w:r>
        <w:rPr/>
        <w:t>2024年信息化建设项目</w:t>
      </w:r>
      <w:r>
        <w:rPr/>
        <w:t>进行国内公开招标，兹邀请符合本次招标要求的供应商参加投标。</w:t>
      </w:r>
    </w:p>
    <w:p>
      <w:pPr>
        <w:pStyle w:val="null3"/>
        <w:outlineLvl w:val="2"/>
      </w:pPr>
      <w:r>
        <w:rPr>
          <w:sz w:val="28"/>
          <w:b/>
        </w:rPr>
        <w:t>一、采购项目编号：</w:t>
      </w:r>
      <w:r>
        <w:rPr>
          <w:sz w:val="28"/>
          <w:b/>
        </w:rPr>
        <w:t>SNJZ-2024-136</w:t>
      </w:r>
    </w:p>
    <w:p>
      <w:pPr>
        <w:pStyle w:val="null3"/>
        <w:outlineLvl w:val="2"/>
      </w:pPr>
      <w:r>
        <w:rPr>
          <w:sz w:val="28"/>
          <w:b/>
        </w:rPr>
        <w:t>二、采购项目名称：</w:t>
      </w:r>
      <w:r>
        <w:rPr>
          <w:sz w:val="28"/>
          <w:b/>
        </w:rPr>
        <w:t>2024年信息化建设项目</w:t>
      </w:r>
    </w:p>
    <w:p>
      <w:pPr>
        <w:pStyle w:val="null3"/>
        <w:outlineLvl w:val="2"/>
      </w:pPr>
      <w:r>
        <w:rPr>
          <w:sz w:val="28"/>
          <w:b/>
        </w:rPr>
        <w:t>三、招标项目简介</w:t>
      </w:r>
    </w:p>
    <w:p>
      <w:pPr>
        <w:pStyle w:val="null3"/>
        <w:ind w:firstLine="480"/>
      </w:pPr>
      <w:r>
        <w:rPr/>
        <w:t>网络安全等级保护测评和校园软件正版化场地授权服务采购</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采购包1（网络安全等级保护测）：属于专门面向中小企业采购。</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1、营业执照：具有独立承担民事责任能力的法人、其他组织或自然人，提供营业执照/事业单位法人证书/非企业专业服务机构执业许可证/自然人身份证。</w:t>
      </w:r>
    </w:p>
    <w:p>
      <w:pPr>
        <w:pStyle w:val="null3"/>
      </w:pPr>
      <w:r>
        <w:rPr/>
        <w:t>2、法定代表人授权书（证明书）：法定代表人参加投标时，提供法定代表人证明书；授权代表参加投标时，提供法定代表人授权书；非法人单位参照执行。</w:t>
      </w:r>
    </w:p>
    <w:p>
      <w:pPr>
        <w:pStyle w:val="null3"/>
      </w:pPr>
      <w:r>
        <w:rPr/>
        <w:t>3、财务状况报告：提供经审计的2023年度的财务报告或提交投标响应文件截止时间前十二个月内银行资信证明；或政府采购信用担保机构出具的投标担保函。</w:t>
      </w:r>
    </w:p>
    <w:p>
      <w:pPr>
        <w:pStyle w:val="null3"/>
      </w:pPr>
      <w:r>
        <w:rPr/>
        <w:t>4、税收缴纳证明：提供投标响应文件递交截止时间前近十二个月内至少一个月已缴纳的纳税凭据或完税证明；依法免税的供应商应提供相关文件证明。</w:t>
      </w:r>
    </w:p>
    <w:p>
      <w:pPr>
        <w:pStyle w:val="null3"/>
      </w:pPr>
      <w:r>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t>6、提供具有履行本合同所必需的设备和专业技术能力的承诺：提供具有履行本合同所必需的设备和专业技术能力的承诺。</w:t>
      </w:r>
    </w:p>
    <w:p>
      <w:pPr>
        <w:pStyle w:val="null3"/>
      </w:pPr>
      <w:r>
        <w:rPr/>
        <w:t>7、无重大违法记录的书面声明：提供参加政府采购活动前三年内在经营活动中没有重大违法记录的书面声明。</w:t>
      </w:r>
    </w:p>
    <w:p>
      <w:pPr>
        <w:pStyle w:val="null3"/>
      </w:pPr>
      <w:r>
        <w:rPr/>
        <w:t>8、网络安全等级测评与检测评估机构服务认证证书：投标人具有有效的网络安全等级测评与检测评估机构服务认证证书</w:t>
      </w:r>
    </w:p>
    <w:p>
      <w:pPr>
        <w:pStyle w:val="null3"/>
      </w:pPr>
      <w:r>
        <w:rPr/>
        <w:t>采购包2：</w:t>
      </w:r>
    </w:p>
    <w:p>
      <w:pPr>
        <w:pStyle w:val="null3"/>
      </w:pPr>
      <w:r>
        <w:rPr/>
        <w:t>1、营业执照：具有独立承担民事责任能力的法人、其他组织或自然人，提供营业执照/事业单位法人证书/非企业专业服务机构执业许可证/自然人身份证。</w:t>
      </w:r>
    </w:p>
    <w:p>
      <w:pPr>
        <w:pStyle w:val="null3"/>
      </w:pPr>
      <w:r>
        <w:rPr/>
        <w:t>2、法定代表人授权书（证明书）：法定代表人参加投标时，提供法定代表人证明书；授权代表参加投标时，提供法定代表人授权书；非法人单位参照执行。</w:t>
      </w:r>
    </w:p>
    <w:p>
      <w:pPr>
        <w:pStyle w:val="null3"/>
      </w:pPr>
      <w:r>
        <w:rPr/>
        <w:t>3、财务状况报告：提供经审计的2023年度的财务报告或提交投标响应文件截止时间前十二个月内银行资信证明；或政府采购信用担保机构出具的投标担保函。</w:t>
      </w:r>
    </w:p>
    <w:p>
      <w:pPr>
        <w:pStyle w:val="null3"/>
      </w:pPr>
      <w:r>
        <w:rPr/>
        <w:t>4、税收缴纳证明：提供投标响应文件递交截止时间前近十二个月内至少一个月已缴纳的纳税凭据或完税证明；依法免税的供应商应提供相关文件证明。</w:t>
      </w:r>
    </w:p>
    <w:p>
      <w:pPr>
        <w:pStyle w:val="null3"/>
      </w:pPr>
      <w:r>
        <w:rPr/>
        <w:t>5、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t>6、提供具有履行本合同所必需的设备和专业技术能力的承诺：提供具有履行本合同所必需的设备和专业技术能力的承诺。</w:t>
      </w:r>
    </w:p>
    <w:p>
      <w:pPr>
        <w:pStyle w:val="null3"/>
      </w:pPr>
      <w:r>
        <w:rPr/>
        <w:t>7、无重大违法记录的书面声明：提供参加政府采购活动前三年内在经营活动中没有重大违法记录的书面声明。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杨凌职业技术学院</w:t>
      </w:r>
    </w:p>
    <w:p>
      <w:pPr>
        <w:pStyle w:val="null3"/>
      </w:pPr>
      <w:r>
        <w:rPr/>
        <w:t xml:space="preserve"> 地址： </w:t>
      </w:r>
      <w:r>
        <w:rPr/>
        <w:t>杨凌示范区渭惠路24号</w:t>
      </w:r>
    </w:p>
    <w:p>
      <w:pPr>
        <w:pStyle w:val="null3"/>
      </w:pPr>
      <w:r>
        <w:rPr/>
        <w:t xml:space="preserve"> 邮编： </w:t>
      </w:r>
      <w:r>
        <w:rPr/>
        <w:t>712100</w:t>
      </w:r>
    </w:p>
    <w:p>
      <w:pPr>
        <w:pStyle w:val="null3"/>
      </w:pPr>
      <w:r>
        <w:rPr/>
        <w:t xml:space="preserve"> 联系人： </w:t>
      </w:r>
      <w:r>
        <w:rPr/>
        <w:t>杨凌职业技术学院经办</w:t>
      </w:r>
    </w:p>
    <w:p>
      <w:pPr>
        <w:pStyle w:val="null3"/>
      </w:pPr>
      <w:r>
        <w:rPr/>
        <w:t xml:space="preserve"> 联系电话： </w:t>
      </w:r>
      <w:r>
        <w:rPr/>
        <w:t>029-87085980</w:t>
      </w:r>
    </w:p>
    <w:p>
      <w:pPr>
        <w:pStyle w:val="null3"/>
        <w:outlineLvl w:val="2"/>
      </w:pPr>
      <w:r>
        <w:rPr>
          <w:sz w:val="28"/>
          <w:b/>
        </w:rPr>
        <w:t>代理机构：</w:t>
      </w:r>
      <w:r>
        <w:rPr>
          <w:sz w:val="28"/>
          <w:b/>
        </w:rPr>
        <w:t>陕西教育招标有限责任公司</w:t>
      </w:r>
    </w:p>
    <w:p>
      <w:pPr>
        <w:pStyle w:val="null3"/>
      </w:pPr>
      <w:r>
        <w:rPr/>
        <w:t xml:space="preserve"> 地址： </w:t>
      </w:r>
      <w:r>
        <w:rPr/>
        <w:t>陕西省西安市市本级陕西省西安市太白南路181号西部电子社区A座B区401</w:t>
      </w:r>
    </w:p>
    <w:p>
      <w:pPr>
        <w:pStyle w:val="null3"/>
      </w:pPr>
      <w:r>
        <w:rPr/>
        <w:t xml:space="preserve"> 邮编： </w:t>
      </w:r>
      <w:r>
        <w:rPr/>
        <w:t>710065</w:t>
      </w:r>
    </w:p>
    <w:p>
      <w:pPr>
        <w:pStyle w:val="null3"/>
      </w:pPr>
      <w:r>
        <w:rPr/>
        <w:t xml:space="preserve"> 联系人： </w:t>
      </w:r>
      <w:r>
        <w:rPr/>
        <w:t>左建强 王力 程玉 孙博 胡荣 刘莹 鲁芳芳 崔斌</w:t>
      </w:r>
    </w:p>
    <w:p>
      <w:pPr>
        <w:pStyle w:val="null3"/>
      </w:pPr>
      <w:r>
        <w:rPr/>
        <w:t xml:space="preserve"> 联系电话： </w:t>
      </w:r>
      <w:r>
        <w:rPr/>
        <w:t xml:space="preserve"> 029-88221929</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采购包1：300,000.00元</w:t>
            </w:r>
          </w:p>
          <w:p>
            <w:pPr>
              <w:pStyle w:val="null3"/>
            </w:pPr>
            <w:r>
              <w:rPr/>
              <w:t>采购包2：300,000.00元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采购包1保证金金额：5,000.00元</w:t>
            </w:r>
          </w:p>
          <w:p>
            <w:pPr>
              <w:pStyle w:val="null3"/>
            </w:pPr>
            <w:r>
              <w:rPr/>
              <w:t>采购包2保证金金额：5,500.00元</w:t>
            </w:r>
          </w:p>
          <w:p>
            <w:pPr>
              <w:pStyle w:val="null3"/>
            </w:pPr>
            <w:r>
              <w:rPr/>
              <w:t>缴交渠道：电子保函,转账、支票、汇票等（需通过实体账户、户名及开户行信息）</w:t>
            </w:r>
          </w:p>
          <w:p>
            <w:pPr>
              <w:pStyle w:val="null3"/>
            </w:pPr>
            <w:r>
              <w:rPr/>
              <w:t>开户名称：陕西教育招标有限责任公司</w:t>
            </w:r>
          </w:p>
          <w:p>
            <w:pPr>
              <w:pStyle w:val="null3"/>
            </w:pPr>
            <w:r>
              <w:rPr/>
              <w:t>开户银行：浙商银行西安长安路支行</w:t>
            </w:r>
          </w:p>
          <w:p>
            <w:pPr>
              <w:pStyle w:val="null3"/>
            </w:pPr>
            <w:r>
              <w:rPr/>
              <w:t>银行账号：7910000410120100071552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人在收到中标通知书后十(10)个日历日内，按照原国家计委《招标代理服务收费管理暂行办法》(计价格〔2002〕1980号)及发改办价格[2003]857号文件规定的收费标准下浮20%，向陕西教育招标有限责任公司交纳招标代理服务费，招标代理服务费采用现金、电汇或银行转账方式交纳，不得采用投标保证金抵扣。 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杨凌职业技术学院</w:t>
      </w:r>
      <w:r>
        <w:rPr/>
        <w:t>和</w:t>
      </w:r>
      <w:r>
        <w:rPr/>
        <w:t>陕西教育招标有限责任公司</w:t>
      </w:r>
      <w:r>
        <w:rPr/>
        <w:t>享有。对招标文件中供应商参加本次政府采购活动应当具备的条件，招标项目技术、服务、商务及其他要求，评标细则及标准由</w:t>
      </w:r>
      <w:r>
        <w:rPr/>
        <w:t>杨凌职业技术学院</w:t>
      </w:r>
      <w:r>
        <w:rPr/>
        <w:t>负责解释。除上述招标文件内容，其他内容由</w:t>
      </w:r>
      <w:r>
        <w:rPr/>
        <w:t>陕西教育招标有限责任公司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杨凌职业技术学院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陕西教育招标有限责任公司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sz w:val="24"/>
          <w:b/>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sz w:val="24"/>
          <w:b/>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sz w:val="24"/>
          <w:b/>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陕西教育招标有限责任公司</w:t>
      </w:r>
      <w:r>
        <w:rPr/>
        <w:t xml:space="preserve"> 负责答复；供应商对除采购需求外的采购文件的询问、质疑由</w:t>
      </w:r>
      <w:r>
        <w:rPr/>
        <w:t>陕西教育招标有限责任公司</w:t>
      </w:r>
      <w:r>
        <w:rPr/>
        <w:t xml:space="preserve"> 负责答复；供应商对采购过程、采购结果的询问、质疑由 </w:t>
      </w:r>
      <w:r>
        <w:rPr/>
        <w:t>陕西教育招标有限责任公司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联系人：左建强 程钰</w:t>
      </w:r>
    </w:p>
    <w:p>
      <w:pPr>
        <w:pStyle w:val="null3"/>
      </w:pPr>
      <w:r>
        <w:rPr/>
        <w:t>联系电话：029-88224929</w:t>
      </w:r>
    </w:p>
    <w:p>
      <w:pPr>
        <w:pStyle w:val="null3"/>
      </w:pPr>
      <w:r>
        <w:rPr/>
        <w:t>地址：西安市雁塔区太白南路181号西部电子社区A座B区401</w:t>
      </w:r>
    </w:p>
    <w:p>
      <w:pPr>
        <w:pStyle w:val="null3"/>
      </w:pPr>
      <w:r>
        <w:rPr/>
        <w:t>邮编：710065</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网络安全等级保护测评服务和校园软件正版化场地授权服务</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300,000.00</w:t>
      </w:r>
    </w:p>
    <w:p>
      <w:pPr>
        <w:pStyle w:val="null3"/>
      </w:pPr>
      <w:r>
        <w:rPr/>
        <w:t>采购包最高限价（元）: 300,000.00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网络安全等级保护测评</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300,000.00</w:t>
      </w:r>
    </w:p>
    <w:p>
      <w:pPr>
        <w:pStyle w:val="null3"/>
      </w:pPr>
      <w:r>
        <w:rPr/>
        <w:t>采购包最高限价（元）: 300,000.00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校园软件正版化场地授权</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sz w:val="24"/>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75" w:after="75"/>
              <w:jc w:val="both"/>
            </w:pPr>
            <w:r>
              <w:rPr>
                <w:rFonts w:ascii="方正仿宋_gb2312" w:hAnsi="方正仿宋_gb2312" w:cs="方正仿宋_gb2312" w:eastAsia="方正仿宋_gb2312"/>
                <w:sz w:val="24"/>
              </w:rPr>
              <w:t>（一）、项目概况：</w:t>
            </w:r>
          </w:p>
          <w:p>
            <w:pPr>
              <w:pStyle w:val="null3"/>
              <w:ind w:firstLine="480"/>
            </w:pPr>
            <w:r>
              <w:rPr>
                <w:rFonts w:ascii="方正仿宋_gb2312" w:hAnsi="方正仿宋_gb2312" w:cs="方正仿宋_gb2312" w:eastAsia="方正仿宋_gb2312"/>
                <w:sz w:val="24"/>
              </w:rPr>
              <w:t>根据国家《中华人民共和国网络安全法》《信息安全等级保护管理办法》</w:t>
            </w:r>
            <w:r>
              <w:rPr>
                <w:rFonts w:ascii="times new roman, times, serif" w:hAnsi="times new roman, times, serif" w:cs="times new roman, times, serif" w:eastAsia="times new roman, times, serif"/>
                <w:sz w:val="24"/>
              </w:rPr>
              <w:t>(</w:t>
            </w:r>
            <w:r>
              <w:rPr>
                <w:rFonts w:ascii="方正仿宋_gb2312" w:hAnsi="方正仿宋_gb2312" w:cs="方正仿宋_gb2312" w:eastAsia="方正仿宋_gb2312"/>
                <w:sz w:val="24"/>
              </w:rPr>
              <w:t>公通字</w:t>
            </w:r>
            <w:r>
              <w:rPr>
                <w:rFonts w:ascii="times new roman, times, serif" w:hAnsi="times new roman, times, serif" w:cs="times new roman, times, serif" w:eastAsia="times new roman, times, serif"/>
                <w:sz w:val="24"/>
              </w:rPr>
              <w:t>[2007]43</w:t>
            </w:r>
            <w:r>
              <w:rPr>
                <w:rFonts w:ascii="方正仿宋_gb2312" w:hAnsi="方正仿宋_gb2312" w:cs="方正仿宋_gb2312" w:eastAsia="方正仿宋_gb2312"/>
                <w:sz w:val="24"/>
              </w:rPr>
              <w:t>号）、《关于推动信息安全等级保护测评体系建设和开展等级测评工作的通知》（公信安</w:t>
            </w:r>
            <w:r>
              <w:rPr>
                <w:rFonts w:ascii="times new roman, times, serif" w:hAnsi="times new roman, times, serif" w:cs="times new roman, times, serif" w:eastAsia="times new roman, times, serif"/>
                <w:sz w:val="24"/>
              </w:rPr>
              <w:t>[2010]303</w:t>
            </w:r>
            <w:r>
              <w:rPr>
                <w:rFonts w:ascii="方正仿宋_gb2312" w:hAnsi="方正仿宋_gb2312" w:cs="方正仿宋_gb2312" w:eastAsia="方正仿宋_gb2312"/>
                <w:sz w:val="24"/>
              </w:rPr>
              <w:t>号）、《陕西省信息安全等级保护安全建设整改工作指导意见》（陕等保办</w:t>
            </w:r>
            <w:r>
              <w:rPr>
                <w:rFonts w:ascii="times new roman, times, serif" w:hAnsi="times new roman, times, serif" w:cs="times new roman, times, serif" w:eastAsia="times new roman, times, serif"/>
                <w:sz w:val="24"/>
              </w:rPr>
              <w:t>2011 2</w:t>
            </w:r>
            <w:r>
              <w:rPr>
                <w:rFonts w:ascii="方正仿宋_gb2312" w:hAnsi="方正仿宋_gb2312" w:cs="方正仿宋_gb2312" w:eastAsia="方正仿宋_gb2312"/>
                <w:sz w:val="24"/>
              </w:rPr>
              <w:t>号）等相关文件要求。此次项目拟对以下信息系统开展等级测评工作。信息系统名称及安全保护等级如下表：</w:t>
            </w:r>
          </w:p>
          <w:tbl>
            <w:tblPr>
              <w:tblInd w:type="dxa" w:w="135"/>
              <w:tblBorders>
                <w:top w:val="none" w:color="000000" w:sz="4"/>
                <w:left w:val="none" w:color="000000" w:sz="4"/>
                <w:bottom w:val="none" w:color="000000" w:sz="4"/>
                <w:right w:val="none" w:color="000000" w:sz="4"/>
                <w:insideH w:val="none"/>
                <w:insideV w:val="none"/>
              </w:tblBorders>
            </w:tblPr>
            <w:tblGrid>
              <w:gridCol w:w="234"/>
              <w:gridCol w:w="1314"/>
              <w:gridCol w:w="371"/>
              <w:gridCol w:w="609"/>
            </w:tblGrid>
            <w:tr>
              <w:tc>
                <w:tcPr>
                  <w:tcW w:type="dxa" w:w="23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序号</w:t>
                  </w:r>
                </w:p>
              </w:tc>
              <w:tc>
                <w:tcPr>
                  <w:tcW w:type="dxa" w:w="131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信息系统名称</w:t>
                  </w:r>
                </w:p>
              </w:tc>
              <w:tc>
                <w:tcPr>
                  <w:tcW w:type="dxa" w:w="37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等级</w:t>
                  </w:r>
                </w:p>
              </w:tc>
              <w:tc>
                <w:tcPr>
                  <w:tcW w:type="dxa" w:w="60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1</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数字校园系统</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二级</w:t>
                  </w:r>
                </w:p>
              </w:tc>
              <w:tc>
                <w:tcPr>
                  <w:tcW w:type="dxa" w:w="60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pPr>
                  <w:r>
                    <w:rPr>
                      <w:rFonts w:ascii="方正仿宋_gb2312" w:hAnsi="方正仿宋_gb2312" w:cs="方正仿宋_gb2312" w:eastAsia="方正仿宋_gb2312"/>
                      <w:sz w:val="24"/>
                    </w:rPr>
                    <w:t>定级备案、等级测评、出具《等级测评报告》</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2</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站群系统</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二级</w:t>
                  </w:r>
                </w:p>
              </w:tc>
              <w:tc>
                <w:tcPr>
                  <w:tcW w:type="dxa" w:w="609"/>
                  <w:vMerge/>
                  <w:tcBorders>
                    <w:top w:val="none" w:color="000000" w:sz="4"/>
                    <w:left w:val="none" w:color="000000" w:sz="4"/>
                    <w:bottom w:val="non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3</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教务系统</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二级</w:t>
                  </w:r>
                </w:p>
              </w:tc>
              <w:tc>
                <w:tcPr>
                  <w:tcW w:type="dxa" w:w="609"/>
                  <w:vMerge/>
                  <w:tcBorders>
                    <w:top w:val="none" w:color="000000" w:sz="4"/>
                    <w:left w:val="none" w:color="000000" w:sz="4"/>
                    <w:bottom w:val="non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4</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一卡通</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二级</w:t>
                  </w:r>
                </w:p>
              </w:tc>
              <w:tc>
                <w:tcPr>
                  <w:tcW w:type="dxa" w:w="609"/>
                  <w:vMerge/>
                  <w:tcBorders>
                    <w:top w:val="none" w:color="000000" w:sz="4"/>
                    <w:left w:val="none" w:color="000000" w:sz="4"/>
                    <w:bottom w:val="non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5</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办公</w:t>
                  </w:r>
                  <w:r>
                    <w:rPr>
                      <w:rFonts w:ascii="times new roman, times, serif" w:hAnsi="times new roman, times, serif" w:cs="times new roman, times, serif" w:eastAsia="times new roman, times, serif"/>
                      <w:sz w:val="24"/>
                    </w:rPr>
                    <w:t>OA</w:t>
                  </w:r>
                  <w:r>
                    <w:rPr>
                      <w:rFonts w:ascii="方正仿宋_gb2312" w:hAnsi="方正仿宋_gb2312" w:cs="方正仿宋_gb2312" w:eastAsia="方正仿宋_gb2312"/>
                      <w:sz w:val="24"/>
                    </w:rPr>
                    <w:t>系统</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二级</w:t>
                  </w:r>
                </w:p>
              </w:tc>
              <w:tc>
                <w:tcPr>
                  <w:tcW w:type="dxa" w:w="609"/>
                  <w:vMerge/>
                  <w:tcBorders>
                    <w:top w:val="none" w:color="000000" w:sz="4"/>
                    <w:left w:val="none" w:color="000000" w:sz="4"/>
                    <w:bottom w:val="non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6</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优慕课在线教学系统</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二级</w:t>
                  </w:r>
                </w:p>
              </w:tc>
              <w:tc>
                <w:tcPr>
                  <w:tcW w:type="dxa" w:w="609"/>
                  <w:vMerge/>
                  <w:tcBorders>
                    <w:top w:val="none" w:color="000000" w:sz="4"/>
                    <w:left w:val="none" w:color="000000" w:sz="4"/>
                    <w:bottom w:val="none" w:color="000000" w:sz="4"/>
                    <w:right w:val="single" w:color="000000" w:sz="4"/>
                  </w:tcBorders>
                </w:tcPr>
                <w:p/>
              </w:tc>
            </w:tr>
          </w:tbl>
          <w:p>
            <w:pPr>
              <w:pStyle w:val="null3"/>
              <w:ind w:firstLine="480"/>
            </w:pPr>
            <w:r>
              <w:rPr>
                <w:rFonts w:ascii="方正仿宋_gb2312" w:hAnsi="方正仿宋_gb2312" w:cs="方正仿宋_gb2312" w:eastAsia="方正仿宋_gb2312"/>
                <w:sz w:val="24"/>
              </w:rPr>
              <w:t>（二）、技术要求</w:t>
            </w:r>
          </w:p>
          <w:p>
            <w:pPr>
              <w:pStyle w:val="null3"/>
              <w:ind w:firstLine="480"/>
            </w:pP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、服务总体要求</w:t>
            </w:r>
          </w:p>
          <w:p>
            <w:pPr>
              <w:pStyle w:val="null3"/>
              <w:ind w:firstLine="480"/>
            </w:pPr>
            <w:r>
              <w:rPr>
                <w:rFonts w:ascii="方正仿宋_gb2312" w:hAnsi="方正仿宋_gb2312" w:cs="方正仿宋_gb2312" w:eastAsia="方正仿宋_gb2312"/>
                <w:sz w:val="24"/>
              </w:rPr>
              <w:t>依据《信息安全技术网络安全等级保护基本要求》（</w:t>
            </w:r>
            <w:r>
              <w:rPr>
                <w:rFonts w:ascii="times new roman, times, serif" w:hAnsi="times new roman, times, serif" w:cs="times new roman, times, serif" w:eastAsia="times new roman, times, serif"/>
                <w:sz w:val="24"/>
              </w:rPr>
              <w:t>GB/T 22239-2019</w:t>
            </w:r>
            <w:r>
              <w:rPr>
                <w:rFonts w:ascii="方正仿宋_gb2312" w:hAnsi="方正仿宋_gb2312" w:cs="方正仿宋_gb2312" w:eastAsia="方正仿宋_gb2312"/>
                <w:sz w:val="24"/>
              </w:rPr>
              <w:t>）、《信息安全技术网络安全等级保护测评要求》（</w:t>
            </w:r>
            <w:r>
              <w:rPr>
                <w:rFonts w:ascii="times new roman, times, serif" w:hAnsi="times new roman, times, serif" w:cs="times new roman, times, serif" w:eastAsia="times new roman, times, serif"/>
                <w:sz w:val="24"/>
              </w:rPr>
              <w:t>GB/T 28448-2019</w:t>
            </w:r>
            <w:r>
              <w:rPr>
                <w:rFonts w:ascii="方正仿宋_gb2312" w:hAnsi="方正仿宋_gb2312" w:cs="方正仿宋_gb2312" w:eastAsia="方正仿宋_gb2312"/>
                <w:sz w:val="24"/>
              </w:rPr>
              <w:t>）和《信息安全技术网络安全等级保护测评过程指南》（</w:t>
            </w:r>
            <w:r>
              <w:rPr>
                <w:rFonts w:ascii="times new roman, times, serif" w:hAnsi="times new roman, times, serif" w:cs="times new roman, times, serif" w:eastAsia="times new roman, times, serif"/>
                <w:sz w:val="24"/>
              </w:rPr>
              <w:t>GB/T 28449-2018</w:t>
            </w:r>
            <w:r>
              <w:rPr>
                <w:rFonts w:ascii="方正仿宋_gb2312" w:hAnsi="方正仿宋_gb2312" w:cs="方正仿宋_gb2312" w:eastAsia="方正仿宋_gb2312"/>
                <w:sz w:val="24"/>
              </w:rPr>
              <w:t>）等国家关于信息系统安全等级保护的相关标准和规范要求，为被测评单位提供相应级别信息系统等级保护测评实施工作，包括安全通用要求（包括物理安全环境、安全通信网络、安全区域边界、安全计算环境、安全管理中心、安全管理制度、安全管理机构、安全管理人员、安全建设管理、安全运维管理等</w:t>
            </w:r>
            <w:r>
              <w:rPr>
                <w:rFonts w:ascii="times new roman, times, serif" w:hAnsi="times new roman, times, serif" w:cs="times new roman, times, serif" w:eastAsia="times new roman, times, serif"/>
                <w:sz w:val="24"/>
              </w:rPr>
              <w:t>10</w:t>
            </w:r>
            <w:r>
              <w:rPr>
                <w:rFonts w:ascii="方正仿宋_gb2312" w:hAnsi="方正仿宋_gb2312" w:cs="方正仿宋_gb2312" w:eastAsia="方正仿宋_gb2312"/>
                <w:sz w:val="24"/>
              </w:rPr>
              <w:t>个方面）。</w:t>
            </w:r>
          </w:p>
          <w:p>
            <w:pPr>
              <w:pStyle w:val="null3"/>
              <w:ind w:firstLine="480"/>
            </w:pP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、交付成果</w:t>
            </w:r>
          </w:p>
          <w:p>
            <w:pPr>
              <w:pStyle w:val="null3"/>
              <w:ind w:firstLine="480"/>
            </w:pPr>
            <w:r>
              <w:rPr>
                <w:rFonts w:ascii="方正仿宋_gb2312" w:hAnsi="方正仿宋_gb2312" w:cs="方正仿宋_gb2312" w:eastAsia="方正仿宋_gb2312"/>
                <w:sz w:val="24"/>
              </w:rPr>
              <w:t>交付六个系统各自的</w:t>
            </w:r>
            <w:r>
              <w:rPr>
                <w:rFonts w:ascii="方正仿宋_gb2312" w:hAnsi="方正仿宋_gb2312" w:cs="方正仿宋_gb2312" w:eastAsia="方正仿宋_gb2312"/>
                <w:sz w:val="24"/>
              </w:rPr>
              <w:t>“信息系统等级保护测评报告”各</w:t>
            </w:r>
            <w:r>
              <w:rPr>
                <w:rFonts w:ascii="times new roman, times, serif" w:hAnsi="times new roman, times, serif" w:cs="times new roman, times, serif" w:eastAsia="times new roman, times, serif"/>
                <w:sz w:val="24"/>
              </w:rPr>
              <w:t>3</w:t>
            </w:r>
            <w:r>
              <w:rPr>
                <w:rFonts w:ascii="方正仿宋_gb2312" w:hAnsi="方正仿宋_gb2312" w:cs="方正仿宋_gb2312" w:eastAsia="方正仿宋_gb2312"/>
                <w:sz w:val="24"/>
              </w:rPr>
              <w:t>份；公安机关备案证书。</w:t>
            </w:r>
          </w:p>
          <w:p>
            <w:pPr>
              <w:pStyle w:val="null3"/>
              <w:ind w:firstLine="480"/>
            </w:pPr>
            <w:r>
              <w:rPr>
                <w:rFonts w:ascii="times new roman, times, serif" w:hAnsi="times new roman, times, serif" w:cs="times new roman, times, serif" w:eastAsia="times new roman, times, serif"/>
                <w:sz w:val="24"/>
              </w:rPr>
              <w:t>3</w:t>
            </w:r>
            <w:r>
              <w:rPr>
                <w:rFonts w:ascii="方正仿宋_gb2312" w:hAnsi="方正仿宋_gb2312" w:cs="方正仿宋_gb2312" w:eastAsia="方正仿宋_gb2312"/>
                <w:sz w:val="24"/>
              </w:rPr>
              <w:t>、参考标准</w:t>
            </w:r>
          </w:p>
          <w:p>
            <w:pPr>
              <w:pStyle w:val="null3"/>
              <w:ind w:firstLine="480"/>
            </w:pPr>
            <w:r>
              <w:rPr>
                <w:rFonts w:ascii="方正仿宋_gb2312" w:hAnsi="方正仿宋_gb2312" w:cs="方正仿宋_gb2312" w:eastAsia="方正仿宋_gb2312"/>
                <w:sz w:val="24"/>
              </w:rPr>
              <w:t>《信息安全技术网络安全保护等级定级指南》（</w:t>
            </w:r>
            <w:r>
              <w:rPr>
                <w:rFonts w:ascii="times new roman, times, serif" w:hAnsi="times new roman, times, serif" w:cs="times new roman, times, serif" w:eastAsia="times new roman, times, serif"/>
                <w:sz w:val="24"/>
              </w:rPr>
              <w:t>GB/T 1389-2017</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《信息安全技术计算机信息系统安全保护等级划分准则》（</w:t>
            </w:r>
            <w:r>
              <w:rPr>
                <w:rFonts w:ascii="times new roman, times, serif" w:hAnsi="times new roman, times, serif" w:cs="times new roman, times, serif" w:eastAsia="times new roman, times, serif"/>
                <w:sz w:val="24"/>
              </w:rPr>
              <w:t>GB17859-1999</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《信息安全技术网络安全等级保护基本要求》（</w:t>
            </w:r>
            <w:r>
              <w:rPr>
                <w:rFonts w:ascii="times new roman, times, serif" w:hAnsi="times new roman, times, serif" w:cs="times new roman, times, serif" w:eastAsia="times new roman, times, serif"/>
                <w:sz w:val="24"/>
              </w:rPr>
              <w:t>GB/T 22239-2019</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《信息安全技术网络安全等级保护测评要求》（</w:t>
            </w:r>
            <w:r>
              <w:rPr>
                <w:rFonts w:ascii="times new roman, times, serif" w:hAnsi="times new roman, times, serif" w:cs="times new roman, times, serif" w:eastAsia="times new roman, times, serif"/>
                <w:sz w:val="24"/>
              </w:rPr>
              <w:t>GB/T 28448-2019</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《信息安全技术网络安全等级保护安全设计技术要求》（</w:t>
            </w:r>
            <w:r>
              <w:rPr>
                <w:rFonts w:ascii="times new roman, times, serif" w:hAnsi="times new roman, times, serif" w:cs="times new roman, times, serif" w:eastAsia="times new roman, times, serif"/>
                <w:sz w:val="24"/>
              </w:rPr>
              <w:t>GB/T 25070-2019</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《信息安全技术网络安全等级保护测评过程指南》（</w:t>
            </w:r>
            <w:r>
              <w:rPr>
                <w:rFonts w:ascii="times new roman, times, serif" w:hAnsi="times new roman, times, serif" w:cs="times new roman, times, serif" w:eastAsia="times new roman, times, serif"/>
                <w:sz w:val="24"/>
              </w:rPr>
              <w:t>GB/T 28449-2018</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《信息技术安全技术信息安全管理体系要求》（</w:t>
            </w:r>
            <w:r>
              <w:rPr>
                <w:rFonts w:ascii="times new roman, times, serif" w:hAnsi="times new roman, times, serif" w:cs="times new roman, times, serif" w:eastAsia="times new roman, times, serif"/>
                <w:sz w:val="24"/>
              </w:rPr>
              <w:t>GB/T 22080-2016</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《信息安全技术信息安全风险评估规范》（</w:t>
            </w:r>
            <w:r>
              <w:rPr>
                <w:rFonts w:ascii="times new roman, times, serif" w:hAnsi="times new roman, times, serif" w:cs="times new roman, times, serif" w:eastAsia="times new roman, times, serif"/>
                <w:sz w:val="24"/>
              </w:rPr>
              <w:t>GB/T 20984-2007</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《信息安全技术信息安全应急响应计划规范》（</w:t>
            </w:r>
            <w:r>
              <w:rPr>
                <w:rFonts w:ascii="times new roman, times, serif" w:hAnsi="times new roman, times, serif" w:cs="times new roman, times, serif" w:eastAsia="times new roman, times, serif"/>
                <w:sz w:val="24"/>
              </w:rPr>
              <w:t>GB/T 24363-2009</w:t>
            </w:r>
            <w:r>
              <w:rPr>
                <w:rFonts w:ascii="方正仿宋_gb2312" w:hAnsi="方正仿宋_gb2312" w:cs="方正仿宋_gb2312" w:eastAsia="方正仿宋_gb2312"/>
                <w:sz w:val="24"/>
              </w:rPr>
              <w:t>）</w:t>
            </w:r>
          </w:p>
          <w:p>
            <w:pPr>
              <w:pStyle w:val="null3"/>
              <w:ind w:firstLine="480"/>
            </w:pPr>
            <w:r>
              <w:rPr>
                <w:rFonts w:ascii="times new roman, times, serif" w:hAnsi="times new roman, times, serif" w:cs="times new roman, times, serif" w:eastAsia="times new roman, times, serif"/>
                <w:sz w:val="24"/>
              </w:rPr>
              <w:t>4</w:t>
            </w:r>
            <w:r>
              <w:rPr>
                <w:rFonts w:ascii="方正仿宋_gb2312" w:hAnsi="方正仿宋_gb2312" w:cs="方正仿宋_gb2312" w:eastAsia="方正仿宋_gb2312"/>
                <w:sz w:val="24"/>
              </w:rPr>
              <w:t>、测评指标</w:t>
            </w:r>
          </w:p>
          <w:p>
            <w:pPr>
              <w:pStyle w:val="null3"/>
              <w:ind w:firstLine="480"/>
            </w:pPr>
            <w:r>
              <w:rPr>
                <w:rFonts w:ascii="方正仿宋_gb2312" w:hAnsi="方正仿宋_gb2312" w:cs="方正仿宋_gb2312" w:eastAsia="方正仿宋_gb2312"/>
                <w:sz w:val="24"/>
              </w:rPr>
              <w:t>二级系统测评指标</w:t>
            </w:r>
            <w:r>
              <w:rPr>
                <w:rFonts w:ascii="times new roman, times, serif" w:hAnsi="times new roman, times, serif" w:cs="times new roman, times, serif" w:eastAsia="times new roman, times, serif"/>
                <w:sz w:val="24"/>
              </w:rPr>
              <w:t>-</w:t>
            </w:r>
            <w:r>
              <w:rPr>
                <w:rFonts w:ascii="方正仿宋_gb2312" w:hAnsi="方正仿宋_gb2312" w:cs="方正仿宋_gb2312" w:eastAsia="方正仿宋_gb2312"/>
                <w:sz w:val="24"/>
              </w:rPr>
              <w:t>安全通用要求：</w:t>
            </w:r>
          </w:p>
          <w:tbl>
            <w:tblPr>
              <w:tblBorders>
                <w:top w:val="none" w:color="000000" w:sz="4"/>
                <w:left w:val="none" w:color="000000" w:sz="4"/>
                <w:bottom w:val="none" w:color="000000" w:sz="4"/>
                <w:right w:val="none" w:color="000000" w:sz="4"/>
                <w:insideH w:val="none"/>
                <w:insideV w:val="none"/>
              </w:tblBorders>
            </w:tblPr>
            <w:tblGrid>
              <w:gridCol w:w="395"/>
              <w:gridCol w:w="572"/>
              <w:gridCol w:w="1586"/>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安全层面</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安全控制点</w:t>
                  </w:r>
                </w:p>
              </w:tc>
              <w:tc>
                <w:tcPr>
                  <w:tcW w:type="dxa" w:w="1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测评指标（</w:t>
                  </w:r>
                  <w:r>
                    <w:rPr>
                      <w:rFonts w:ascii="times new roman, times, serif" w:hAnsi="times new roman, times, serif" w:cs="times new roman, times, serif" w:eastAsia="times new roman, times, serif"/>
                      <w:sz w:val="24"/>
                    </w:rPr>
                    <w:t>2.0</w:t>
                  </w:r>
                  <w:r>
                    <w:rPr>
                      <w:rFonts w:ascii="方正仿宋_gb2312" w:hAnsi="方正仿宋_gb2312" w:cs="方正仿宋_gb2312" w:eastAsia="方正仿宋_gb2312"/>
                      <w:sz w:val="24"/>
                    </w:rPr>
                    <w:t>）</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安全物理环境</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物理位置选择</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机房场地应选择在具有防震、防风和防雨等能力的建筑内；</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机房场地应避免设在建筑物的顶层或地下室，否则应加强防水和防潮措施。</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物理访问控制</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机房出入口应安排专人值守或配置电子门禁系统，控制、鉴别和记录进入的人员。</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防盗窃和防破坏</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应将设备或主要部件进行固定，并设置明显的不易除去的标记；</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应将通信线缆铺设在隐蔽处。</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防雷击</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应将各类机柜、设施和设备等通过接地系统安全接地。</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防火</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机房应设置火灾自动消防系统，能够自动检测火情、自动报警，并自动灭火；</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机房及相关的工作房间和辅助房应采用具有耐火等级的建筑材料。</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防水防潮</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应采取措施防止雨水通过机房窗口、屋顶和墙壁渗透；</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应采取措施防止机房内水蒸气结露和地下积水的转移与渗透。</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防静电</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应采用防静电地板并采用必要的接地防静电措施。</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温湿度控制</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应设置温湿度自动调节设施，使机房温湿度的变化在设备运行所允许的范围之内。</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电力供应</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应在机房供电线路上配置稳压器和过电压防护设备；</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应提供短期的备用电力供应，至少满足设备在断电情况下的正常运行要求。</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电磁防护</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电源线和通信线缆应隔离铺设，避免互相干扰。</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安全通信网络</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网络架构</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应划分不同的网络区域，并按照方便管理和控制的原则为各个网络区域分配地址；</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应避免将重要网络区域部署在边界处，重要网络区域与其他网络区域之间应采取可靠的技术隔离手段。</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通信传输</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应采用校验技术保证通信过程中数据的完整性。</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可信验证</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可基于可信根对通信设备的系统引导程序、系统程序、重要配置参数和通信应用程序等进行可信验证，并在检测到其可信性受到破坏后进行报警，并将验证结果形成审计记录送至安全管理中心。</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安全区域边界</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边界防护</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应保证跨越边界的访问和数据流通过边界设备提供的受控接口进行通信。</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访问控制</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应在网络边界或区域之间访问控制策略设置访问控制规则，默认情况下除允许通信外受控接口拒绝所有通信；</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应删除多余或无效的访问控制规则，优化访问控制列表，并保证访问控制规则数量最小化；</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）应对源地址、目标地址、源端口、目的端口和协议等进行检查，以允许</w:t>
                  </w:r>
                  <w:r>
                    <w:rPr>
                      <w:rFonts w:ascii="times new roman, times, serif" w:hAnsi="times new roman, times, serif" w:cs="times new roman, times, serif" w:eastAsia="times new roman, times, serif"/>
                      <w:sz w:val="24"/>
                    </w:rPr>
                    <w:t>/</w:t>
                  </w:r>
                  <w:r>
                    <w:rPr>
                      <w:rFonts w:ascii="方正仿宋_gb2312" w:hAnsi="方正仿宋_gb2312" w:cs="方正仿宋_gb2312" w:eastAsia="方正仿宋_gb2312"/>
                      <w:sz w:val="24"/>
                    </w:rPr>
                    <w:t>拒绝数据包进出；</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d)</w:t>
                  </w:r>
                  <w:r>
                    <w:rPr>
                      <w:rFonts w:ascii="方正仿宋_gb2312" w:hAnsi="方正仿宋_gb2312" w:cs="方正仿宋_gb2312" w:eastAsia="方正仿宋_gb2312"/>
                      <w:sz w:val="24"/>
                    </w:rPr>
                    <w:t>应能根据会话状态信息为进出数据流提供明确的允许</w:t>
                  </w:r>
                  <w:r>
                    <w:rPr>
                      <w:rFonts w:ascii="times new roman, times, serif" w:hAnsi="times new roman, times, serif" w:cs="times new roman, times, serif" w:eastAsia="times new roman, times, serif"/>
                      <w:sz w:val="24"/>
                    </w:rPr>
                    <w:t>/</w:t>
                  </w:r>
                  <w:r>
                    <w:rPr>
                      <w:rFonts w:ascii="方正仿宋_gb2312" w:hAnsi="方正仿宋_gb2312" w:cs="方正仿宋_gb2312" w:eastAsia="方正仿宋_gb2312"/>
                      <w:sz w:val="24"/>
                    </w:rPr>
                    <w:t>拒绝访问的能力。</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入侵防范</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）应在关键网络节点处监视网络攻击行为。</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恶意代码防范</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 xml:space="preserve">a) </w:t>
                  </w:r>
                  <w:r>
                    <w:rPr>
                      <w:rFonts w:ascii="方正仿宋_gb2312" w:hAnsi="方正仿宋_gb2312" w:cs="方正仿宋_gb2312" w:eastAsia="方正仿宋_gb2312"/>
                      <w:sz w:val="24"/>
                    </w:rPr>
                    <w:t>应在关键网络节点处对恶意代码进行检测和清除，并维护恶意代码防护机制的升级和更新。</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安全审计</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 xml:space="preserve">a) </w:t>
                  </w:r>
                  <w:r>
                    <w:rPr>
                      <w:rFonts w:ascii="方正仿宋_gb2312" w:hAnsi="方正仿宋_gb2312" w:cs="方正仿宋_gb2312" w:eastAsia="方正仿宋_gb2312"/>
                      <w:sz w:val="24"/>
                    </w:rPr>
                    <w:t>应在网络边界，重要网络节点进行安全审计，审计覆盖到每个用户，对重要的用户行为和重要安全事件进行审计；</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 xml:space="preserve">b) </w:t>
                  </w:r>
                  <w:r>
                    <w:rPr>
                      <w:rFonts w:ascii="方正仿宋_gb2312" w:hAnsi="方正仿宋_gb2312" w:cs="方正仿宋_gb2312" w:eastAsia="方正仿宋_gb2312"/>
                      <w:sz w:val="24"/>
                    </w:rPr>
                    <w:t>审计记录应包括事件的日期和时间、用户、事件类型、事件是否成功及其他与审计相关的信息；</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）应对审计记录进行保护，定期备份，避免受到未预期的删除、修改或覆盖等。</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可信验证</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可基于可信根对边界设备的系统引导程序、系统程序、重要配置参数和通信应用程序等进行可信验证，并在检测到其可信性受到破坏后进行报警，并将验证结果形成审计记录送至安全管理中心。</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安全计算环境</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身份鉴别</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应对登录的用户进行身份标识和鉴别，身份标识具有唯一性，身份鉴别信息具有复杂度要求并定期更换；</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应具有登录失败处理功能，应配置并启用结束会话、限制非法登陆次数和当登录连接超时自动退出等相关措施；</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当进行远程管理时，应采取必要的措施防止鉴别信息在网络传输过程中被窃听。</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访问控制</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应对登录的用户分配账户和权限；</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应重命名或删除默认账户，修改默认账户的默认口令；</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应及时删除或停用多余的、过期的账户，避免共享账户的存在；</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d)</w:t>
                  </w:r>
                  <w:r>
                    <w:rPr>
                      <w:rFonts w:ascii="方正仿宋_gb2312" w:hAnsi="方正仿宋_gb2312" w:cs="方正仿宋_gb2312" w:eastAsia="方正仿宋_gb2312"/>
                      <w:sz w:val="24"/>
                    </w:rPr>
                    <w:t>应授予管理用户所需的最小权限，实现管理用户的权限分离。</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安全审计</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应提供安全审计功能，审计覆盖到每个用户，对重要的用户行为和重要安全事件进行审计；</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审计记录应包括事件的日期和时间、用户、事件类型、事件是否成功及其他与审计相关的信息；</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应对审计记录进行保护，定期备份，避免受到未预期的删除、修改或覆盖等。</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入侵防范</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应遵循最小安装的原则，仅安装需要的组件和应用程序；</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应关闭不需要的系统服务、默认共享和高危端口；</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应通过设定终端接入方式或网络地址范围对通过网络进行管理的管理终端进行限制；</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d)</w:t>
                  </w:r>
                  <w:r>
                    <w:rPr>
                      <w:rFonts w:ascii="方正仿宋_gb2312" w:hAnsi="方正仿宋_gb2312" w:cs="方正仿宋_gb2312" w:eastAsia="方正仿宋_gb2312"/>
                      <w:sz w:val="24"/>
                    </w:rPr>
                    <w:t>应提供数据有效性检验功能，保证通过人机接口输入或通过通信接口输入的内容符合系统设定要求。</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e)</w:t>
                  </w:r>
                  <w:r>
                    <w:rPr>
                      <w:rFonts w:ascii="方正仿宋_gb2312" w:hAnsi="方正仿宋_gb2312" w:cs="方正仿宋_gb2312" w:eastAsia="方正仿宋_gb2312"/>
                      <w:sz w:val="24"/>
                    </w:rPr>
                    <w:t>应能发现可能存在的已知漏洞，并在经过充分测试评估后，及时修补漏洞。</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恶意代码防范</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应安装方恶意代码软件或配置具有相应功能的软件，并及时更新防恶意代码软件版本和恶意代码库。</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可信验证</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可基于可信根对计算设备的系统引导程序、系统程序、重要配置参数和通信应用程序等进行可信验证，并在检测到其可信性受到破坏后进行报警，并将验证结果形成审计记录送至安全管理中心。</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数据完整性</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应采用校验技术保证重要数据在传输过程中的完整性。</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数据备份和恢复</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应提供重要数据的本地数据备份与恢复功能；</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应提供异地数据备份功能，利用通信网络将重要数据定时批量传送至备用场地。</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剩余信息保护</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应保证鉴别信息所在的存储空间被释放或重新分配前得到完全清除。</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个人信息保护</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应仅采集和保存业务必需的用户个人信息；</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应禁止未授权访问和非法使用用户个人信息。</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安全管理中心</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系统管理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应对系统管理员进行身份鉴别，只允许其通过特定的命令或操作界面进行系统管理操作，并对这些操作进行审计；</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）应通过系统管理员对系统的资源和运行进行配置、控制和管理，包括用户身份、资源配置、系统加载和启动、系统运行的异常处理、数据和设备的备份与恢复等。</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审计管理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 xml:space="preserve">a) </w:t>
                  </w:r>
                  <w:r>
                    <w:rPr>
                      <w:rFonts w:ascii="方正仿宋_gb2312" w:hAnsi="方正仿宋_gb2312" w:cs="方正仿宋_gb2312" w:eastAsia="方正仿宋_gb2312"/>
                      <w:sz w:val="24"/>
                    </w:rPr>
                    <w:t>应对安全审计员进行身份鉴别，只允许通过特定的命令或操作界面进行安全审计操作，并对这些操作进行审计；</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应通过安全审计员对审计记录进行分析，并根据分析结果进行处理，包括根据安全审计策略对审计记录进行存储、管理和查询。</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安全管理制度</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安全策略</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）应制定网络安全工作的总体方针和安全策略，阐明机构安全工作的总体目标、范围、原则和安全框架等。</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管理制度</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）应对安全管理活动中的主要管理内容建立安全管理制度；</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）应对管理人员或操作人员执行的日常管理操作建立操作规程。</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制定和发布</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）应指定或授权专门的部门或人员负责安全管理制度的制定；</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d</w:t>
                  </w:r>
                  <w:r>
                    <w:rPr>
                      <w:rFonts w:ascii="方正仿宋_gb2312" w:hAnsi="方正仿宋_gb2312" w:cs="方正仿宋_gb2312" w:eastAsia="方正仿宋_gb2312"/>
                      <w:sz w:val="24"/>
                    </w:rPr>
                    <w:t>）安全管理制度应通过正式、有效的方式发布，并进行版本控制。</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评审和修订</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）应定期对安全管理制度的合理性和适用性进行论证和审定，对存在不足需要改进的安全管理制度进行修订。</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安全管理机构</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岗位设置</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）应设立网络安全管理工作的职能部门，设立安全主管、安全管理各个方面的负责人岗位，并定义各负责人的职责；</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）应设立系统管理员、审计管理员和安全管理员等岗位，并定义部门及各个工作岗位的职责。</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人员配备</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）应配备一定数量的系统管理员、审计管理员、安全管理员等。</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授权和审批</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）应根据各个部门和岗位的职责明确授权审批事项、审批部门和批准人等；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）应针对系统变更、重要操作、物理访问和系统接入等事项执行审批过程。</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沟通和合作</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）应加强各类管理人员、组织内部机构和网络安全管理部门之间的合作与沟通，定期召开协调会议，共同协作处理信息安全问题；</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）应加强与网络安全职能部门、各类供应商、业界专家及安全组织的合作与沟通；</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）应建立外联单位联系列表，包括外联单位名称、合作内容、联系人和联系方式等信息。</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审核和检查</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）应定期进行常规安全检查，检查内容包括系统日常运行、系统漏洞和数据备份等情况。</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安全管理人员</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人员录用</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）应指定或授权专门的部门或人员负责人员录用；</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）应对被录用人的身份、安全背景、专业资格或资质等进行审查。</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人员离岗</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）应及时终止离岗人员的所有访问权限，取回各种身份证件、钥匙、徽章等以及机构提供的软硬件设备。</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安全意识教育和培训</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）应对各类人员进行安全意识教育和岗位技能培训，并告知相关的安全责任和惩戒措施。</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外部人员访问管理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）应在外部人员物理访问受控区域前先提出书面申请，批准后由专人全程陪同，并登记备案；</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）应在外部人员接入受控网络访问系统前先提出书面申请，批准后由专人开设账户，分配权限，并登记备案；</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 外部人员离场后应及时清除其所有的访问权限。</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安全建设管理</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定级和备案</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）应以书面的形式说明保护对象的安全保护等级及确定安全保护等级的方法和理由；</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）应组织相关部门和有关安全技术专家对信息系统定级结果的合理性和正确性进行论证和审定；</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）应保证定级结果经过相关部门的批准；</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d)</w:t>
                  </w:r>
                  <w:r>
                    <w:rPr>
                      <w:rFonts w:ascii="方正仿宋_gb2312" w:hAnsi="方正仿宋_gb2312" w:cs="方正仿宋_gb2312" w:eastAsia="方正仿宋_gb2312"/>
                      <w:sz w:val="24"/>
                    </w:rPr>
                    <w:t>应将备案材料报主管部门和公安机关备案。</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安全方案设计</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）应根据安全保护等级选择基本安全措施，依据风险分析的结果补充和调整安全措施；</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）应根据保护对象的安全保护等级进行安全方案设计；</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）应组织相关部门和有关安全专家对安全方案的合理性和正确性进行论证和审定，经过批准后才能正式实施。</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产品采购和使用</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）应确保网络安全产品的采购和使用符合国家的有关规定；</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）应确保密码产品与服务的采购和使用符合国家密码主管部门的要求。</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自行软件开发</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）应将开发环境与实际运行环境物理分开，测试数据和测试结果受到控制；</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）应在软件开发过程中对安全性进行测试，在软件安装前对可能存在的恶意代码进行检测。</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外包软件开发</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）应在软件交付前检测其中可能存在的恶意代码；</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）应保证开发单位提供软件设计文档和使用指南。</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工程实施</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）应指定或授权专门的部门或人员负责工程实施过程的管理；</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）应制定安全工程实施方案控制工程实施过程。</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测试验收</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）应制订测试验收方案，并依据测试验收方案实施测试验收，形成测试验收报告；</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）应进行上线前的安全性测试，并出具安全测试报告。</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系统交付</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）应制定交付清单，并根据交付清单对所交接的设备、软件和文档等进行清点；</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）应对负责系统运行维护的技术人员进行相应的技能培训；</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）应提供系统建设过程文档和运行维护文档。</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等级测评</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）应定期进行等级测评，发现不符合相应等级保护标准要求的及时整改；</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）在发生重大变更或级别发生时进行等级测评；</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）应确保测评机构的选择符合国家相关规定。</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服务供应商管理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）应确保服务供应商的选择符合国家的有关标准；</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）应与选定的服务供应商签订相关协议，明确整个服务供应链各方需履行的网络安全相关义务。</w:t>
                  </w:r>
                </w:p>
              </w:tc>
            </w:tr>
            <w:tr>
              <w:tc>
                <w:tcPr>
                  <w:tcW w:type="dxa" w:w="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安全运维管理</w:t>
                  </w: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环境管理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）应指定专门的部门或人员负责机房安全，对机房出入进行管理，定期对机房供配电、空调、温湿度控制、消防等设施进行维护管理；</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）应对机房的安全管理作出规定，包括物理访问，物品进出和环境安全等；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）应不在重要区域接待来访人员，不随意放置包含敏感信息的纸质文件和移动介质等。</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资产管理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）应编制并保存与保护对象相关的资产清单，包括资产责任部门、重要程度和所处位置等内容。</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介质管理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）应确保介质存放在安全的环境中，对各类介质进行控制和保护，实行存储环境专人管理并根据存档介质的目录清单定期盘点；</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）应对介质在物理传输过程中的人员选择、打包、交付等情况进行控制，对介质归档和查询等进行登记记录。</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设备维护管理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）应对各种设备（包括备份和冗余设备）、线路等指定专门的部门或人员定期进行维护管理；</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）应对配套设施、软硬件维护管理作出规定，包括明确维护人员的责任、维修和服务的审批、维修过程的监督控制等。</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漏洞和风险管理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）应采取必要的措施识别安全漏洞和隐患，对发现的安全漏洞和隐患及时进行修补或评估可能的影响后进行修补。</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网络和系统安全管理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）应划分不同的管理员角色进行网络和系统的运维管理，明确各个角色的责任和权限；</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）应指定专门的部门或人员进行账户管理，对账户申请，建立账户、删除账户等进行控制；</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）应建立网络和系统安全管理制度，对安全策略、账户管理、配置管理、日志管理、日常操作、升级与打补丁、口令更新周期等方面作出规定；</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d</w:t>
                  </w:r>
                  <w:r>
                    <w:rPr>
                      <w:rFonts w:ascii="方正仿宋_gb2312" w:hAnsi="方正仿宋_gb2312" w:cs="方正仿宋_gb2312" w:eastAsia="方正仿宋_gb2312"/>
                      <w:sz w:val="24"/>
                    </w:rPr>
                    <w:t>）应制定重要设备的配置和操作手册，依据操作手册对设备进行安全配置和优化配置等；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e</w:t>
                  </w:r>
                  <w:r>
                    <w:rPr>
                      <w:rFonts w:ascii="方正仿宋_gb2312" w:hAnsi="方正仿宋_gb2312" w:cs="方正仿宋_gb2312" w:eastAsia="方正仿宋_gb2312"/>
                      <w:sz w:val="24"/>
                    </w:rPr>
                    <w:t>）应详细记录运维操作日志，包括日常巡检工作，运行维护记录、参数的设置和修改的内容。</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恶意代码防范管理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）应提高所有用户的防恶意代码意识，对外来计算机或存储设备接入系统前进行恶意代码检查等；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）应对防恶意代码防范要求作出规定，包括防恶意代码软件的授权使用、恶意代码库升级、恶意代码的定期查杀等；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）应定期检查恶意代码库的升级情况，对截获的恶意代码进行及时分析处理。</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配置管理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）应记录和保存基本配置信息，包括网络拓扑结构、各个设备安装的软件组件、软件组件的版本和补丁信息、各个设备或软件组件的配置参数等。</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密码管理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）应遵循密码相关的国家标准和行业标准；</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）应使用国家密码管理局认证核准的密码技术和产品。</w:t>
                  </w:r>
                </w:p>
              </w:tc>
            </w:tr>
            <w:tr>
              <w:tc>
                <w:tcPr>
                  <w:tcW w:type="dxa" w:w="395"/>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变更管理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）应明确认变更需求，变更前根据变更需求制定变更方案、变更方案经过评审、审批后方可实施。</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备份与恢复管理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）应识别需要定期备份的重要业务信息、系统数据及软件系统等；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）应规定备份信息的备份方式、备份频度、存储介质和保存期等；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）应根据数据的重要性和数据对系统运行的影响，制定数据的备份策略和恢复策略，备份程序和恢复程序。</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安全事件处置</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）应及时向安全管理部门报告所发现的安全弱点和可疑事件；</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）应制定安全事件报告和处置管理制度，明确不同安全事件的报告、处置和响应流程，规定安全事件的现场处理、事件报告和后期恢复的管理职责等；</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c</w:t>
                  </w:r>
                  <w:r>
                    <w:rPr>
                      <w:rFonts w:ascii="方正仿宋_gb2312" w:hAnsi="方正仿宋_gb2312" w:cs="方正仿宋_gb2312" w:eastAsia="方正仿宋_gb2312"/>
                      <w:sz w:val="24"/>
                    </w:rPr>
                    <w:t>）应在安全事件和响应处理过程中，分析和鉴定事件产生的原因，收集证据，记录处理过程，总结经验教训。</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应急预案管理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）应制定重要事件的应急预案，包括应急处理流程、系统恢复流程等内容；</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）应定期对系统相关的人员进行应急预案培训，并进行应急预案的演练。</w:t>
                  </w:r>
                </w:p>
              </w:tc>
            </w:tr>
            <w:tr>
              <w:tc>
                <w:tcPr>
                  <w:tcW w:type="dxa" w:w="395"/>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方正仿宋_gb2312" w:hAnsi="方正仿宋_gb2312" w:cs="方正仿宋_gb2312" w:eastAsia="方正仿宋_gb2312"/>
                      <w:sz w:val="24"/>
                    </w:rPr>
                    <w:t>外包运维管理</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a</w:t>
                  </w:r>
                  <w:r>
                    <w:rPr>
                      <w:rFonts w:ascii="方正仿宋_gb2312" w:hAnsi="方正仿宋_gb2312" w:cs="方正仿宋_gb2312" w:eastAsia="方正仿宋_gb2312"/>
                      <w:sz w:val="24"/>
                    </w:rPr>
                    <w:t>）应确保外包运维服务商的选择符合国家有关规定；</w:t>
                  </w:r>
                </w:p>
              </w:tc>
            </w:tr>
            <w:tr>
              <w:tc>
                <w:tcPr>
                  <w:tcW w:type="dxa" w:w="395"/>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times new roman, times, serif" w:hAnsi="times new roman, times, serif" w:cs="times new roman, times, serif" w:eastAsia="times new roman, times, serif"/>
                      <w:sz w:val="24"/>
                    </w:rPr>
                    <w:t>b</w:t>
                  </w:r>
                  <w:r>
                    <w:rPr>
                      <w:rFonts w:ascii="方正仿宋_gb2312" w:hAnsi="方正仿宋_gb2312" w:cs="方正仿宋_gb2312" w:eastAsia="方正仿宋_gb2312"/>
                      <w:sz w:val="24"/>
                    </w:rPr>
                    <w:t>）应与选定的外包运维服务商签订相关的协议，明确约定外包运维的范围、工作内容。</w:t>
                  </w:r>
                </w:p>
              </w:tc>
            </w:tr>
          </w:tbl>
          <w:p>
            <w:pPr>
              <w:pStyle w:val="null3"/>
              <w:ind w:firstLine="480"/>
            </w:pPr>
            <w:r>
              <w:rPr>
                <w:rFonts w:ascii="方正仿宋_gb2312" w:hAnsi="方正仿宋_gb2312" w:cs="方正仿宋_gb2312" w:eastAsia="方正仿宋_gb2312"/>
                <w:sz w:val="24"/>
              </w:rPr>
              <w:t>（三）、等级保护测评流程及内容</w:t>
            </w:r>
          </w:p>
          <w:p>
            <w:pPr>
              <w:pStyle w:val="null3"/>
              <w:ind w:firstLine="480"/>
            </w:pPr>
            <w:r>
              <w:rPr>
                <w:rFonts w:ascii="方正仿宋_gb2312" w:hAnsi="方正仿宋_gb2312" w:cs="方正仿宋_gb2312" w:eastAsia="方正仿宋_gb2312"/>
                <w:sz w:val="24"/>
              </w:rPr>
              <w:t>等级保护测评过程中要求服务商严格按照下列流程开展工作，具体工作流程如下图所示：</w:t>
            </w:r>
          </w:p>
          <w:p>
            <w:pPr>
              <w:pStyle w:val="null3"/>
              <w:ind w:firstLine="480"/>
            </w:pPr>
            <w:r>
              <w:drawing>
                <wp:inline distT="0" distR="0" distB="0" distL="0">
                  <wp:extent cx="1621155" cy="214777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147772"/>
                          </a:xfrm>
                          <a:prstGeom prst="rect">
                            <a:avLst/>
                          </a:prstGeom>
                        </pic:spPr>
                      </pic:pic>
                    </a:graphicData>
                  </a:graphic>
                </wp:inline>
              </w:drawing>
            </w: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测评准备阶段：是开展等级测评工作的前提和基础，是整个等级测评过程有效性的保证。测评准备工作是否充分直接关系到后续工作能否顺利开展。本活动的主要任务是掌握被测系统的详细情况，准备测试工具，为编制测评方案做好准备。</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方案编制阶段：是开展等级测评工作的关键活动，为现场测评提供最基本的文档和指导方案。本活动的主要任务是确定与被测信息系统相适应的测评对象、测评指标及测评内容等，并根据需要重用或开发测评指导书，形成测评方案。</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3</w:t>
            </w:r>
            <w:r>
              <w:rPr>
                <w:rFonts w:ascii="方正仿宋_gb2312" w:hAnsi="方正仿宋_gb2312" w:cs="方正仿宋_gb2312" w:eastAsia="方正仿宋_gb2312"/>
                <w:sz w:val="24"/>
              </w:rPr>
              <w:t>）、现场测评阶段：是开展等级测评工作的核心活动。本活动的主要任务是按照测评方案的总体要求，严格按照测评指导书执行，分步实施所有测评项目，以了解系统的真实保护情况，获取足够证据，发现系统存在的安全问题。</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4</w:t>
            </w:r>
            <w:r>
              <w:rPr>
                <w:rFonts w:ascii="方正仿宋_gb2312" w:hAnsi="方正仿宋_gb2312" w:cs="方正仿宋_gb2312" w:eastAsia="方正仿宋_gb2312"/>
                <w:sz w:val="24"/>
              </w:rPr>
              <w:t>）、分析与报告编制阶段：是给出等级测评工作结果的活动，是总结被测系统整体安全保护能力的综合评价活动。本活动的主要任务是根据现场测评结果和《等级测评过程指南》的有关要求，通过单项测评结果判定、单元测评结果判定、整体测评和风险分析等方法，找出整个系统的安全保护现状与相应等级的保护要求之间的差距，并分析这些差距导致被测系统面临的风险，从而给出等级测评结论，形成《信息系统安全等级测评报告》文本。</w:t>
            </w:r>
          </w:p>
          <w:p>
            <w:pPr>
              <w:pStyle w:val="null3"/>
              <w:ind w:firstLine="480"/>
            </w:pPr>
            <w:r>
              <w:rPr>
                <w:rFonts w:ascii="方正仿宋_gb2312" w:hAnsi="方正仿宋_gb2312" w:cs="方正仿宋_gb2312" w:eastAsia="方正仿宋_gb2312"/>
                <w:sz w:val="24"/>
              </w:rPr>
              <w:t>（四）、安全培训服务</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）、政策、安全意识培训</w:t>
            </w:r>
          </w:p>
          <w:p>
            <w:pPr>
              <w:pStyle w:val="null3"/>
              <w:ind w:firstLine="480"/>
            </w:pPr>
            <w:r>
              <w:rPr>
                <w:rFonts w:ascii="方正仿宋_gb2312" w:hAnsi="方正仿宋_gb2312" w:cs="方正仿宋_gb2312" w:eastAsia="方正仿宋_gb2312"/>
                <w:sz w:val="24"/>
              </w:rPr>
              <w:t>对网络安全知识进行宣传培训。内容包括：网络安全法知识普及、典型信息安全事件知识案例讲解、安全保密意识建立以及前沿信息安全技术知识培训等。</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）、安全技术能力培训</w:t>
            </w:r>
          </w:p>
          <w:p>
            <w:pPr>
              <w:pStyle w:val="null3"/>
              <w:ind w:firstLine="480"/>
            </w:pPr>
            <w:r>
              <w:rPr>
                <w:rFonts w:ascii="方正仿宋_gb2312" w:hAnsi="方正仿宋_gb2312" w:cs="方正仿宋_gb2312" w:eastAsia="方正仿宋_gb2312"/>
                <w:sz w:val="24"/>
              </w:rPr>
              <w:t>针对主机安全、应用安全、网络安全、数据库安全相关的检查方法进行培训，确保项目建设完成后技术人员可以独立完成检测项目的工作内容并完成报告的输出。</w:t>
            </w:r>
          </w:p>
          <w:p>
            <w:pPr>
              <w:pStyle w:val="null3"/>
              <w:ind w:firstLine="480"/>
            </w:pPr>
            <w:r>
              <w:rPr>
                <w:rFonts w:ascii="方正仿宋_gb2312" w:hAnsi="方正仿宋_gb2312" w:cs="方正仿宋_gb2312" w:eastAsia="方正仿宋_gb2312"/>
                <w:sz w:val="24"/>
              </w:rPr>
              <w:t>（五）、渗透检测</w:t>
            </w:r>
          </w:p>
          <w:p>
            <w:pPr>
              <w:pStyle w:val="null3"/>
              <w:ind w:firstLine="480"/>
            </w:pPr>
            <w:r>
              <w:rPr>
                <w:rFonts w:ascii="方正仿宋_gb2312" w:hAnsi="方正仿宋_gb2312" w:cs="方正仿宋_gb2312" w:eastAsia="方正仿宋_gb2312"/>
                <w:sz w:val="24"/>
              </w:rPr>
              <w:t>渗透测试是通过模拟恶意黑客的攻击方法，来评估计算机信息系统是否安全的一种评估方法。这个过程包括对系统的任何弱点、技术缺陷或漏洞的主动分析，通常该分析是从一个攻击者可能存在的位置来进行的，并且从这个位置有条件主动利用安全漏洞。</w:t>
            </w:r>
          </w:p>
          <w:p>
            <w:pPr>
              <w:pStyle w:val="null3"/>
              <w:ind w:firstLine="480"/>
            </w:pPr>
            <w:r>
              <w:rPr>
                <w:rFonts w:ascii="方正仿宋_gb2312" w:hAnsi="方正仿宋_gb2312" w:cs="方正仿宋_gb2312" w:eastAsia="方正仿宋_gb2312"/>
                <w:sz w:val="24"/>
              </w:rPr>
              <w:t>渗透测试是通过模拟恶意黑客的攻击方法，来评估计算机信息系统是否安全的一种评估方法。这个过程包括对系统的任何弱点、技术缺陷或漏洞的主动分析，通常该分析是从一个攻击者可能存在的位置来进行的，并且从这个位置有条件主动利用安全漏洞。</w:t>
            </w:r>
          </w:p>
          <w:p>
            <w:pPr>
              <w:pStyle w:val="null3"/>
              <w:ind w:firstLine="480"/>
            </w:pPr>
            <w:r>
              <w:rPr>
                <w:rFonts w:ascii="方正仿宋_gb2312" w:hAnsi="方正仿宋_gb2312" w:cs="方正仿宋_gb2312" w:eastAsia="方正仿宋_gb2312"/>
                <w:sz w:val="24"/>
              </w:rPr>
              <w:t>（六）、建设整改咨询</w:t>
            </w:r>
          </w:p>
          <w:p>
            <w:pPr>
              <w:pStyle w:val="null3"/>
              <w:ind w:firstLine="480"/>
            </w:pPr>
            <w:r>
              <w:rPr>
                <w:rFonts w:ascii="方正仿宋_gb2312" w:hAnsi="方正仿宋_gb2312" w:cs="方正仿宋_gb2312" w:eastAsia="方正仿宋_gb2312"/>
                <w:sz w:val="24"/>
              </w:rPr>
              <w:t>建设整改咨询工作以等级测评和渗透检测发现的安全问题为工作重点，编写《信息系统安全建设整改建议》；将信息系统的安全建设整改需求落实到可操作的安全技术和管理上，提出能够实现的技术参数或制度及其具体规范。</w:t>
            </w:r>
          </w:p>
          <w:p>
            <w:pPr>
              <w:pStyle w:val="null3"/>
              <w:ind w:firstLine="480"/>
            </w:pPr>
            <w:r>
              <w:rPr>
                <w:rFonts w:ascii="方正仿宋_gb2312" w:hAnsi="方正仿宋_gb2312" w:cs="方正仿宋_gb2312" w:eastAsia="方正仿宋_gb2312"/>
                <w:sz w:val="24"/>
              </w:rPr>
              <w:t>之后在杨凌职业技术学院依据相关《信息系统安全建设整改建议》开展建设整改工作时，服务方将提供建设整改过程中的与建设整改相关的咨询服务。</w:t>
            </w:r>
          </w:p>
          <w:p>
            <w:pPr>
              <w:pStyle w:val="null3"/>
              <w:ind w:firstLine="480"/>
            </w:pPr>
            <w:r>
              <w:rPr>
                <w:rFonts w:ascii="方正仿宋_gb2312" w:hAnsi="方正仿宋_gb2312" w:cs="方正仿宋_gb2312" w:eastAsia="方正仿宋_gb2312"/>
                <w:sz w:val="24"/>
              </w:rPr>
              <w:t>（七）、安全维保</w:t>
            </w:r>
          </w:p>
          <w:p>
            <w:pPr>
              <w:pStyle w:val="null3"/>
              <w:ind w:firstLine="480"/>
            </w:pPr>
            <w:r>
              <w:rPr>
                <w:rFonts w:ascii="方正仿宋_gb2312" w:hAnsi="方正仿宋_gb2312" w:cs="方正仿宋_gb2312" w:eastAsia="方正仿宋_gb2312"/>
                <w:sz w:val="24"/>
              </w:rPr>
              <w:t>为期一年的售后服务工作中，服务方将向杨凌职业技术学院提供包括但不限于应急响应、配合检查、电话支持、安全咨询等服务在内的安全维保服务。具体服务内容如下：</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）、应急响应服务</w:t>
            </w:r>
          </w:p>
          <w:p>
            <w:pPr>
              <w:pStyle w:val="null3"/>
              <w:ind w:firstLine="480"/>
            </w:pPr>
            <w:r>
              <w:rPr>
                <w:rFonts w:ascii="方正仿宋_gb2312" w:hAnsi="方正仿宋_gb2312" w:cs="方正仿宋_gb2312" w:eastAsia="方正仿宋_gb2312"/>
                <w:sz w:val="24"/>
              </w:rPr>
              <w:t>针对本次项目，服务方提供</w:t>
            </w:r>
            <w:r>
              <w:rPr>
                <w:rFonts w:ascii="times new roman, times, serif" w:hAnsi="times new roman, times, serif" w:cs="times new roman, times, serif" w:eastAsia="times new roman, times, serif"/>
                <w:sz w:val="24"/>
              </w:rPr>
              <w:t>7X24</w:t>
            </w:r>
            <w:r>
              <w:rPr>
                <w:rFonts w:ascii="方正仿宋_gb2312" w:hAnsi="方正仿宋_gb2312" w:cs="方正仿宋_gb2312" w:eastAsia="方正仿宋_gb2312"/>
                <w:sz w:val="24"/>
              </w:rPr>
              <w:t>的常规应急响应及灾难恢复专家服务。在接到用户故障报修电话</w:t>
            </w:r>
            <w:r>
              <w:rPr>
                <w:rFonts w:ascii="times new roman, times, serif" w:hAnsi="times new roman, times, serif" w:cs="times new roman, times, serif" w:eastAsia="times new roman, times, serif"/>
                <w:sz w:val="24"/>
              </w:rPr>
              <w:t>10</w:t>
            </w:r>
            <w:r>
              <w:rPr>
                <w:rFonts w:ascii="方正仿宋_gb2312" w:hAnsi="方正仿宋_gb2312" w:cs="方正仿宋_gb2312" w:eastAsia="方正仿宋_gb2312"/>
                <w:sz w:val="24"/>
              </w:rPr>
              <w:t>分钟内响应。对客户信息网络应用系统突发的信息安全事件进行响应、处理、恢复、取证、跟踪、事后分析的方法及过程。</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）、配合检查服务</w:t>
            </w:r>
          </w:p>
          <w:p>
            <w:pPr>
              <w:pStyle w:val="null3"/>
              <w:ind w:firstLine="480"/>
            </w:pPr>
            <w:r>
              <w:rPr>
                <w:rFonts w:ascii="方正仿宋_gb2312" w:hAnsi="方正仿宋_gb2312" w:cs="方正仿宋_gb2312" w:eastAsia="方正仿宋_gb2312"/>
                <w:sz w:val="24"/>
              </w:rPr>
              <w:t>服务方免费协助杨凌职业技术学院响应公安机关、单位内部以及第三方机构针对信息系统安全等级保护工作的检查工作。服务内容包括协助杨凌职业技术学院准备、完善各类资料文档，配合检查过程中的答疑及技术支持及其他现场检查的响应。</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3</w:t>
            </w:r>
            <w:r>
              <w:rPr>
                <w:rFonts w:ascii="方正仿宋_gb2312" w:hAnsi="方正仿宋_gb2312" w:cs="方正仿宋_gb2312" w:eastAsia="方正仿宋_gb2312"/>
                <w:sz w:val="24"/>
              </w:rPr>
              <w:t>）、电话支持服务</w:t>
            </w:r>
          </w:p>
          <w:p>
            <w:pPr>
              <w:pStyle w:val="null3"/>
              <w:ind w:firstLine="480"/>
            </w:pPr>
            <w:r>
              <w:rPr>
                <w:rFonts w:ascii="方正仿宋_gb2312" w:hAnsi="方正仿宋_gb2312" w:cs="方正仿宋_gb2312" w:eastAsia="方正仿宋_gb2312"/>
                <w:sz w:val="24"/>
              </w:rPr>
              <w:t>每周</w:t>
            </w:r>
            <w:r>
              <w:rPr>
                <w:rFonts w:ascii="times new roman, times, serif" w:hAnsi="times new roman, times, serif" w:cs="times new roman, times, serif" w:eastAsia="times new roman, times, serif"/>
                <w:sz w:val="24"/>
              </w:rPr>
              <w:t>5</w:t>
            </w:r>
            <w:r>
              <w:rPr>
                <w:rFonts w:ascii="方正仿宋_gb2312" w:hAnsi="方正仿宋_gb2312" w:cs="方正仿宋_gb2312" w:eastAsia="方正仿宋_gb2312"/>
                <w:sz w:val="24"/>
              </w:rPr>
              <w:t>天</w:t>
            </w:r>
            <w:r>
              <w:rPr>
                <w:rFonts w:ascii="times new roman, times, serif" w:hAnsi="times new roman, times, serif" w:cs="times new roman, times, serif" w:eastAsia="times new roman, times, serif"/>
                <w:sz w:val="24"/>
              </w:rPr>
              <w:t>/</w:t>
            </w:r>
            <w:r>
              <w:rPr>
                <w:rFonts w:ascii="方正仿宋_gb2312" w:hAnsi="方正仿宋_gb2312" w:cs="方正仿宋_gb2312" w:eastAsia="方正仿宋_gb2312"/>
                <w:sz w:val="24"/>
              </w:rPr>
              <w:t>每天</w:t>
            </w:r>
            <w:r>
              <w:rPr>
                <w:rFonts w:ascii="times new roman, times, serif" w:hAnsi="times new roman, times, serif" w:cs="times new roman, times, serif" w:eastAsia="times new roman, times, serif"/>
                <w:sz w:val="24"/>
              </w:rPr>
              <w:t>8</w:t>
            </w:r>
            <w:r>
              <w:rPr>
                <w:rFonts w:ascii="方正仿宋_gb2312" w:hAnsi="方正仿宋_gb2312" w:cs="方正仿宋_gb2312" w:eastAsia="方正仿宋_gb2312"/>
                <w:sz w:val="24"/>
              </w:rPr>
              <w:t>小时不间断的电话支持服务，解答杨凌职业技术学院在使用过程中遇到的问题，及时提出解决问题的建议和操作方法。电话响应时间不小于</w:t>
            </w:r>
            <w:r>
              <w:rPr>
                <w:rFonts w:ascii="times new roman, times, serif" w:hAnsi="times new roman, times, serif" w:cs="times new roman, times, serif" w:eastAsia="times new roman, times, serif"/>
                <w:sz w:val="24"/>
              </w:rPr>
              <w:t>10</w:t>
            </w:r>
            <w:r>
              <w:rPr>
                <w:rFonts w:ascii="方正仿宋_gb2312" w:hAnsi="方正仿宋_gb2312" w:cs="方正仿宋_gb2312" w:eastAsia="方正仿宋_gb2312"/>
                <w:sz w:val="24"/>
              </w:rPr>
              <w:t>分钟，到达现场时间不超过</w:t>
            </w: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小时，解决问题不超过</w:t>
            </w:r>
            <w:r>
              <w:rPr>
                <w:rFonts w:ascii="times new roman, times, serif" w:hAnsi="times new roman, times, serif" w:cs="times new roman, times, serif" w:eastAsia="times new roman, times, serif"/>
                <w:sz w:val="24"/>
              </w:rPr>
              <w:t>24</w:t>
            </w:r>
            <w:r>
              <w:rPr>
                <w:rFonts w:ascii="方正仿宋_gb2312" w:hAnsi="方正仿宋_gb2312" w:cs="方正仿宋_gb2312" w:eastAsia="方正仿宋_gb2312"/>
                <w:sz w:val="24"/>
              </w:rPr>
              <w:t>小时。</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4</w:t>
            </w:r>
            <w:r>
              <w:rPr>
                <w:rFonts w:ascii="方正仿宋_gb2312" w:hAnsi="方正仿宋_gb2312" w:cs="方正仿宋_gb2312" w:eastAsia="方正仿宋_gb2312"/>
                <w:sz w:val="24"/>
              </w:rPr>
              <w:t>）、安全咨询服务</w:t>
            </w:r>
          </w:p>
          <w:p>
            <w:pPr>
              <w:pStyle w:val="null3"/>
              <w:ind w:firstLine="480"/>
            </w:pPr>
            <w:r>
              <w:rPr>
                <w:rFonts w:ascii="方正仿宋_gb2312" w:hAnsi="方正仿宋_gb2312" w:cs="方正仿宋_gb2312" w:eastAsia="方正仿宋_gb2312"/>
                <w:sz w:val="24"/>
              </w:rPr>
              <w:t>服务方为杨凌职业技术学院免费提供一年技术咨询服务，包括信息系统整改建设咨询服务以及其他相关安全咨询服务，一旦接到用户的服务请求，技术服务工程师将立即开始提供服务，帮助客户解决信息安全相关技术问题，全面配合杨凌职业技术学院做好业务系统全保障工作。</w:t>
            </w:r>
          </w:p>
          <w:p>
            <w:pPr>
              <w:pStyle w:val="null3"/>
              <w:ind w:firstLine="480"/>
            </w:pPr>
            <w:r>
              <w:rPr>
                <w:rFonts w:ascii="方正仿宋_gb2312" w:hAnsi="方正仿宋_gb2312" w:cs="方正仿宋_gb2312" w:eastAsia="方正仿宋_gb2312"/>
                <w:sz w:val="24"/>
              </w:rPr>
              <w:t>（八）、保密责任与赔偿承诺</w:t>
            </w:r>
          </w:p>
          <w:p>
            <w:pPr>
              <w:pStyle w:val="null3"/>
              <w:ind w:firstLine="480"/>
            </w:pP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、服务商应承诺</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）服务商应严格遵守杨凌职业技术学院有关保密的相关规定，不得泄漏杨凌职业技术学院的任何机密；</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）在技术服务期间，服务商对接触到的有关杨凌职业技术学院工作活动、商业活动、技术情报和技术资料等文件进行保密。</w:t>
            </w:r>
          </w:p>
          <w:p>
            <w:pPr>
              <w:pStyle w:val="null3"/>
              <w:ind w:firstLine="480"/>
            </w:pP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、赔偿承诺与措施</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）在测评服务期间，如果出现因服务商责任，未能在承诺时间内恢复业务运行，杨凌职业技术学院有权请第三方进行解决处理，由此所产生的一切费用由服务商承担。</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）测评服务期间，服务商不符合或达不到合同中要求的技术服务标准，杨凌职业技术学院可以提前终止或解除合同。</w:t>
            </w:r>
          </w:p>
          <w:p>
            <w:pPr>
              <w:pStyle w:val="null3"/>
              <w:ind w:firstLine="480"/>
            </w:pPr>
            <w:r>
              <w:rPr>
                <w:rFonts w:ascii="方正仿宋_gb2312" w:hAnsi="方正仿宋_gb2312" w:cs="方正仿宋_gb2312" w:eastAsia="方正仿宋_gb2312"/>
                <w:sz w:val="24"/>
              </w:rPr>
              <w:t>（九）商务综合能力：</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）在测评期间，供应商需提风险评估及分析服务，供应商需提供《信息安全服务资质认证证书》（信息安全风险评估）证明；</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2</w:t>
            </w:r>
            <w:r>
              <w:rPr>
                <w:rFonts w:ascii="方正仿宋_gb2312" w:hAnsi="方正仿宋_gb2312" w:cs="方正仿宋_gb2312" w:eastAsia="方正仿宋_gb2312"/>
                <w:sz w:val="24"/>
              </w:rPr>
              <w:t>）在测评期间，为保障测评服务质量，供应商需提供安全需求分析、安全方案设计、安全整改建议等服务，供应商需提供《信息安全服务资质证书》（安全工程类）证明；</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3</w:t>
            </w:r>
            <w:r>
              <w:rPr>
                <w:rFonts w:ascii="方正仿宋_gb2312" w:hAnsi="方正仿宋_gb2312" w:cs="方正仿宋_gb2312" w:eastAsia="方正仿宋_gb2312"/>
                <w:sz w:val="24"/>
              </w:rPr>
              <w:t>）在测评期间，为保障测评服务质量，供应商需同时提供《质量管理体系认证证书》（</w:t>
            </w:r>
            <w:r>
              <w:rPr>
                <w:rFonts w:ascii="times new roman, times, serif" w:hAnsi="times new roman, times, serif" w:cs="times new roman, times, serif" w:eastAsia="times new roman, times, serif"/>
                <w:sz w:val="24"/>
              </w:rPr>
              <w:t>GB/T 19001-2016 / ISO9001:2015</w:t>
            </w:r>
            <w:r>
              <w:rPr>
                <w:rFonts w:ascii="方正仿宋_gb2312" w:hAnsi="方正仿宋_gb2312" w:cs="方正仿宋_gb2312" w:eastAsia="方正仿宋_gb2312"/>
                <w:sz w:val="24"/>
              </w:rPr>
              <w:t>标准）证明和《信息安全管理体系认证证书》（</w:t>
            </w:r>
            <w:r>
              <w:rPr>
                <w:rFonts w:ascii="times new roman, times, serif" w:hAnsi="times new roman, times, serif" w:cs="times new roman, times, serif" w:eastAsia="times new roman, times, serif"/>
                <w:sz w:val="24"/>
              </w:rPr>
              <w:t>GB/T 22080-2016 ISO/IEC 27001:2013</w:t>
            </w:r>
            <w:r>
              <w:rPr>
                <w:rFonts w:ascii="方正仿宋_gb2312" w:hAnsi="方正仿宋_gb2312" w:cs="方正仿宋_gb2312" w:eastAsia="方正仿宋_gb2312"/>
                <w:sz w:val="24"/>
              </w:rPr>
              <w:t>标准）证明；</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4</w:t>
            </w:r>
            <w:r>
              <w:rPr>
                <w:rFonts w:ascii="方正仿宋_gb2312" w:hAnsi="方正仿宋_gb2312" w:cs="方正仿宋_gb2312" w:eastAsia="方正仿宋_gb2312"/>
                <w:sz w:val="24"/>
              </w:rPr>
              <w:t>）供应商具有独立网络安全实验室，具备渗透测试、漏洞挖掘能力，提供实验室获得公安部优秀团队表彰证明；且同时能够提供不低于</w:t>
            </w:r>
            <w:r>
              <w:rPr>
                <w:rFonts w:ascii="times new roman, times, serif" w:hAnsi="times new roman, times, serif" w:cs="times new roman, times, serif" w:eastAsia="times new roman, times, serif"/>
                <w:sz w:val="24"/>
              </w:rPr>
              <w:t>4</w:t>
            </w:r>
            <w:r>
              <w:rPr>
                <w:rFonts w:ascii="方正仿宋_gb2312" w:hAnsi="方正仿宋_gb2312" w:cs="方正仿宋_gb2312" w:eastAsia="方正仿宋_gb2312"/>
                <w:sz w:val="24"/>
              </w:rPr>
              <w:t>个的单位</w:t>
            </w:r>
            <w:r>
              <w:rPr>
                <w:rFonts w:ascii="times new roman, times, serif" w:hAnsi="times new roman, times, serif" w:cs="times new roman, times, serif" w:eastAsia="times new roman, times, serif"/>
                <w:sz w:val="24"/>
              </w:rPr>
              <w:t>CNVD</w:t>
            </w:r>
            <w:r>
              <w:rPr>
                <w:rFonts w:ascii="方正仿宋_gb2312" w:hAnsi="方正仿宋_gb2312" w:cs="方正仿宋_gb2312" w:eastAsia="方正仿宋_gb2312"/>
                <w:sz w:val="24"/>
              </w:rPr>
              <w:t>《原创漏洞证明》证书；</w:t>
            </w:r>
          </w:p>
          <w:p>
            <w:pPr>
              <w:pStyle w:val="null3"/>
              <w:ind w:firstLine="480"/>
            </w:pPr>
            <w:r>
              <w:rPr>
                <w:rFonts w:ascii="方正仿宋_gb2312" w:hAnsi="方正仿宋_gb2312" w:cs="方正仿宋_gb2312" w:eastAsia="方正仿宋_gb2312"/>
                <w:sz w:val="24"/>
              </w:rPr>
              <w:t>（</w:t>
            </w:r>
            <w:r>
              <w:rPr>
                <w:rFonts w:ascii="times new roman, times, serif" w:hAnsi="times new roman, times, serif" w:cs="times new roman, times, serif" w:eastAsia="times new roman, times, serif"/>
                <w:sz w:val="24"/>
              </w:rPr>
              <w:t>5</w:t>
            </w:r>
            <w:r>
              <w:rPr>
                <w:rFonts w:ascii="方正仿宋_gb2312" w:hAnsi="方正仿宋_gb2312" w:cs="方正仿宋_gb2312" w:eastAsia="方正仿宋_gb2312"/>
                <w:sz w:val="24"/>
              </w:rPr>
              <w:t>）供应商具备国家信息安全漏洞库</w:t>
            </w:r>
            <w:r>
              <w:rPr>
                <w:rFonts w:ascii="times new roman, times, serif" w:hAnsi="times new roman, times, serif" w:cs="times new roman, times, serif" w:eastAsia="times new roman, times, serif"/>
                <w:sz w:val="24"/>
              </w:rPr>
              <w:t>(CNNVD)</w:t>
            </w:r>
            <w:r>
              <w:rPr>
                <w:rFonts w:ascii="方正仿宋_gb2312" w:hAnsi="方正仿宋_gb2312" w:cs="方正仿宋_gb2312" w:eastAsia="方正仿宋_gb2312"/>
                <w:sz w:val="24"/>
              </w:rPr>
              <w:t>技术支撑单位等级证书</w:t>
            </w:r>
            <w:r>
              <w:rPr>
                <w:rFonts w:ascii="times new roman, times, serif" w:hAnsi="times new roman, times, serif" w:cs="times new roman, times, serif" w:eastAsia="times new roman, times, serif"/>
                <w:sz w:val="24"/>
              </w:rPr>
              <w:t>(</w:t>
            </w:r>
            <w:r>
              <w:rPr>
                <w:rFonts w:ascii="方正仿宋_gb2312" w:hAnsi="方正仿宋_gb2312" w:cs="方正仿宋_gb2312" w:eastAsia="方正仿宋_gb2312"/>
                <w:sz w:val="24"/>
              </w:rPr>
              <w:t>三级</w:t>
            </w:r>
            <w:r>
              <w:rPr>
                <w:rFonts w:ascii="times new roman, times, serif" w:hAnsi="times new roman, times, serif" w:cs="times new roman, times, serif" w:eastAsia="times new roman, times, serif"/>
                <w:sz w:val="24"/>
              </w:rPr>
              <w:t>)</w:t>
            </w:r>
            <w:r>
              <w:rPr>
                <w:rFonts w:ascii="方正仿宋_gb2312" w:hAnsi="方正仿宋_gb2312" w:cs="方正仿宋_gb2312" w:eastAsia="方正仿宋_gb2312"/>
                <w:sz w:val="24"/>
              </w:rPr>
              <w:t>。</w:t>
            </w:r>
          </w:p>
          <w:p>
            <w:pPr>
              <w:pStyle w:val="null3"/>
              <w:ind w:firstLine="480"/>
            </w:pPr>
            <w:r>
              <w:rPr>
                <w:rFonts w:ascii="方正仿宋_gb2312" w:hAnsi="方正仿宋_gb2312" w:cs="方正仿宋_gb2312" w:eastAsia="方正仿宋_gb2312"/>
                <w:sz w:val="24"/>
              </w:rPr>
              <w:t>注：以上资质证书证明材料需提供原件或复印件，复印件加盖供应商公章。</w:t>
            </w:r>
          </w:p>
          <w:p>
            <w:pPr>
              <w:pStyle w:val="null3"/>
              <w:ind w:firstLine="480"/>
            </w:pPr>
            <w:r>
              <w:rPr>
                <w:rFonts w:ascii="方正仿宋_gb2312" w:hAnsi="方正仿宋_gb2312" w:cs="方正仿宋_gb2312" w:eastAsia="方正仿宋_gb2312"/>
                <w:sz w:val="24"/>
              </w:rPr>
              <w:t>（十）业绩要求</w:t>
            </w:r>
          </w:p>
          <w:p>
            <w:pPr>
              <w:pStyle w:val="null3"/>
              <w:ind w:firstLine="480"/>
            </w:pPr>
            <w:r>
              <w:rPr>
                <w:rFonts w:ascii="方正仿宋_gb2312" w:hAnsi="方正仿宋_gb2312" w:cs="方正仿宋_gb2312" w:eastAsia="方正仿宋_gb2312"/>
                <w:sz w:val="24"/>
              </w:rPr>
              <w:t>供应商提供自公开报价日起近</w:t>
            </w:r>
            <w:r>
              <w:rPr>
                <w:rFonts w:ascii="times new roman, times, serif" w:hAnsi="times new roman, times, serif" w:cs="times new roman, times, serif" w:eastAsia="times new roman, times, serif"/>
                <w:sz w:val="24"/>
              </w:rPr>
              <w:t>3</w:t>
            </w:r>
            <w:r>
              <w:rPr>
                <w:rFonts w:ascii="方正仿宋_gb2312" w:hAnsi="方正仿宋_gb2312" w:cs="方正仿宋_gb2312" w:eastAsia="方正仿宋_gb2312"/>
                <w:sz w:val="24"/>
              </w:rPr>
              <w:t>年内签订的同类项目合同案例至少</w:t>
            </w:r>
            <w:r>
              <w:rPr>
                <w:rFonts w:ascii="times new roman, times, serif" w:hAnsi="times new roman, times, serif" w:cs="times new roman, times, serif" w:eastAsia="times new roman, times, serif"/>
                <w:sz w:val="24"/>
              </w:rPr>
              <w:t>5</w:t>
            </w:r>
            <w:r>
              <w:rPr>
                <w:rFonts w:ascii="方正仿宋_gb2312" w:hAnsi="方正仿宋_gb2312" w:cs="方正仿宋_gb2312" w:eastAsia="方正仿宋_gb2312"/>
                <w:sz w:val="24"/>
              </w:rPr>
              <w:t>份。</w:t>
            </w:r>
          </w:p>
          <w:p>
            <w:pPr>
              <w:pStyle w:val="null3"/>
              <w:ind w:firstLine="480"/>
            </w:pPr>
            <w:r>
              <w:rPr>
                <w:rFonts w:ascii="方正仿宋_gb2312" w:hAnsi="方正仿宋_gb2312" w:cs="方正仿宋_gb2312" w:eastAsia="方正仿宋_gb2312"/>
                <w:sz w:val="24"/>
              </w:rPr>
              <w:t>注：以上合同案例需提供合同复印件至少应包括合同首页、服务内容页、合同价格页及合同双方盖章页并加盖供应商公章。</w:t>
            </w:r>
          </w:p>
          <w:p>
            <w:pPr>
              <w:pStyle w:val="null3"/>
              <w:ind w:firstLine="480"/>
            </w:pPr>
            <w:r>
              <w:rPr>
                <w:rFonts w:ascii="方正仿宋_gb2312" w:hAnsi="方正仿宋_gb2312" w:cs="方正仿宋_gb2312" w:eastAsia="方正仿宋_gb2312"/>
                <w:sz w:val="24"/>
              </w:rPr>
              <w:t>（十一）、主要交付物清单</w:t>
            </w:r>
          </w:p>
          <w:p>
            <w:pPr>
              <w:pStyle w:val="null3"/>
              <w:ind w:firstLine="480"/>
            </w:pPr>
            <w:r>
              <w:rPr>
                <w:rFonts w:ascii="方正仿宋_gb2312" w:hAnsi="方正仿宋_gb2312" w:cs="方正仿宋_gb2312" w:eastAsia="方正仿宋_gb2312"/>
                <w:sz w:val="24"/>
              </w:rPr>
              <w:t>在本次等级保护测评项目中，服务商须提交主要成果文档包含如下：</w:t>
            </w:r>
          </w:p>
          <w:p>
            <w:pPr>
              <w:pStyle w:val="null3"/>
              <w:ind w:firstLine="480"/>
            </w:pPr>
            <w:r>
              <w:rPr>
                <w:rFonts w:ascii="方正仿宋_gb2312" w:hAnsi="方正仿宋_gb2312" w:cs="方正仿宋_gb2312" w:eastAsia="方正仿宋_gb2312"/>
                <w:sz w:val="24"/>
              </w:rPr>
              <w:t>《信息系统安全等级测评报告》（数字校园系统）</w:t>
            </w:r>
          </w:p>
          <w:p>
            <w:pPr>
              <w:pStyle w:val="null3"/>
              <w:ind w:firstLine="480"/>
            </w:pPr>
            <w:r>
              <w:rPr>
                <w:rFonts w:ascii="方正仿宋_gb2312" w:hAnsi="方正仿宋_gb2312" w:cs="方正仿宋_gb2312" w:eastAsia="方正仿宋_gb2312"/>
                <w:sz w:val="24"/>
              </w:rPr>
              <w:t>《信息系统安全等级测评报告》（站群系统）</w:t>
            </w:r>
          </w:p>
          <w:p>
            <w:pPr>
              <w:pStyle w:val="null3"/>
              <w:ind w:firstLine="480"/>
            </w:pPr>
            <w:r>
              <w:rPr>
                <w:rFonts w:ascii="方正仿宋_gb2312" w:hAnsi="方正仿宋_gb2312" w:cs="方正仿宋_gb2312" w:eastAsia="方正仿宋_gb2312"/>
                <w:sz w:val="24"/>
              </w:rPr>
              <w:t>《信息系统安全等级测评报告》（教务系统）</w:t>
            </w:r>
          </w:p>
          <w:p>
            <w:pPr>
              <w:pStyle w:val="null3"/>
              <w:ind w:firstLine="480"/>
            </w:pPr>
            <w:r>
              <w:rPr>
                <w:rFonts w:ascii="方正仿宋_gb2312" w:hAnsi="方正仿宋_gb2312" w:cs="方正仿宋_gb2312" w:eastAsia="方正仿宋_gb2312"/>
                <w:sz w:val="24"/>
              </w:rPr>
              <w:t>《信息系统安全等级测评报告》（一卡通系统）</w:t>
            </w:r>
          </w:p>
          <w:p>
            <w:pPr>
              <w:pStyle w:val="null3"/>
              <w:ind w:firstLine="480"/>
            </w:pPr>
            <w:r>
              <w:rPr>
                <w:rFonts w:ascii="方正仿宋_gb2312" w:hAnsi="方正仿宋_gb2312" w:cs="方正仿宋_gb2312" w:eastAsia="方正仿宋_gb2312"/>
                <w:sz w:val="24"/>
              </w:rPr>
              <w:t>《信息系统安全等级测评报告》（办公</w:t>
            </w:r>
            <w:r>
              <w:rPr>
                <w:rFonts w:ascii="times new roman, times, serif" w:hAnsi="times new roman, times, serif" w:cs="times new roman, times, serif" w:eastAsia="times new roman, times, serif"/>
                <w:sz w:val="24"/>
              </w:rPr>
              <w:t>OA</w:t>
            </w:r>
            <w:r>
              <w:rPr>
                <w:rFonts w:ascii="方正仿宋_gb2312" w:hAnsi="方正仿宋_gb2312" w:cs="方正仿宋_gb2312" w:eastAsia="方正仿宋_gb2312"/>
                <w:sz w:val="24"/>
              </w:rPr>
              <w:t>系统）</w:t>
            </w:r>
          </w:p>
          <w:p>
            <w:pPr>
              <w:pStyle w:val="null3"/>
              <w:ind w:firstLine="480"/>
            </w:pPr>
            <w:r>
              <w:rPr>
                <w:rFonts w:ascii="方正仿宋_gb2312" w:hAnsi="方正仿宋_gb2312" w:cs="方正仿宋_gb2312" w:eastAsia="方正仿宋_gb2312"/>
                <w:sz w:val="24"/>
              </w:rPr>
              <w:t>《信息系统安全等级测评报告》（优慕课在线教学系统）</w:t>
            </w:r>
          </w:p>
          <w:p>
            <w:pPr>
              <w:pStyle w:val="null3"/>
              <w:ind w:firstLine="480"/>
            </w:pPr>
            <w:r>
              <w:rPr>
                <w:rFonts w:ascii="方正仿宋_gb2312" w:hAnsi="方正仿宋_gb2312" w:cs="方正仿宋_gb2312" w:eastAsia="方正仿宋_gb2312"/>
                <w:sz w:val="24"/>
              </w:rPr>
              <w:t xml:space="preserve">   </w:t>
            </w:r>
            <w:r>
              <w:rPr>
                <w:rFonts w:ascii="方正仿宋_gb2312" w:hAnsi="方正仿宋_gb2312" w:cs="方正仿宋_gb2312" w:eastAsia="方正仿宋_gb2312"/>
                <w:sz w:val="24"/>
              </w:rPr>
              <w:t>以上六个系统公安机关备案证书。</w:t>
            </w:r>
          </w:p>
          <w:p>
            <w:pPr>
              <w:pStyle w:val="null3"/>
              <w:ind w:firstLine="480"/>
            </w:pPr>
            <w:r>
              <w:rPr>
                <w:rFonts w:ascii="方正仿宋_gb2312" w:hAnsi="方正仿宋_gb2312" w:cs="方正仿宋_gb2312" w:eastAsia="方正仿宋_gb2312"/>
                <w:sz w:val="24"/>
              </w:rPr>
              <w:t>（十二）、技术方案内容及要求</w:t>
            </w:r>
          </w:p>
          <w:p>
            <w:pPr>
              <w:pStyle w:val="null3"/>
              <w:ind w:firstLine="480"/>
            </w:pP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技术方案框架应包括项目目标、项目范围、技术思路、工作内容、测评对象情况调查、协助定级备案、等保测评、验证测评、安全整改、复测评、售后服务、项目验收、项目实施组织计划和项目管理以及风险规避和应急预案等内容进行详细描述。具体要求如下：</w:t>
            </w:r>
          </w:p>
          <w:p>
            <w:pPr>
              <w:pStyle w:val="null3"/>
              <w:ind w:firstLine="480"/>
            </w:pPr>
            <w:r>
              <w:rPr>
                <w:rFonts w:ascii="times new roman, times, serif" w:hAnsi="times new roman, times, serif" w:cs="times new roman, times, serif" w:eastAsia="times new roman, times, serif"/>
                <w:sz w:val="24"/>
              </w:rPr>
              <w:t>1.1</w:t>
            </w:r>
            <w:r>
              <w:rPr>
                <w:rFonts w:ascii="方正仿宋_gb2312" w:hAnsi="方正仿宋_gb2312" w:cs="方正仿宋_gb2312" w:eastAsia="方正仿宋_gb2312"/>
                <w:sz w:val="24"/>
              </w:rPr>
              <w:t>项目需求分析应包括项目目标、项目范围、技术思路、工作内容等内容；</w:t>
            </w:r>
          </w:p>
          <w:p>
            <w:pPr>
              <w:pStyle w:val="null3"/>
              <w:ind w:firstLine="480"/>
            </w:pPr>
            <w:r>
              <w:rPr>
                <w:rFonts w:ascii="times new roman, times, serif" w:hAnsi="times new roman, times, serif" w:cs="times new roman, times, serif" w:eastAsia="times new roman, times, serif"/>
                <w:sz w:val="24"/>
              </w:rPr>
              <w:t>1.2</w:t>
            </w:r>
            <w:r>
              <w:rPr>
                <w:rFonts w:ascii="方正仿宋_gb2312" w:hAnsi="方正仿宋_gb2312" w:cs="方正仿宋_gb2312" w:eastAsia="方正仿宋_gb2312"/>
                <w:sz w:val="24"/>
              </w:rPr>
              <w:t>测评方案设计应包括详细的测评对象情况调查、协助定级备案、等保测评、验证测评等内容；</w:t>
            </w:r>
          </w:p>
          <w:p>
            <w:pPr>
              <w:pStyle w:val="null3"/>
              <w:ind w:firstLine="480"/>
            </w:pPr>
            <w:r>
              <w:rPr>
                <w:rFonts w:ascii="times new roman, times, serif" w:hAnsi="times new roman, times, serif" w:cs="times new roman, times, serif" w:eastAsia="times new roman, times, serif"/>
                <w:sz w:val="24"/>
              </w:rPr>
              <w:t>1.3</w:t>
            </w:r>
            <w:r>
              <w:rPr>
                <w:rFonts w:ascii="方正仿宋_gb2312" w:hAnsi="方正仿宋_gb2312" w:cs="方正仿宋_gb2312" w:eastAsia="方正仿宋_gb2312"/>
                <w:sz w:val="24"/>
              </w:rPr>
              <w:t>测评方案中应包括详细的漏洞扫描和渗透测方案，方案设计应包括漏洞扫描和渗透测试目标、流程、渗透测试技术手段介绍、漏洞扫描和渗透测试风险规避措施等内容；</w:t>
            </w:r>
          </w:p>
          <w:p>
            <w:pPr>
              <w:pStyle w:val="null3"/>
              <w:ind w:firstLine="480"/>
            </w:pPr>
            <w:r>
              <w:rPr>
                <w:rFonts w:ascii="times new roman, times, serif" w:hAnsi="times new roman, times, serif" w:cs="times new roman, times, serif" w:eastAsia="times new roman, times, serif"/>
                <w:sz w:val="24"/>
              </w:rPr>
              <w:t>1.4</w:t>
            </w:r>
            <w:r>
              <w:rPr>
                <w:rFonts w:ascii="方正仿宋_gb2312" w:hAnsi="方正仿宋_gb2312" w:cs="方正仿宋_gb2312" w:eastAsia="方正仿宋_gb2312"/>
                <w:sz w:val="24"/>
              </w:rPr>
              <w:t>项目收尾方案中应包括详细的安全整改、复测评、售后服务、项目验收等内容；</w:t>
            </w:r>
          </w:p>
          <w:p>
            <w:pPr>
              <w:pStyle w:val="null3"/>
              <w:ind w:firstLine="480"/>
            </w:pPr>
            <w:r>
              <w:rPr>
                <w:rFonts w:ascii="times new roman, times, serif" w:hAnsi="times new roman, times, serif" w:cs="times new roman, times, serif" w:eastAsia="times new roman, times, serif"/>
                <w:sz w:val="24"/>
              </w:rPr>
              <w:t>1.5</w:t>
            </w:r>
            <w:r>
              <w:rPr>
                <w:rFonts w:ascii="方正仿宋_gb2312" w:hAnsi="方正仿宋_gb2312" w:cs="方正仿宋_gb2312" w:eastAsia="方正仿宋_gb2312"/>
                <w:sz w:val="24"/>
              </w:rPr>
              <w:t>整体项目实施应具备合理、完备的项目实施组织计划和项目管理方案，方案设计应包括项目组织架构与任务分工、工作职责、项目进度计划等内容；</w:t>
            </w:r>
          </w:p>
          <w:p>
            <w:pPr>
              <w:pStyle w:val="null3"/>
              <w:ind w:firstLine="480"/>
            </w:pPr>
            <w:r>
              <w:rPr>
                <w:rFonts w:ascii="times new roman, times, serif" w:hAnsi="times new roman, times, serif" w:cs="times new roman, times, serif" w:eastAsia="times new roman, times, serif"/>
                <w:sz w:val="24"/>
              </w:rPr>
              <w:t>1.6</w:t>
            </w:r>
            <w:r>
              <w:rPr>
                <w:rFonts w:ascii="方正仿宋_gb2312" w:hAnsi="方正仿宋_gb2312" w:cs="方正仿宋_gb2312" w:eastAsia="方正仿宋_gb2312"/>
                <w:sz w:val="24"/>
              </w:rPr>
              <w:t>项目质量管理与风险管理方案应包括项目质量管理、变更控制管理、项目风险管理、保密控制管理、应急预案等措施。</w:t>
            </w:r>
          </w:p>
          <w:p>
            <w:pPr>
              <w:pStyle w:val="null3"/>
              <w:ind w:firstLine="480"/>
            </w:pPr>
            <w:r>
              <w:rPr>
                <w:rFonts w:ascii="方正仿宋_gb2312" w:hAnsi="方正仿宋_gb2312" w:cs="方正仿宋_gb2312" w:eastAsia="方正仿宋_gb2312"/>
                <w:sz w:val="24"/>
              </w:rPr>
              <w:t>十三、其他要求</w:t>
            </w:r>
          </w:p>
          <w:p>
            <w:pPr>
              <w:pStyle w:val="null3"/>
              <w:jc w:val="both"/>
            </w:pPr>
            <w:r>
              <w:rPr>
                <w:rFonts w:ascii="times new roman, times, serif" w:hAnsi="times new roman, times, serif" w:cs="times new roman, times, serif" w:eastAsia="times new roman, times, serif"/>
                <w:sz w:val="24"/>
              </w:rPr>
              <w:t>1.</w:t>
            </w:r>
            <w:r>
              <w:rPr>
                <w:rFonts w:ascii="方正仿宋_gb2312" w:hAnsi="方正仿宋_gb2312" w:cs="方正仿宋_gb2312" w:eastAsia="方正仿宋_gb2312"/>
                <w:sz w:val="24"/>
              </w:rPr>
              <w:t>供应商根据本项目实际需求及特点，提供本项目合理化建议，技术服务方案，组织管理制度，质量保证方案，应急方案，人员配备方案，项目负责人能力证明材料，培训方案及同类项目业绩证明材料。</w:t>
            </w:r>
          </w:p>
          <w:p>
            <w:pPr>
              <w:pStyle w:val="null3"/>
              <w:jc w:val="both"/>
            </w:pP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标的名称：校园软件正版化场地授权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方正仿宋_gb2312" w:hAnsi="方正仿宋_gb2312" w:cs="方正仿宋_gb2312" w:eastAsia="方正仿宋_gb2312"/>
                <w:sz w:val="24"/>
                <w:b/>
              </w:rPr>
              <w:t xml:space="preserve">       一、服务范围</w:t>
            </w:r>
          </w:p>
          <w:p>
            <w:pPr>
              <w:pStyle w:val="null3"/>
              <w:ind w:firstLine="480"/>
            </w:pPr>
            <w:r>
              <w:rPr>
                <w:rFonts w:ascii="方正仿宋_gb2312" w:hAnsi="方正仿宋_gb2312" w:cs="方正仿宋_gb2312" w:eastAsia="方正仿宋_gb2312"/>
                <w:sz w:val="24"/>
              </w:rPr>
              <w:t>为全校办公室、教室、实验室和图书馆等场所的计算机包括教职工电脑和笔记本，提供相关正版软件。</w:t>
            </w:r>
          </w:p>
          <w:p>
            <w:pPr>
              <w:pStyle w:val="null3"/>
              <w:ind w:firstLine="480"/>
            </w:pPr>
            <w:r>
              <w:rPr>
                <w:rFonts w:ascii="方正仿宋_gb2312" w:hAnsi="方正仿宋_gb2312" w:cs="方正仿宋_gb2312" w:eastAsia="方正仿宋_gb2312"/>
                <w:sz w:val="24"/>
                <w:b/>
              </w:rPr>
              <w:t>二、服务内容及要求</w:t>
            </w:r>
          </w:p>
          <w:p>
            <w:pPr>
              <w:pStyle w:val="null3"/>
              <w:jc w:val="both"/>
            </w:pPr>
            <w:r>
              <w:rPr>
                <w:rFonts w:ascii="方正仿宋_gb2312" w:hAnsi="方正仿宋_gb2312" w:cs="方正仿宋_gb2312" w:eastAsia="方正仿宋_gb2312"/>
                <w:sz w:val="24"/>
                <w:b/>
              </w:rPr>
              <w:t xml:space="preserve">     （1）服务内容</w:t>
            </w:r>
          </w:p>
          <w:p>
            <w:pPr>
              <w:pStyle w:val="null3"/>
              <w:ind w:firstLine="480"/>
              <w:jc w:val="both"/>
            </w:pPr>
            <w:r>
              <w:rPr>
                <w:rFonts w:ascii="方正仿宋_gb2312" w:hAnsi="方正仿宋_gb2312" w:cs="方正仿宋_gb2312" w:eastAsia="方正仿宋_gb2312"/>
                <w:sz w:val="24"/>
              </w:rPr>
              <w:t>1.建设目标：贯彻落实国家和陕西省关于软件正版化工作的相关政策要求，加强学校正版软件管理，提高正版软件使用效益，降低系统和信息安全风险，为广大师生提供正版软件服务与支持，保障学校办公、教学和科研工作的正常开展。</w:t>
            </w:r>
          </w:p>
          <w:p>
            <w:pPr>
              <w:pStyle w:val="null3"/>
              <w:ind w:firstLine="480"/>
              <w:jc w:val="both"/>
            </w:pPr>
            <w:r>
              <w:rPr>
                <w:rFonts w:ascii="方正仿宋_gb2312" w:hAnsi="方正仿宋_gb2312" w:cs="方正仿宋_gb2312" w:eastAsia="方正仿宋_gb2312"/>
                <w:sz w:val="24"/>
              </w:rPr>
              <w:t>2.采购内容：包括微软操作系统服务、微软办公软件服务、国产办公软件及云服务及正版软件管理平台及售后服务。服务内容详见下表：</w:t>
            </w:r>
          </w:p>
          <w:tbl>
            <w:tblPr>
              <w:tblBorders>
                <w:top w:val="none" w:color="000000" w:sz="4"/>
                <w:left w:val="none" w:color="000000" w:sz="4"/>
                <w:bottom w:val="none" w:color="000000" w:sz="4"/>
                <w:right w:val="none" w:color="000000" w:sz="4"/>
                <w:insideH w:val="none"/>
                <w:insideV w:val="none"/>
              </w:tblBorders>
            </w:tblPr>
            <w:tblGrid>
              <w:gridCol w:w="364"/>
              <w:gridCol w:w="1658"/>
              <w:gridCol w:w="529"/>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序号</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内容</w:t>
                  </w:r>
                </w:p>
              </w:tc>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数量</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1</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微软操作系统及办公软件服务</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1项</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2</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国产办公软件及云服务</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1项</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3</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正版软件管理平台及售后运维服务</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方正仿宋_gb2312" w:hAnsi="方正仿宋_gb2312" w:cs="方正仿宋_gb2312" w:eastAsia="方正仿宋_gb2312"/>
                      <w:sz w:val="24"/>
                    </w:rPr>
                    <w:t>1项</w:t>
                  </w:r>
                </w:p>
              </w:tc>
            </w:tr>
          </w:tbl>
          <w:p>
            <w:pPr>
              <w:pStyle w:val="null3"/>
              <w:numPr>
                <w:ilvl w:val="0"/>
                <w:numId w:val="1"/>
              </w:numPr>
              <w:jc w:val="both"/>
            </w:pPr>
            <w:r>
              <w:rPr>
                <w:rFonts w:ascii="方正仿宋_gb2312" w:hAnsi="方正仿宋_gb2312" w:cs="方正仿宋_gb2312" w:eastAsia="方正仿宋_gb2312"/>
                <w:sz w:val="24"/>
                <w:b/>
              </w:rPr>
              <w:t>（2）技术要求（如有，一般适合于技术服务项目）</w:t>
            </w:r>
          </w:p>
          <w:tbl>
            <w:tblPr>
              <w:tblInd w:type="dxa" w:w="120"/>
              <w:tblBorders>
                <w:top w:val="none" w:color="000000" w:sz="4"/>
                <w:left w:val="none" w:color="000000" w:sz="4"/>
                <w:bottom w:val="none" w:color="000000" w:sz="4"/>
                <w:right w:val="none" w:color="000000" w:sz="4"/>
                <w:insideH w:val="none"/>
                <w:insideV w:val="none"/>
              </w:tblBorders>
            </w:tblPr>
            <w:tblGrid>
              <w:gridCol w:w="332"/>
              <w:gridCol w:w="2075"/>
            </w:tblGrid>
            <w:tr>
              <w:tc>
                <w:tcPr>
                  <w:tcW w:type="dxa" w:w="33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方正仿宋_gb2312" w:hAnsi="方正仿宋_gb2312" w:cs="方正仿宋_gb2312" w:eastAsia="方正仿宋_gb2312"/>
                      <w:sz w:val="24"/>
                      <w:color w:val="000000"/>
                    </w:rPr>
                    <w:t>技术</w:t>
                  </w:r>
                  <w:r>
                    <w:rPr>
                      <w:rFonts w:ascii="方正仿宋_gb2312" w:hAnsi="方正仿宋_gb2312" w:cs="方正仿宋_gb2312" w:eastAsia="方正仿宋_gb2312"/>
                      <w:sz w:val="24"/>
                      <w:color w:val="000000"/>
                    </w:rPr>
                    <w:t>/服务项目</w:t>
                  </w:r>
                </w:p>
              </w:tc>
              <w:tc>
                <w:tcPr>
                  <w:tcW w:type="dxa" w:w="20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方正仿宋_gb2312" w:hAnsi="方正仿宋_gb2312" w:cs="方正仿宋_gb2312" w:eastAsia="方正仿宋_gb2312"/>
                      <w:sz w:val="24"/>
                      <w:color w:val="000000"/>
                    </w:rPr>
                    <w:t>技术</w:t>
                  </w:r>
                  <w:r>
                    <w:rPr>
                      <w:rFonts w:ascii="方正仿宋_gb2312" w:hAnsi="方正仿宋_gb2312" w:cs="方正仿宋_gb2312" w:eastAsia="方正仿宋_gb2312"/>
                      <w:sz w:val="24"/>
                      <w:color w:val="000000"/>
                    </w:rPr>
                    <w:t>/服务指标</w:t>
                  </w:r>
                </w:p>
              </w:tc>
            </w:tr>
            <w:tr>
              <w:tc>
                <w:tcPr>
                  <w:tcW w:type="dxa" w:w="33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方正仿宋_gb2312" w:hAnsi="方正仿宋_gb2312" w:cs="方正仿宋_gb2312" w:eastAsia="方正仿宋_gb2312"/>
                      <w:sz w:val="24"/>
                    </w:rPr>
                    <w:t>微软操作系统及办公软件服务</w:t>
                  </w: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基本要求：</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涵盖范围：学校办公室、教室、实验室和图书馆等场所的计算机包括教职工电脑和笔记本；</w:t>
                  </w:r>
                </w:p>
                <w:p>
                  <w:pPr>
                    <w:pStyle w:val="null3"/>
                    <w:jc w:val="left"/>
                  </w:pPr>
                  <w:r>
                    <w:rPr>
                      <w:rFonts w:ascii="方正仿宋_gb2312" w:hAnsi="方正仿宋_gb2312" w:cs="方正仿宋_gb2312" w:eastAsia="方正仿宋_gb2312"/>
                      <w:sz w:val="24"/>
                      <w:color w:val="000000"/>
                    </w:rPr>
                    <w:t>授权方式：年场地授权；</w:t>
                  </w:r>
                </w:p>
                <w:p>
                  <w:pPr>
                    <w:pStyle w:val="null3"/>
                    <w:jc w:val="left"/>
                  </w:pPr>
                  <w:r>
                    <w:rPr>
                      <w:rFonts w:ascii="方正仿宋_gb2312" w:hAnsi="方正仿宋_gb2312" w:cs="方正仿宋_gb2312" w:eastAsia="方正仿宋_gb2312"/>
                      <w:sz w:val="24"/>
                      <w:color w:val="000000"/>
                    </w:rPr>
                    <w:t>合约期限：</w:t>
                  </w:r>
                  <w:r>
                    <w:rPr>
                      <w:rFonts w:ascii="方正仿宋_gb2312" w:hAnsi="方正仿宋_gb2312" w:cs="方正仿宋_gb2312" w:eastAsia="方正仿宋_gb2312"/>
                      <w:sz w:val="24"/>
                      <w:color w:val="000000"/>
                    </w:rPr>
                    <w:t>1年；</w:t>
                  </w:r>
                </w:p>
                <w:p>
                  <w:pPr>
                    <w:pStyle w:val="null3"/>
                    <w:jc w:val="left"/>
                  </w:pPr>
                  <w:r>
                    <w:rPr>
                      <w:rFonts w:ascii="方正仿宋_gb2312" w:hAnsi="方正仿宋_gb2312" w:cs="方正仿宋_gb2312" w:eastAsia="方正仿宋_gb2312"/>
                      <w:sz w:val="24"/>
                      <w:color w:val="000000"/>
                    </w:rPr>
                    <w:t>合约有效期内，软件如有升级版本，授权对升级版本同样有效；</w:t>
                  </w:r>
                </w:p>
                <w:p>
                  <w:pPr>
                    <w:pStyle w:val="null3"/>
                    <w:jc w:val="left"/>
                  </w:pPr>
                  <w:r>
                    <w:rPr>
                      <w:rFonts w:ascii="方正仿宋_gb2312" w:hAnsi="方正仿宋_gb2312" w:cs="方正仿宋_gb2312" w:eastAsia="方正仿宋_gb2312"/>
                      <w:sz w:val="24"/>
                      <w:color w:val="000000"/>
                    </w:rPr>
                    <w:t>合约有效期内价格不得变动。</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操作系统要求：</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产品语言：至少包括简体中文和英文版本。</w:t>
                  </w:r>
                </w:p>
                <w:p>
                  <w:pPr>
                    <w:pStyle w:val="null3"/>
                    <w:jc w:val="left"/>
                  </w:pPr>
                  <w:r>
                    <w:rPr>
                      <w:rFonts w:ascii="方正仿宋_gb2312" w:hAnsi="方正仿宋_gb2312" w:cs="方正仿宋_gb2312" w:eastAsia="方正仿宋_gb2312"/>
                      <w:sz w:val="24"/>
                      <w:color w:val="000000"/>
                    </w:rPr>
                    <w:t>桌面操作系统要能够支持系统之间轻松传送，可将原有低版本系统上的文件、文件夹、程序设置和系统设置从旧</w:t>
                  </w:r>
                  <w:r>
                    <w:rPr>
                      <w:rFonts w:ascii="方正仿宋_gb2312" w:hAnsi="方正仿宋_gb2312" w:cs="方正仿宋_gb2312" w:eastAsia="方正仿宋_gb2312"/>
                      <w:sz w:val="24"/>
                      <w:color w:val="000000"/>
                    </w:rPr>
                    <w:t>PC 转移到新 PC。</w:t>
                  </w:r>
                </w:p>
                <w:p>
                  <w:pPr>
                    <w:pStyle w:val="null3"/>
                    <w:jc w:val="left"/>
                  </w:pPr>
                  <w:r>
                    <w:rPr>
                      <w:rFonts w:ascii="方正仿宋_gb2312" w:hAnsi="方正仿宋_gb2312" w:cs="方正仿宋_gb2312" w:eastAsia="方正仿宋_gb2312"/>
                      <w:sz w:val="24"/>
                      <w:color w:val="000000"/>
                    </w:rPr>
                    <w:t>支持自适应性显示器亮度调整。</w:t>
                  </w:r>
                </w:p>
                <w:p>
                  <w:pPr>
                    <w:pStyle w:val="null3"/>
                    <w:jc w:val="left"/>
                  </w:pPr>
                  <w:r>
                    <w:rPr>
                      <w:rFonts w:ascii="方正仿宋_gb2312" w:hAnsi="方正仿宋_gb2312" w:cs="方正仿宋_gb2312" w:eastAsia="方正仿宋_gb2312"/>
                      <w:sz w:val="24"/>
                      <w:color w:val="000000"/>
                    </w:rPr>
                    <w:t>支持用户帐户控制。</w:t>
                  </w:r>
                </w:p>
                <w:p>
                  <w:pPr>
                    <w:pStyle w:val="null3"/>
                    <w:jc w:val="left"/>
                  </w:pPr>
                  <w:r>
                    <w:rPr>
                      <w:rFonts w:ascii="方正仿宋_gb2312" w:hAnsi="方正仿宋_gb2312" w:cs="方正仿宋_gb2312" w:eastAsia="方正仿宋_gb2312"/>
                      <w:sz w:val="24"/>
                      <w:color w:val="000000"/>
                    </w:rPr>
                    <w:t>平台安全稳定。具有基本的安全功能（如内核修补程序保护、服务强化、数据执行保护、地址空间布局随机选择和强制完整性级别），并针对恶意软件和攻击提供增强的防护。</w:t>
                  </w:r>
                </w:p>
                <w:p>
                  <w:pPr>
                    <w:pStyle w:val="null3"/>
                    <w:jc w:val="left"/>
                  </w:pPr>
                  <w:r>
                    <w:rPr>
                      <w:rFonts w:ascii="方正仿宋_gb2312" w:hAnsi="方正仿宋_gb2312" w:cs="方正仿宋_gb2312" w:eastAsia="方正仿宋_gb2312"/>
                      <w:sz w:val="24"/>
                      <w:color w:val="000000"/>
                    </w:rPr>
                    <w:t>支持系统还原。系统还原点在备份中也可用，可从一个更大的还原点列表中进行选择。</w:t>
                  </w:r>
                </w:p>
                <w:p>
                  <w:pPr>
                    <w:pStyle w:val="null3"/>
                    <w:jc w:val="left"/>
                  </w:pPr>
                  <w:r>
                    <w:rPr>
                      <w:rFonts w:ascii="方正仿宋_gb2312" w:hAnsi="方正仿宋_gb2312" w:cs="方正仿宋_gb2312" w:eastAsia="方正仿宋_gb2312"/>
                      <w:sz w:val="24"/>
                      <w:color w:val="000000"/>
                    </w:rPr>
                    <w:t>支持操作系统疑难解答，可诊断并解决常见的操作系统和硬件问题，针对一些不同类型的问题提供内置的疑难解答程序。</w:t>
                  </w:r>
                </w:p>
                <w:p>
                  <w:pPr>
                    <w:pStyle w:val="null3"/>
                    <w:jc w:val="left"/>
                  </w:pPr>
                  <w:r>
                    <w:rPr>
                      <w:rFonts w:ascii="方正仿宋_gb2312" w:hAnsi="方正仿宋_gb2312" w:cs="方正仿宋_gb2312" w:eastAsia="方正仿宋_gb2312"/>
                      <w:sz w:val="24"/>
                      <w:color w:val="000000"/>
                    </w:rPr>
                    <w:t>支持自动化的启动修复工具来诊断和恢复无法启动的系统。如果遇到无法成功启动的情况，操作系统会自动加载启动修复，扫描</w:t>
                  </w:r>
                  <w:r>
                    <w:rPr>
                      <w:rFonts w:ascii="方正仿宋_gb2312" w:hAnsi="方正仿宋_gb2312" w:cs="方正仿宋_gb2312" w:eastAsia="方正仿宋_gb2312"/>
                      <w:sz w:val="24"/>
                      <w:color w:val="000000"/>
                    </w:rPr>
                    <w:t>PC中的问题（比如注册表损坏、系统文件丢失或启动配置数据无效），并在可能的情况下自动修复，确保能够重新启动。</w:t>
                  </w:r>
                </w:p>
                <w:p>
                  <w:pPr>
                    <w:pStyle w:val="null3"/>
                    <w:jc w:val="left"/>
                  </w:pPr>
                  <w:r>
                    <w:rPr>
                      <w:rFonts w:ascii="方正仿宋_gb2312" w:hAnsi="方正仿宋_gb2312" w:cs="方正仿宋_gb2312" w:eastAsia="方正仿宋_gb2312"/>
                      <w:sz w:val="24"/>
                      <w:color w:val="000000"/>
                    </w:rPr>
                    <w:t>支持从其他电脑远程访问某台电脑上的文件和程序。能够进行脱机操作，自动将电脑和网络上的内容同步。</w:t>
                  </w:r>
                </w:p>
                <w:p>
                  <w:pPr>
                    <w:pStyle w:val="null3"/>
                    <w:jc w:val="left"/>
                  </w:pPr>
                  <w:r>
                    <w:rPr>
                      <w:rFonts w:ascii="方正仿宋_gb2312" w:hAnsi="方正仿宋_gb2312" w:cs="方正仿宋_gb2312" w:eastAsia="方正仿宋_gb2312"/>
                      <w:sz w:val="24"/>
                      <w:color w:val="000000"/>
                    </w:rPr>
                    <w:t>支持智能输入和最近搜索。它可根据之前的搜索呈现输入建议，并动态过滤这些建议来帮助缩小结果。</w:t>
                  </w:r>
                </w:p>
                <w:p>
                  <w:pPr>
                    <w:pStyle w:val="null3"/>
                    <w:jc w:val="left"/>
                  </w:pPr>
                  <w:r>
                    <w:rPr>
                      <w:rFonts w:ascii="方正仿宋_gb2312" w:hAnsi="方正仿宋_gb2312" w:cs="方正仿宋_gb2312" w:eastAsia="方正仿宋_gb2312"/>
                      <w:sz w:val="24"/>
                      <w:color w:val="000000"/>
                    </w:rPr>
                    <w:t>支持操作系统内置支持的本地全局搜索。只需在搜索框中输入少许字母，就会显示匹配的文档、图片、音乐、电子邮件和其他文件的列表，所有内容都排列在相应的类别下。还可以直接在开始菜单中搜索控制面板任务，以便快速调整计算机设置。</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办公软件要求：</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分别支持</w:t>
                  </w:r>
                  <w:r>
                    <w:rPr>
                      <w:rFonts w:ascii="方正仿宋_gb2312" w:hAnsi="方正仿宋_gb2312" w:cs="方正仿宋_gb2312" w:eastAsia="方正仿宋_gb2312"/>
                      <w:sz w:val="24"/>
                      <w:color w:val="000000"/>
                    </w:rPr>
                    <w:t>Windows平台和mac平台。</w:t>
                  </w:r>
                </w:p>
                <w:p>
                  <w:pPr>
                    <w:pStyle w:val="null3"/>
                    <w:jc w:val="left"/>
                  </w:pPr>
                  <w:r>
                    <w:rPr>
                      <w:rFonts w:ascii="方正仿宋_gb2312" w:hAnsi="方正仿宋_gb2312" w:cs="方正仿宋_gb2312" w:eastAsia="方正仿宋_gb2312"/>
                      <w:sz w:val="24"/>
                      <w:color w:val="000000"/>
                    </w:rPr>
                    <w:t>须包含以下组件：</w:t>
                  </w:r>
                </w:p>
                <w:p>
                  <w:pPr>
                    <w:pStyle w:val="null3"/>
                    <w:jc w:val="left"/>
                  </w:pPr>
                  <w:r>
                    <w:rPr>
                      <w:rFonts w:ascii="方正仿宋_gb2312" w:hAnsi="方正仿宋_gb2312" w:cs="方正仿宋_gb2312" w:eastAsia="方正仿宋_gb2312"/>
                      <w:sz w:val="24"/>
                      <w:color w:val="000000"/>
                    </w:rPr>
                    <w:t>1） 文字处理软件（word）</w:t>
                  </w:r>
                </w:p>
                <w:p>
                  <w:pPr>
                    <w:pStyle w:val="null3"/>
                    <w:jc w:val="left"/>
                  </w:pPr>
                  <w:r>
                    <w:rPr>
                      <w:rFonts w:ascii="方正仿宋_gb2312" w:hAnsi="方正仿宋_gb2312" w:cs="方正仿宋_gb2312" w:eastAsia="方正仿宋_gb2312"/>
                      <w:sz w:val="24"/>
                      <w:color w:val="000000"/>
                    </w:rPr>
                    <w:t>2） 电子表格软件（excel）</w:t>
                  </w:r>
                </w:p>
                <w:p>
                  <w:pPr>
                    <w:pStyle w:val="null3"/>
                    <w:jc w:val="left"/>
                  </w:pPr>
                  <w:r>
                    <w:rPr>
                      <w:rFonts w:ascii="方正仿宋_gb2312" w:hAnsi="方正仿宋_gb2312" w:cs="方正仿宋_gb2312" w:eastAsia="方正仿宋_gb2312"/>
                      <w:sz w:val="24"/>
                      <w:color w:val="000000"/>
                    </w:rPr>
                    <w:t>3） PPT演示软件（PowerPoint）</w:t>
                  </w:r>
                </w:p>
                <w:p>
                  <w:pPr>
                    <w:pStyle w:val="null3"/>
                    <w:jc w:val="left"/>
                  </w:pPr>
                  <w:r>
                    <w:rPr>
                      <w:rFonts w:ascii="方正仿宋_gb2312" w:hAnsi="方正仿宋_gb2312" w:cs="方正仿宋_gb2312" w:eastAsia="方正仿宋_gb2312"/>
                      <w:sz w:val="24"/>
                      <w:color w:val="000000"/>
                    </w:rPr>
                    <w:t>4） 电子邮件访问软件（outlook）</w:t>
                  </w:r>
                </w:p>
                <w:p>
                  <w:pPr>
                    <w:pStyle w:val="null3"/>
                    <w:jc w:val="left"/>
                  </w:pPr>
                  <w:r>
                    <w:rPr>
                      <w:rFonts w:ascii="方正仿宋_gb2312" w:hAnsi="方正仿宋_gb2312" w:cs="方正仿宋_gb2312" w:eastAsia="方正仿宋_gb2312"/>
                      <w:sz w:val="24"/>
                      <w:color w:val="000000"/>
                    </w:rPr>
                    <w:t>5） 电子笔记本软件</w:t>
                  </w:r>
                </w:p>
                <w:p>
                  <w:pPr>
                    <w:pStyle w:val="null3"/>
                    <w:jc w:val="left"/>
                  </w:pPr>
                  <w:r>
                    <w:rPr>
                      <w:rFonts w:ascii="方正仿宋_gb2312" w:hAnsi="方正仿宋_gb2312" w:cs="方正仿宋_gb2312" w:eastAsia="方正仿宋_gb2312"/>
                      <w:sz w:val="24"/>
                      <w:color w:val="000000"/>
                    </w:rPr>
                    <w:t>提供以结果为导向的用户界面；</w:t>
                  </w:r>
                </w:p>
                <w:p>
                  <w:pPr>
                    <w:pStyle w:val="null3"/>
                    <w:jc w:val="left"/>
                  </w:pPr>
                  <w:r>
                    <w:rPr>
                      <w:rFonts w:ascii="方正仿宋_gb2312" w:hAnsi="方正仿宋_gb2312" w:cs="方正仿宋_gb2312" w:eastAsia="方正仿宋_gb2312"/>
                      <w:sz w:val="24"/>
                      <w:color w:val="000000"/>
                    </w:rPr>
                    <w:t>1） “上下文选项卡”可智能感知用户操作。</w:t>
                  </w:r>
                </w:p>
                <w:p>
                  <w:pPr>
                    <w:pStyle w:val="null3"/>
                    <w:jc w:val="left"/>
                  </w:pPr>
                  <w:r>
                    <w:rPr>
                      <w:rFonts w:ascii="方正仿宋_gb2312" w:hAnsi="方正仿宋_gb2312" w:cs="方正仿宋_gb2312" w:eastAsia="方正仿宋_gb2312"/>
                      <w:sz w:val="24"/>
                      <w:color w:val="000000"/>
                    </w:rPr>
                    <w:t>2）智能标记等可以出现在所有应用程序中。</w:t>
                  </w:r>
                </w:p>
                <w:p>
                  <w:pPr>
                    <w:pStyle w:val="null3"/>
                    <w:jc w:val="left"/>
                  </w:pPr>
                  <w:r>
                    <w:rPr>
                      <w:rFonts w:ascii="方正仿宋_gb2312" w:hAnsi="方正仿宋_gb2312" w:cs="方正仿宋_gb2312" w:eastAsia="方正仿宋_gb2312"/>
                      <w:sz w:val="24"/>
                      <w:color w:val="000000"/>
                    </w:rPr>
                    <w:t>3）须提供智能文档（SmartDoc）的操作。</w:t>
                  </w:r>
                </w:p>
                <w:p>
                  <w:pPr>
                    <w:pStyle w:val="null3"/>
                    <w:jc w:val="left"/>
                  </w:pPr>
                  <w:r>
                    <w:rPr>
                      <w:rFonts w:ascii="方正仿宋_gb2312" w:hAnsi="方正仿宋_gb2312" w:cs="方正仿宋_gb2312" w:eastAsia="方正仿宋_gb2312"/>
                      <w:sz w:val="24"/>
                      <w:color w:val="000000"/>
                    </w:rPr>
                    <w:t>4）须提供智能图形（SmartArt）的制作。</w:t>
                  </w:r>
                </w:p>
                <w:p>
                  <w:pPr>
                    <w:pStyle w:val="null3"/>
                    <w:jc w:val="left"/>
                  </w:pPr>
                  <w:r>
                    <w:rPr>
                      <w:rFonts w:ascii="方正仿宋_gb2312" w:hAnsi="方正仿宋_gb2312" w:cs="方正仿宋_gb2312" w:eastAsia="方正仿宋_gb2312"/>
                      <w:sz w:val="24"/>
                      <w:color w:val="000000"/>
                    </w:rPr>
                    <w:t>5） 应用程序组件之间可以相互沟通，最大限度地实现数据再利用。</w:t>
                  </w:r>
                </w:p>
                <w:p>
                  <w:pPr>
                    <w:pStyle w:val="null3"/>
                    <w:jc w:val="left"/>
                  </w:pPr>
                  <w:r>
                    <w:rPr>
                      <w:rFonts w:ascii="方正仿宋_gb2312" w:hAnsi="方正仿宋_gb2312" w:cs="方正仿宋_gb2312" w:eastAsia="方正仿宋_gb2312"/>
                      <w:sz w:val="24"/>
                      <w:color w:val="000000"/>
                    </w:rPr>
                    <w:t>须包含不少于</w:t>
                  </w:r>
                  <w:r>
                    <w:rPr>
                      <w:rFonts w:ascii="方正仿宋_gb2312" w:hAnsi="方正仿宋_gb2312" w:cs="方正仿宋_gb2312" w:eastAsia="方正仿宋_gb2312"/>
                      <w:sz w:val="24"/>
                      <w:color w:val="000000"/>
                    </w:rPr>
                    <w:t>12类不同应用领域的300多个函数。</w:t>
                  </w:r>
                </w:p>
                <w:p>
                  <w:pPr>
                    <w:pStyle w:val="null3"/>
                    <w:jc w:val="left"/>
                  </w:pPr>
                  <w:r>
                    <w:rPr>
                      <w:rFonts w:ascii="方正仿宋_gb2312" w:hAnsi="方正仿宋_gb2312" w:cs="方正仿宋_gb2312" w:eastAsia="方正仿宋_gb2312"/>
                      <w:sz w:val="24"/>
                      <w:color w:val="000000"/>
                    </w:rPr>
                    <w:t>须提供数据分析和处理能力，包括筛选数据、分类汇总、规划求解、最优化方案统计。</w:t>
                  </w:r>
                </w:p>
                <w:p>
                  <w:pPr>
                    <w:pStyle w:val="null3"/>
                    <w:jc w:val="left"/>
                  </w:pPr>
                  <w:r>
                    <w:rPr>
                      <w:rFonts w:ascii="方正仿宋_gb2312" w:hAnsi="方正仿宋_gb2312" w:cs="方正仿宋_gb2312" w:eastAsia="方正仿宋_gb2312"/>
                      <w:sz w:val="24"/>
                      <w:color w:val="000000"/>
                    </w:rPr>
                    <w:t>须提供专业化的数据分析工具库，如回归分析。</w:t>
                  </w:r>
                </w:p>
                <w:p>
                  <w:pPr>
                    <w:pStyle w:val="null3"/>
                    <w:jc w:val="left"/>
                  </w:pPr>
                  <w:r>
                    <w:rPr>
                      <w:rFonts w:ascii="方正仿宋_gb2312" w:hAnsi="方正仿宋_gb2312" w:cs="方正仿宋_gb2312" w:eastAsia="方正仿宋_gb2312"/>
                      <w:sz w:val="24"/>
                      <w:color w:val="000000"/>
                    </w:rPr>
                    <w:t>须提供数据透视分析功能和切片器功能。</w:t>
                  </w:r>
                </w:p>
                <w:p>
                  <w:pPr>
                    <w:pStyle w:val="null3"/>
                    <w:jc w:val="left"/>
                  </w:pPr>
                  <w:r>
                    <w:rPr>
                      <w:rFonts w:ascii="方正仿宋_gb2312" w:hAnsi="方正仿宋_gb2312" w:cs="方正仿宋_gb2312" w:eastAsia="方正仿宋_gb2312"/>
                      <w:sz w:val="24"/>
                      <w:color w:val="000000"/>
                    </w:rPr>
                    <w:t>须提供数据分析的迷你图设计。</w:t>
                  </w:r>
                </w:p>
                <w:p>
                  <w:pPr>
                    <w:pStyle w:val="null3"/>
                    <w:jc w:val="left"/>
                  </w:pPr>
                  <w:r>
                    <w:rPr>
                      <w:rFonts w:ascii="方正仿宋_gb2312" w:hAnsi="方正仿宋_gb2312" w:cs="方正仿宋_gb2312" w:eastAsia="方正仿宋_gb2312"/>
                      <w:sz w:val="24"/>
                      <w:color w:val="000000"/>
                    </w:rPr>
                    <w:t>提供增强的条件格式功能。</w:t>
                  </w:r>
                </w:p>
                <w:p>
                  <w:pPr>
                    <w:pStyle w:val="null3"/>
                    <w:jc w:val="left"/>
                  </w:pPr>
                  <w:r>
                    <w:rPr>
                      <w:rFonts w:ascii="方正仿宋_gb2312" w:hAnsi="方正仿宋_gb2312" w:cs="方正仿宋_gb2312" w:eastAsia="方正仿宋_gb2312"/>
                      <w:sz w:val="24"/>
                      <w:color w:val="000000"/>
                    </w:rPr>
                    <w:t>提供电子邮件组件。</w:t>
                  </w:r>
                </w:p>
                <w:p>
                  <w:pPr>
                    <w:pStyle w:val="null3"/>
                    <w:jc w:val="left"/>
                  </w:pPr>
                  <w:r>
                    <w:rPr>
                      <w:rFonts w:ascii="方正仿宋_gb2312" w:hAnsi="方正仿宋_gb2312" w:cs="方正仿宋_gb2312" w:eastAsia="方正仿宋_gb2312"/>
                      <w:sz w:val="24"/>
                      <w:color w:val="000000"/>
                    </w:rPr>
                    <w:t>提供面向工作成果的用户界面，可使用户从收集预定义样式、表格格式、列表格式、图形效果等内容的库中进行挑选。</w:t>
                  </w:r>
                </w:p>
                <w:p>
                  <w:pPr>
                    <w:pStyle w:val="null3"/>
                    <w:jc w:val="left"/>
                  </w:pPr>
                  <w:r>
                    <w:rPr>
                      <w:rFonts w:ascii="方正仿宋_gb2312" w:hAnsi="方正仿宋_gb2312" w:cs="方正仿宋_gb2312" w:eastAsia="方正仿宋_gb2312"/>
                      <w:sz w:val="24"/>
                      <w:color w:val="000000"/>
                    </w:rPr>
                    <w:t>能够将网上的模板嵌入各种应用程序中。</w:t>
                  </w:r>
                </w:p>
                <w:p>
                  <w:pPr>
                    <w:pStyle w:val="null3"/>
                    <w:jc w:val="left"/>
                  </w:pPr>
                  <w:r>
                    <w:rPr>
                      <w:rFonts w:ascii="方正仿宋_gb2312" w:hAnsi="方正仿宋_gb2312" w:cs="方正仿宋_gb2312" w:eastAsia="方正仿宋_gb2312"/>
                      <w:sz w:val="24"/>
                      <w:color w:val="000000"/>
                    </w:rPr>
                    <w:t>采用基于</w:t>
                  </w:r>
                  <w:r>
                    <w:rPr>
                      <w:rFonts w:ascii="方正仿宋_gb2312" w:hAnsi="方正仿宋_gb2312" w:cs="方正仿宋_gb2312" w:eastAsia="方正仿宋_gb2312"/>
                      <w:sz w:val="24"/>
                      <w:color w:val="000000"/>
                    </w:rPr>
                    <w:t>Open XML的文件格式。</w:t>
                  </w:r>
                </w:p>
                <w:p>
                  <w:pPr>
                    <w:pStyle w:val="null3"/>
                    <w:jc w:val="left"/>
                  </w:pPr>
                  <w:r>
                    <w:rPr>
                      <w:rFonts w:ascii="方正仿宋_gb2312" w:hAnsi="方正仿宋_gb2312" w:cs="方正仿宋_gb2312" w:eastAsia="方正仿宋_gb2312"/>
                      <w:sz w:val="24"/>
                      <w:color w:val="000000"/>
                    </w:rPr>
                    <w:t>提供文档检查器。</w:t>
                  </w:r>
                </w:p>
                <w:p>
                  <w:pPr>
                    <w:pStyle w:val="null3"/>
                    <w:jc w:val="left"/>
                  </w:pPr>
                  <w:r>
                    <w:rPr>
                      <w:rFonts w:ascii="方正仿宋_gb2312" w:hAnsi="方正仿宋_gb2312" w:cs="方正仿宋_gb2312" w:eastAsia="方正仿宋_gb2312"/>
                      <w:sz w:val="24"/>
                      <w:color w:val="000000"/>
                    </w:rPr>
                    <w:t>提供文字处理软件文档的分段保护功能。</w:t>
                  </w:r>
                </w:p>
                <w:p>
                  <w:pPr>
                    <w:pStyle w:val="null3"/>
                    <w:jc w:val="left"/>
                  </w:pPr>
                  <w:r>
                    <w:rPr>
                      <w:rFonts w:ascii="方正仿宋_gb2312" w:hAnsi="方正仿宋_gb2312" w:cs="方正仿宋_gb2312" w:eastAsia="方正仿宋_gb2312"/>
                      <w:sz w:val="24"/>
                      <w:color w:val="000000"/>
                    </w:rPr>
                    <w:t>提供更为严格的文档密保机制。</w:t>
                  </w:r>
                </w:p>
                <w:p>
                  <w:pPr>
                    <w:pStyle w:val="null3"/>
                    <w:jc w:val="left"/>
                  </w:pPr>
                  <w:r>
                    <w:rPr>
                      <w:rFonts w:ascii="方正仿宋_gb2312" w:hAnsi="方正仿宋_gb2312" w:cs="方正仿宋_gb2312" w:eastAsia="方正仿宋_gb2312"/>
                      <w:sz w:val="24"/>
                      <w:color w:val="000000"/>
                    </w:rPr>
                    <w:t>提供共同创作功能，允许团队中的多人在同一时刻，利用多个办公软件应用程序，对同一服务器文档的不同章节进行编辑，并可同步更新。</w:t>
                  </w:r>
                </w:p>
                <w:p>
                  <w:pPr>
                    <w:pStyle w:val="null3"/>
                    <w:jc w:val="left"/>
                  </w:pPr>
                  <w:r>
                    <w:rPr>
                      <w:rFonts w:ascii="方正仿宋_gb2312" w:hAnsi="方正仿宋_gb2312" w:cs="方正仿宋_gb2312" w:eastAsia="方正仿宋_gb2312"/>
                      <w:sz w:val="24"/>
                      <w:color w:val="000000"/>
                    </w:rPr>
                    <w:t>能够与前端内容创建应用集成，包括（团队协作、门户技术、内容管理、业务流程和表格、企业搜索、商业智能和与第三方应用的连接性支持）。</w:t>
                  </w:r>
                </w:p>
                <w:p>
                  <w:pPr>
                    <w:pStyle w:val="null3"/>
                    <w:jc w:val="left"/>
                  </w:pPr>
                  <w:r>
                    <w:rPr>
                      <w:rFonts w:ascii="方正仿宋_gb2312" w:hAnsi="方正仿宋_gb2312" w:cs="方正仿宋_gb2312" w:eastAsia="方正仿宋_gb2312"/>
                      <w:sz w:val="24"/>
                      <w:color w:val="000000"/>
                    </w:rPr>
                    <w:t>提供丰富的扩展和开发能力，</w:t>
                  </w:r>
                  <w:r>
                    <w:rPr>
                      <w:rFonts w:ascii="方正仿宋_gb2312" w:hAnsi="方正仿宋_gb2312" w:cs="方正仿宋_gb2312" w:eastAsia="方正仿宋_gb2312"/>
                      <w:sz w:val="24"/>
                      <w:color w:val="000000"/>
                    </w:rPr>
                    <w:t>IT人员和高级用户可以通过VBA技术、XML技术、VS.net开发定制。</w:t>
                  </w:r>
                </w:p>
                <w:p>
                  <w:pPr>
                    <w:pStyle w:val="null3"/>
                    <w:jc w:val="left"/>
                  </w:pPr>
                  <w:r>
                    <w:rPr>
                      <w:rFonts w:ascii="方正仿宋_gb2312" w:hAnsi="方正仿宋_gb2312" w:cs="方正仿宋_gb2312" w:eastAsia="方正仿宋_gb2312"/>
                      <w:sz w:val="24"/>
                      <w:color w:val="000000"/>
                    </w:rPr>
                    <w:t>提供跨越手机、电脑、浏览器的使用新体验：</w:t>
                  </w:r>
                </w:p>
                <w:p>
                  <w:pPr>
                    <w:pStyle w:val="null3"/>
                    <w:jc w:val="left"/>
                  </w:pPr>
                  <w:r>
                    <w:rPr>
                      <w:rFonts w:ascii="方正仿宋_gb2312" w:hAnsi="方正仿宋_gb2312" w:cs="方正仿宋_gb2312" w:eastAsia="方正仿宋_gb2312"/>
                      <w:sz w:val="24"/>
                      <w:color w:val="000000"/>
                    </w:rPr>
                    <w:t>1）在云、数据中心和混合环境中提供最佳办公体验。</w:t>
                  </w:r>
                </w:p>
                <w:p>
                  <w:pPr>
                    <w:pStyle w:val="null3"/>
                    <w:jc w:val="left"/>
                  </w:pPr>
                  <w:r>
                    <w:rPr>
                      <w:rFonts w:ascii="方正仿宋_gb2312" w:hAnsi="方正仿宋_gb2312" w:cs="方正仿宋_gb2312" w:eastAsia="方正仿宋_gb2312"/>
                      <w:sz w:val="24"/>
                      <w:color w:val="000000"/>
                    </w:rPr>
                    <w:t>2）包括统一沟通、企业协作、商业智能、企业项目管理在内的多种解决方案供选择。</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授权期限：一年</w:t>
                  </w:r>
                </w:p>
                <w:p>
                  <w:pPr>
                    <w:pStyle w:val="null3"/>
                    <w:jc w:val="left"/>
                  </w:pPr>
                  <w:r>
                    <w:rPr>
                      <w:rFonts w:ascii="方正仿宋_gb2312" w:hAnsi="方正仿宋_gb2312" w:cs="方正仿宋_gb2312" w:eastAsia="方正仿宋_gb2312"/>
                      <w:sz w:val="24"/>
                      <w:color w:val="000000"/>
                    </w:rPr>
                    <w:t>售后服务期限：一年；</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rPr>
                    <w:t>要求提供软件合法来源渠道证明文件（包括但不限于原厂授权及售后服务承诺函等）资料。</w:t>
                  </w:r>
                </w:p>
              </w:tc>
            </w:tr>
            <w:tr>
              <w:tc>
                <w:tcPr>
                  <w:tcW w:type="dxa" w:w="33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方正仿宋_gb2312" w:hAnsi="方正仿宋_gb2312" w:cs="方正仿宋_gb2312" w:eastAsia="方正仿宋_gb2312"/>
                      <w:sz w:val="24"/>
                    </w:rPr>
                    <w:t>国产办公软件及云服务</w:t>
                  </w: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基本要求：</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rPr>
                    <w:t>授权方式：办公软件客户端年场地授权，满足我校教职工、在校学生及固定资产设备合法使用。</w:t>
                  </w:r>
                  <w:r>
                    <w:rPr>
                      <w:rFonts w:ascii="方正仿宋_gb2312" w:hAnsi="方正仿宋_gb2312" w:cs="方正仿宋_gb2312" w:eastAsia="方正仿宋_gb2312"/>
                      <w:sz w:val="24"/>
                    </w:rPr>
                    <w:t>(提供证明文件)。</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流式软件功能要求：</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rPr>
                    <w:t>1.投标产品提供运行在Windows操作系统上运行的office办公软件产品，包含文字处理、表格计算、幻灯片演示三个组件。</w:t>
                  </w:r>
                </w:p>
                <w:p>
                  <w:pPr>
                    <w:pStyle w:val="null3"/>
                    <w:jc w:val="left"/>
                  </w:pPr>
                  <w:r>
                    <w:rPr>
                      <w:rFonts w:ascii="方正仿宋_gb2312" w:hAnsi="方正仿宋_gb2312" w:cs="方正仿宋_gb2312" w:eastAsia="方正仿宋_gb2312"/>
                      <w:sz w:val="24"/>
                    </w:rPr>
                    <w:t>2.投标产品支持窗口多组件/整合模式，支持进行单窗口多标签的拆分与组合，在多窗口模式下支持在系统任务栏显示多主窗口。</w:t>
                  </w:r>
                </w:p>
                <w:p>
                  <w:pPr>
                    <w:pStyle w:val="null3"/>
                    <w:jc w:val="left"/>
                  </w:pPr>
                  <w:r>
                    <w:rPr>
                      <w:rFonts w:ascii="方正仿宋_gb2312" w:hAnsi="方正仿宋_gb2312" w:cs="方正仿宋_gb2312" w:eastAsia="方正仿宋_gb2312"/>
                      <w:sz w:val="24"/>
                    </w:rPr>
                    <w:t>3.文件格式要求：所投办公软件能成.doc/docx/dot/wps/xls/xlxs/</w:t>
                  </w:r>
                </w:p>
                <w:p>
                  <w:pPr>
                    <w:pStyle w:val="null3"/>
                    <w:jc w:val="left"/>
                  </w:pPr>
                  <w:r>
                    <w:rPr>
                      <w:rFonts w:ascii="方正仿宋_gb2312" w:hAnsi="方正仿宋_gb2312" w:cs="方正仿宋_gb2312" w:eastAsia="方正仿宋_gb2312"/>
                      <w:sz w:val="24"/>
                    </w:rPr>
                    <w:t>xlt/et/ppt/pptx/pps/dps等文件格式。（需提供有效证明文件或者截图进行证明）</w:t>
                  </w:r>
                </w:p>
                <w:p>
                  <w:pPr>
                    <w:pStyle w:val="null3"/>
                    <w:jc w:val="left"/>
                  </w:pPr>
                  <w:r>
                    <w:rPr>
                      <w:rFonts w:ascii="方正仿宋_gb2312" w:hAnsi="方正仿宋_gb2312" w:cs="方正仿宋_gb2312" w:eastAsia="方正仿宋_gb2312"/>
                      <w:sz w:val="24"/>
                    </w:rPr>
                    <w:t>4.投标产品符合国家课证融通规划，软件入围国家计算机等级一、二级考试体系，同时入围教育部1+X职业技能认证考试体系。(提供证明文件)。</w:t>
                  </w:r>
                </w:p>
                <w:p>
                  <w:pPr>
                    <w:pStyle w:val="null3"/>
                    <w:jc w:val="left"/>
                  </w:pPr>
                  <w:r>
                    <w:rPr>
                      <w:rFonts w:ascii="方正仿宋_gb2312" w:hAnsi="方正仿宋_gb2312" w:cs="方正仿宋_gb2312" w:eastAsia="方正仿宋_gb2312"/>
                      <w:sz w:val="24"/>
                    </w:rPr>
                    <w:t>5.文字模块支持截图取字功能，对截图和已有图片进行内容识别。</w:t>
                  </w:r>
                </w:p>
                <w:p>
                  <w:pPr>
                    <w:pStyle w:val="null3"/>
                    <w:jc w:val="left"/>
                  </w:pPr>
                  <w:r>
                    <w:rPr>
                      <w:rFonts w:ascii="方正仿宋_gb2312" w:hAnsi="方正仿宋_gb2312" w:cs="方正仿宋_gb2312" w:eastAsia="方正仿宋_gb2312"/>
                      <w:sz w:val="24"/>
                    </w:rPr>
                    <w:t>6.文字模块导航窗格，支持目录导航、章节导航、书签导航功能。文字模块智能目录导航，自动识别文档结构，实时调整文档目录；标题格式不用调整样式，也可智能自动生成目录。</w:t>
                  </w:r>
                </w:p>
                <w:p>
                  <w:pPr>
                    <w:pStyle w:val="null3"/>
                    <w:jc w:val="left"/>
                  </w:pPr>
                  <w:r>
                    <w:rPr>
                      <w:rFonts w:ascii="方正仿宋_gb2312" w:hAnsi="方正仿宋_gb2312" w:cs="方正仿宋_gb2312" w:eastAsia="方正仿宋_gb2312"/>
                      <w:sz w:val="24"/>
                    </w:rPr>
                    <w:t>7.文字模块提供横竖页工具，可以不插入分隔符即可随意新建横版或竖版空白页。</w:t>
                  </w:r>
                </w:p>
                <w:p>
                  <w:pPr>
                    <w:pStyle w:val="null3"/>
                    <w:jc w:val="left"/>
                  </w:pPr>
                  <w:r>
                    <w:rPr>
                      <w:rFonts w:ascii="方正仿宋_gb2312" w:hAnsi="方正仿宋_gb2312" w:cs="方正仿宋_gb2312" w:eastAsia="方正仿宋_gb2312"/>
                      <w:sz w:val="24"/>
                    </w:rPr>
                    <w:t>8.文字模块支持“翻译”功能，能支持7种语言（中文，英语，韩语，日语，法语，德语，西班牙语）互相翻译转换，同时支持“划词翻译”功能。（需提供有效证明文件或者截图进行证明）</w:t>
                  </w:r>
                </w:p>
                <w:p>
                  <w:pPr>
                    <w:pStyle w:val="null3"/>
                    <w:jc w:val="left"/>
                  </w:pPr>
                  <w:r>
                    <w:rPr>
                      <w:rFonts w:ascii="方正仿宋_gb2312" w:hAnsi="方正仿宋_gb2312" w:cs="方正仿宋_gb2312" w:eastAsia="方正仿宋_gb2312"/>
                      <w:sz w:val="24"/>
                    </w:rPr>
                    <w:t>9.表格模块支持在表格中一键插入求和、计数、平均值等常用公式。支持多列数据合并操作。支持单元格数据的循环引用。</w:t>
                  </w:r>
                </w:p>
                <w:p>
                  <w:pPr>
                    <w:pStyle w:val="null3"/>
                    <w:jc w:val="left"/>
                  </w:pPr>
                  <w:r>
                    <w:rPr>
                      <w:rFonts w:ascii="方正仿宋_gb2312" w:hAnsi="方正仿宋_gb2312" w:cs="方正仿宋_gb2312" w:eastAsia="方正仿宋_gb2312"/>
                      <w:sz w:val="24"/>
                    </w:rPr>
                    <w:t>10.表格模块支持右键插入行数的手动输入，便于一次性插入多行。</w:t>
                  </w:r>
                </w:p>
                <w:p>
                  <w:pPr>
                    <w:pStyle w:val="null3"/>
                    <w:jc w:val="left"/>
                  </w:pPr>
                  <w:r>
                    <w:rPr>
                      <w:rFonts w:ascii="方正仿宋_gb2312" w:hAnsi="方正仿宋_gb2312" w:cs="方正仿宋_gb2312" w:eastAsia="方正仿宋_gb2312"/>
                      <w:sz w:val="24"/>
                    </w:rPr>
                    <w:t>11.表格模块支持筛选计数功能，让用户可以直观地了解当前内容所在列中出现的次数，并支持对计数结果进行导出，提高用户数据分析的便捷性。</w:t>
                  </w:r>
                </w:p>
                <w:p>
                  <w:pPr>
                    <w:pStyle w:val="null3"/>
                    <w:jc w:val="left"/>
                  </w:pPr>
                  <w:r>
                    <w:rPr>
                      <w:rFonts w:ascii="方正仿宋_gb2312" w:hAnsi="方正仿宋_gb2312" w:cs="方正仿宋_gb2312" w:eastAsia="方正仿宋_gb2312"/>
                      <w:sz w:val="24"/>
                    </w:rPr>
                    <w:t>12.表格模块支持表格的快速合并选择，支持教师用户一键选择合并居中、合并单元格、合并相同单元格、合并内容、取消合并单元格、拆分并填充内容。</w:t>
                  </w:r>
                </w:p>
                <w:p>
                  <w:pPr>
                    <w:pStyle w:val="null3"/>
                    <w:jc w:val="left"/>
                  </w:pPr>
                  <w:r>
                    <w:rPr>
                      <w:rFonts w:ascii="方正仿宋_gb2312" w:hAnsi="方正仿宋_gb2312" w:cs="方正仿宋_gb2312" w:eastAsia="方正仿宋_gb2312"/>
                      <w:sz w:val="24"/>
                    </w:rPr>
                    <w:t>13.表格模块在文本输入时，须能提供推荐列表，在教师输入内容即便不是首个字，也可以提供下拉推荐列表，帮助提高录入的速度和准确性。</w:t>
                  </w:r>
                </w:p>
                <w:p>
                  <w:pPr>
                    <w:pStyle w:val="null3"/>
                    <w:jc w:val="left"/>
                  </w:pPr>
                  <w:r>
                    <w:rPr>
                      <w:rFonts w:ascii="方正仿宋_gb2312" w:hAnsi="方正仿宋_gb2312" w:cs="方正仿宋_gb2312" w:eastAsia="方正仿宋_gb2312"/>
                      <w:sz w:val="24"/>
                    </w:rPr>
                    <w:t>14.演示模块支持智能图形（SmartArt），至少满足多种图示类型，如层次结构、列表、循环、流程等图形类型。</w:t>
                  </w:r>
                </w:p>
                <w:p>
                  <w:pPr>
                    <w:pStyle w:val="null3"/>
                    <w:jc w:val="left"/>
                  </w:pPr>
                  <w:r>
                    <w:rPr>
                      <w:rFonts w:ascii="方正仿宋_gb2312" w:hAnsi="方正仿宋_gb2312" w:cs="方正仿宋_gb2312" w:eastAsia="方正仿宋_gb2312"/>
                      <w:sz w:val="24"/>
                    </w:rPr>
                    <w:t>15.演示支持幻灯片文件及相关媒体文件直接打包成文件夹。将幻灯片背景另存为图片。</w:t>
                  </w:r>
                </w:p>
                <w:p>
                  <w:pPr>
                    <w:pStyle w:val="null3"/>
                    <w:jc w:val="left"/>
                  </w:pPr>
                  <w:r>
                    <w:rPr>
                      <w:rFonts w:ascii="方正仿宋_gb2312" w:hAnsi="方正仿宋_gb2312" w:cs="方正仿宋_gb2312" w:eastAsia="方正仿宋_gb2312"/>
                      <w:sz w:val="24"/>
                    </w:rPr>
                    <w:t>16.演示模块支持将文档保存为视频格式和放映中录制视频。</w:t>
                  </w:r>
                </w:p>
                <w:p>
                  <w:pPr>
                    <w:pStyle w:val="null3"/>
                    <w:jc w:val="left"/>
                  </w:pPr>
                  <w:r>
                    <w:rPr>
                      <w:rFonts w:ascii="方正仿宋_gb2312" w:hAnsi="方正仿宋_gb2312" w:cs="方正仿宋_gb2312" w:eastAsia="方正仿宋_gb2312"/>
                      <w:sz w:val="24"/>
                    </w:rPr>
                    <w:t>17.演示模块，可支持手机移动OFFICE客户端进行控制PC端OFFICE放映的演示文档，实现把手机变成遥控器，便于演讲人能随时切换演示文档。（需提供有效证明文件或者截图进行证明）</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基本要求：</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1.授权方式：办公软件客户端年场地授权，满足我校教职工、在校学生及固定资产设备合法使用。(提供证明文件)。</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版式软件功能要求：</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1.在Windows系统下，支持PDF、OFD、CAJ格式文档打开、保存、全屏展示等功能。可同时打开多个 PDF、ODF、CAJ文档，支持在功能区上创建新的选项卡或重新调整现有的选项卡，并进行多文档选择切换。（需提供有效证明文件或者截图进行证明）</w:t>
                  </w:r>
                </w:p>
                <w:p>
                  <w:pPr>
                    <w:pStyle w:val="null3"/>
                    <w:jc w:val="left"/>
                  </w:pPr>
                  <w:r>
                    <w:rPr>
                      <w:rFonts w:ascii="方正仿宋_gb2312" w:hAnsi="方正仿宋_gb2312" w:cs="方正仿宋_gb2312" w:eastAsia="方正仿宋_gb2312"/>
                      <w:sz w:val="24"/>
                      <w:color w:val="000000"/>
                    </w:rPr>
                    <w:t>2.支持对常用文件夹/文件进行管理，支持新增、移除常用文件夹/文件，支持文件类型筛选、按文件名称、文件大小或修改时间进行排序，支持新建文件夹和删除文件。</w:t>
                  </w:r>
                </w:p>
                <w:p>
                  <w:pPr>
                    <w:pStyle w:val="null3"/>
                    <w:jc w:val="left"/>
                  </w:pPr>
                  <w:r>
                    <w:rPr>
                      <w:rFonts w:ascii="方正仿宋_gb2312" w:hAnsi="方正仿宋_gb2312" w:cs="方正仿宋_gb2312" w:eastAsia="方正仿宋_gb2312"/>
                      <w:sz w:val="24"/>
                      <w:color w:val="000000"/>
                    </w:rPr>
                    <w:t>3.支持mobi、epub等电子书格式在线预览、调整阅读背景、调整显示字体等功能。</w:t>
                  </w:r>
                </w:p>
                <w:p>
                  <w:pPr>
                    <w:pStyle w:val="null3"/>
                    <w:jc w:val="left"/>
                  </w:pPr>
                  <w:r>
                    <w:rPr>
                      <w:rFonts w:ascii="方正仿宋_gb2312" w:hAnsi="方正仿宋_gb2312" w:cs="方正仿宋_gb2312" w:eastAsia="方正仿宋_gb2312"/>
                      <w:sz w:val="24"/>
                      <w:color w:val="000000"/>
                    </w:rPr>
                    <w:t>4.导航窗格，支持目录导航、书签导航、缩略图导航等功能。</w:t>
                  </w:r>
                </w:p>
                <w:p>
                  <w:pPr>
                    <w:pStyle w:val="null3"/>
                    <w:jc w:val="left"/>
                  </w:pPr>
                  <w:r>
                    <w:rPr>
                      <w:rFonts w:ascii="方正仿宋_gb2312" w:hAnsi="方正仿宋_gb2312" w:cs="方正仿宋_gb2312" w:eastAsia="方正仿宋_gb2312"/>
                      <w:sz w:val="24"/>
                      <w:color w:val="000000"/>
                    </w:rPr>
                    <w:t>5.支持文字编辑，包含字体、字号、颜色编辑；支持段落编辑，编辑时文本将自动重排；支持图形和图像编辑，对对象进行移动、缩放、旋转、翻转、透明度、替换、删除，调整图层排序。</w:t>
                  </w:r>
                </w:p>
                <w:p>
                  <w:pPr>
                    <w:pStyle w:val="null3"/>
                    <w:jc w:val="left"/>
                  </w:pPr>
                  <w:r>
                    <w:rPr>
                      <w:rFonts w:ascii="方正仿宋_gb2312" w:hAnsi="方正仿宋_gb2312" w:cs="方正仿宋_gb2312" w:eastAsia="方正仿宋_gb2312"/>
                      <w:sz w:val="24"/>
                      <w:color w:val="000000"/>
                    </w:rPr>
                    <w:t>6.支持通过多种方式批注工具进行注释，包括但不限于文字注释，高亮标注，下划线，删除线，插入/替换符，区域高亮，形状/图形，随意画进行标注。支持将注释通过超级注解模式（即注释内容和注解一一对应）进行阅读查看。</w:t>
                  </w:r>
                </w:p>
                <w:p>
                  <w:pPr>
                    <w:pStyle w:val="null3"/>
                    <w:jc w:val="left"/>
                  </w:pPr>
                  <w:r>
                    <w:rPr>
                      <w:rFonts w:ascii="方正仿宋_gb2312" w:hAnsi="方正仿宋_gb2312" w:cs="方正仿宋_gb2312" w:eastAsia="方正仿宋_gb2312"/>
                      <w:sz w:val="24"/>
                      <w:color w:val="000000"/>
                    </w:rPr>
                    <w:t>7.支持多种文档间的转换，包含但不限于：CAJ格式文档一键转PDF；PDF转OFD、OFD转PDF、PDF转Word（OCR增强转换），PDF转Excel，PDF转PPT，PDF转TXT，图片转PDF，PDF转图片。</w:t>
                  </w:r>
                </w:p>
                <w:p>
                  <w:pPr>
                    <w:pStyle w:val="null3"/>
                    <w:jc w:val="left"/>
                  </w:pPr>
                  <w:r>
                    <w:rPr>
                      <w:rFonts w:ascii="方正仿宋_gb2312" w:hAnsi="方正仿宋_gb2312" w:cs="方正仿宋_gb2312" w:eastAsia="方正仿宋_gb2312"/>
                      <w:sz w:val="24"/>
                      <w:color w:val="000000"/>
                    </w:rPr>
                    <w:t>8.支持对PDF文档页面进行合并，拆分，替换页面，提取页面等操作；支持通过多种方式（空白页、文件、图片、扫描仪、剪切板）插入页面到现有PDF文档中。</w:t>
                  </w:r>
                </w:p>
                <w:p>
                  <w:pPr>
                    <w:pStyle w:val="null3"/>
                    <w:jc w:val="left"/>
                  </w:pPr>
                  <w:r>
                    <w:rPr>
                      <w:rFonts w:ascii="方正仿宋_gb2312" w:hAnsi="方正仿宋_gb2312" w:cs="方正仿宋_gb2312" w:eastAsia="方正仿宋_gb2312"/>
                      <w:sz w:val="24"/>
                      <w:color w:val="000000"/>
                    </w:rPr>
                    <w:t>9.支持对文档阅读、文档编辑、文档打印、文档复制、文档注释、插入和删除等内容进行控制，加密后的文档无法执行相应操作。</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云服务功能：</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方正仿宋_gb2312" w:hAnsi="方正仿宋_gb2312" w:cs="方正仿宋_gb2312" w:eastAsia="方正仿宋_gb2312"/>
                      <w:sz w:val="24"/>
                    </w:rPr>
                    <w:t>1.提供初始不少于500个校园云账号用户订阅许可，上限为全体师生人数。每账号不小于50G的云文档空间存储容量，还可以根据账号使用情况进行空间分配。（需提供有效证明文件或者截图进行证明）</w:t>
                  </w:r>
                </w:p>
                <w:p>
                  <w:pPr>
                    <w:pStyle w:val="null3"/>
                    <w:jc w:val="both"/>
                  </w:pPr>
                  <w:r>
                    <w:rPr>
                      <w:rFonts w:ascii="方正仿宋_gb2312" w:hAnsi="方正仿宋_gb2312" w:cs="方正仿宋_gb2312" w:eastAsia="方正仿宋_gb2312"/>
                      <w:sz w:val="24"/>
                    </w:rPr>
                    <w:t>2.支持实时通讯能力，支持一对一单聊会话和创建群聊会话；会话支持设置消息免打扰、聊天列表置顶等功能。（需提供有效证明文件或者截图进行证明）</w:t>
                  </w:r>
                </w:p>
                <w:p>
                  <w:pPr>
                    <w:pStyle w:val="null3"/>
                    <w:jc w:val="both"/>
                  </w:pPr>
                  <w:r>
                    <w:rPr>
                      <w:rFonts w:ascii="方正仿宋_gb2312" w:hAnsi="方正仿宋_gb2312" w:cs="方正仿宋_gb2312" w:eastAsia="方正仿宋_gb2312"/>
                      <w:sz w:val="24"/>
                    </w:rPr>
                    <w:t>3.提供可以共享协作的日历服务，可以将日历分享给其他人，其他人可以根据分享者配置的编辑、查看、仅查看忙闲权限，对于分享者的日历进行管理和查看。日程可以分享到聊天，选择参与人。</w:t>
                  </w:r>
                </w:p>
                <w:p>
                  <w:pPr>
                    <w:pStyle w:val="null3"/>
                    <w:jc w:val="both"/>
                  </w:pPr>
                  <w:r>
                    <w:rPr>
                      <w:rFonts w:ascii="方正仿宋_gb2312" w:hAnsi="方正仿宋_gb2312" w:cs="方正仿宋_gb2312" w:eastAsia="方正仿宋_gb2312"/>
                      <w:sz w:val="24"/>
                    </w:rPr>
                    <w:t>4.支持会议功能，可基于文档发起会议功能，并邀请其他成员参与；支持单独创建会议，通过会议ID或者链接可进行在线会议，可提供云文档共享、屏幕共享多种内容共享方式。（需提供有效证明文件或者截图进行证明）</w:t>
                  </w:r>
                </w:p>
                <w:p>
                  <w:pPr>
                    <w:pStyle w:val="null3"/>
                    <w:jc w:val="both"/>
                  </w:pPr>
                  <w:r>
                    <w:rPr>
                      <w:rFonts w:ascii="方正仿宋_gb2312" w:hAnsi="方正仿宋_gb2312" w:cs="方正仿宋_gb2312" w:eastAsia="方正仿宋_gb2312"/>
                      <w:sz w:val="24"/>
                    </w:rPr>
                    <w:t>5.支持表单功能，可创建基础表单、考试、打卡、接龙等多种常用信息采集表，提供多种常用模板，并且支持链接、二维码、海报、微信、QQ等方式进行邀请填写，后台自动生成Excel表格和填报情况汇总。（需提供有效证明文件或者截图进行证明）</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授权期限：一年</w:t>
                  </w:r>
                </w:p>
                <w:p>
                  <w:pPr>
                    <w:pStyle w:val="null3"/>
                    <w:jc w:val="left"/>
                  </w:pPr>
                  <w:r>
                    <w:rPr>
                      <w:rFonts w:ascii="方正仿宋_gb2312" w:hAnsi="方正仿宋_gb2312" w:cs="方正仿宋_gb2312" w:eastAsia="方正仿宋_gb2312"/>
                      <w:sz w:val="24"/>
                      <w:color w:val="000000"/>
                    </w:rPr>
                    <w:t>售后服务期限：一年；</w:t>
                  </w:r>
                </w:p>
              </w:tc>
            </w:tr>
            <w:tr>
              <w:tc>
                <w:tcPr>
                  <w:tcW w:type="dxa" w:w="332"/>
                  <w:vMerge/>
                  <w:tcBorders>
                    <w:top w:val="none" w:color="000000" w:sz="4"/>
                    <w:left w:val="single" w:color="000000" w:sz="4"/>
                    <w:bottom w:val="singl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rPr>
                    <w:t>要求提供软件合法来源渠道证明文件（包括但不限于原厂授权及售后服务承诺函等）资料。</w:t>
                  </w:r>
                </w:p>
              </w:tc>
            </w:tr>
            <w:tr>
              <w:tc>
                <w:tcPr>
                  <w:tcW w:type="dxa" w:w="332"/>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方正仿宋_gb2312" w:hAnsi="方正仿宋_gb2312" w:cs="方正仿宋_gb2312" w:eastAsia="方正仿宋_gb2312"/>
                      <w:sz w:val="24"/>
                    </w:rPr>
                    <w:t>正版软件管理平台及售后运维服务</w:t>
                  </w: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基本要求</w:t>
                  </w:r>
                </w:p>
                <w:p>
                  <w:pPr>
                    <w:pStyle w:val="null3"/>
                    <w:jc w:val="left"/>
                  </w:pPr>
                  <w:r>
                    <w:rPr>
                      <w:rFonts w:ascii="方正仿宋_gb2312" w:hAnsi="方正仿宋_gb2312" w:cs="方正仿宋_gb2312" w:eastAsia="方正仿宋_gb2312"/>
                      <w:sz w:val="24"/>
                      <w:color w:val="000000"/>
                    </w:rPr>
                    <w:t>1.正版授权管理平台要求满足学校师生及固定资产产品合法使用。</w:t>
                  </w:r>
                </w:p>
                <w:p>
                  <w:pPr>
                    <w:pStyle w:val="null3"/>
                    <w:jc w:val="left"/>
                  </w:pPr>
                  <w:r>
                    <w:rPr>
                      <w:rFonts w:ascii="方正仿宋_gb2312" w:hAnsi="方正仿宋_gb2312" w:cs="方正仿宋_gb2312" w:eastAsia="方正仿宋_gb2312"/>
                      <w:sz w:val="24"/>
                      <w:color w:val="000000"/>
                    </w:rPr>
                    <w:t>2.授权期限：一年；</w:t>
                  </w:r>
                </w:p>
                <w:p>
                  <w:pPr>
                    <w:pStyle w:val="null3"/>
                    <w:jc w:val="left"/>
                  </w:pPr>
                  <w:r>
                    <w:rPr>
                      <w:rFonts w:ascii="方正仿宋_gb2312" w:hAnsi="方正仿宋_gb2312" w:cs="方正仿宋_gb2312" w:eastAsia="方正仿宋_gb2312"/>
                      <w:sz w:val="24"/>
                      <w:color w:val="000000"/>
                    </w:rPr>
                    <w:t>3.授权有效期内，软件如有升级版本，授权对升级版本同样有效；</w:t>
                  </w:r>
                </w:p>
              </w:tc>
            </w:tr>
            <w:tr>
              <w:tc>
                <w:tcPr>
                  <w:tcW w:type="dxa" w:w="332"/>
                  <w:vMerge/>
                  <w:tcBorders>
                    <w:top w:val="none" w:color="000000" w:sz="4"/>
                    <w:left w:val="single" w:color="000000" w:sz="4"/>
                    <w:bottom w:val="non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功能要求：</w:t>
                  </w:r>
                </w:p>
                <w:p>
                  <w:pPr>
                    <w:pStyle w:val="null3"/>
                    <w:jc w:val="left"/>
                  </w:pPr>
                  <w:r>
                    <w:rPr>
                      <w:rFonts w:ascii="方正仿宋_gb2312" w:hAnsi="方正仿宋_gb2312" w:cs="方正仿宋_gb2312" w:eastAsia="方正仿宋_gb2312"/>
                      <w:sz w:val="24"/>
                      <w:color w:val="000000"/>
                    </w:rPr>
                    <w:t>1.正版软件管理平台需部署在学校，且支持私有云平台部署。</w:t>
                  </w:r>
                </w:p>
                <w:p>
                  <w:pPr>
                    <w:pStyle w:val="null3"/>
                    <w:jc w:val="left"/>
                  </w:pPr>
                  <w:r>
                    <w:rPr>
                      <w:rFonts w:ascii="方正仿宋_gb2312" w:hAnsi="方正仿宋_gb2312" w:cs="方正仿宋_gb2312" w:eastAsia="方正仿宋_gb2312"/>
                      <w:sz w:val="24"/>
                      <w:color w:val="000000"/>
                    </w:rPr>
                    <w:t>2.平台须同时支持IPV4和IPV6。</w:t>
                  </w:r>
                </w:p>
                <w:p>
                  <w:pPr>
                    <w:pStyle w:val="null3"/>
                    <w:jc w:val="left"/>
                  </w:pPr>
                  <w:r>
                    <w:rPr>
                      <w:rFonts w:ascii="方正仿宋_gb2312" w:hAnsi="方正仿宋_gb2312" w:cs="方正仿宋_gb2312" w:eastAsia="方正仿宋_gb2312"/>
                      <w:sz w:val="24"/>
                      <w:color w:val="000000"/>
                    </w:rPr>
                    <w:t>3.正版软件管理平台应是基于 B/S 技术架构，为降低维护成本和系统代码层的安全，编程语言应当使用 C++、QT、PHP、NodeJs等主流编程语言。</w:t>
                  </w:r>
                </w:p>
                <w:p>
                  <w:pPr>
                    <w:pStyle w:val="null3"/>
                    <w:jc w:val="left"/>
                  </w:pPr>
                  <w:r>
                    <w:rPr>
                      <w:rFonts w:ascii="方正仿宋_gb2312" w:hAnsi="方正仿宋_gb2312" w:cs="方正仿宋_gb2312" w:eastAsia="方正仿宋_gb2312"/>
                      <w:sz w:val="24"/>
                      <w:color w:val="000000"/>
                    </w:rPr>
                    <w:t>4.正版软件管理平台需采用统一的标准接口开发，需完成与本校的统一身份认证系统进行对接，对接方式包括（但不限于）单点登录，支持中间表方式对用户信息进行对接。</w:t>
                  </w:r>
                </w:p>
                <w:p>
                  <w:pPr>
                    <w:pStyle w:val="null3"/>
                    <w:jc w:val="left"/>
                  </w:pPr>
                  <w:r>
                    <w:rPr>
                      <w:rFonts w:ascii="方正仿宋_gb2312" w:hAnsi="方正仿宋_gb2312" w:cs="方正仿宋_gb2312" w:eastAsia="方正仿宋_gb2312"/>
                      <w:sz w:val="24"/>
                      <w:color w:val="000000"/>
                    </w:rPr>
                    <w:t>5.正版软件管理平台需自带独立的用户管理系统。能支持在软件资源管理与服务平台内对用户信息进行编辑。</w:t>
                  </w:r>
                </w:p>
                <w:p>
                  <w:pPr>
                    <w:pStyle w:val="null3"/>
                    <w:jc w:val="left"/>
                  </w:pPr>
                  <w:r>
                    <w:rPr>
                      <w:rFonts w:ascii="方正仿宋_gb2312" w:hAnsi="方正仿宋_gb2312" w:cs="方正仿宋_gb2312" w:eastAsia="方正仿宋_gb2312"/>
                      <w:sz w:val="24"/>
                      <w:color w:val="000000"/>
                    </w:rPr>
                    <w:t>6.权限管理：具有统一的权限管理中心，支持权限的分级授权管理。具有完备的权限控制体系，包括组织授权、用户授权、角色授权、岗位授权、功能授权、操作权限、字段权限以及多维度的数据授权。</w:t>
                  </w:r>
                </w:p>
                <w:p>
                  <w:pPr>
                    <w:pStyle w:val="null3"/>
                    <w:jc w:val="left"/>
                  </w:pPr>
                  <w:r>
                    <w:rPr>
                      <w:rFonts w:ascii="方正仿宋_gb2312" w:hAnsi="方正仿宋_gb2312" w:cs="方正仿宋_gb2312" w:eastAsia="方正仿宋_gb2312"/>
                      <w:sz w:val="24"/>
                      <w:color w:val="000000"/>
                    </w:rPr>
                    <w:t>7.激活方式，用户安装操作系统和软件后，客户端免安装，应自动连接至激活服务器进行激活，激活过程用户无须输入密钥，保障密钥安全；在用户使用统一身份认证系统账号密码登录以后，直接通过点击即可完成整个激活操作。且一旦发生激活问题，激活客户端应当给出简单快捷的解决方案。</w:t>
                  </w:r>
                </w:p>
                <w:p>
                  <w:pPr>
                    <w:pStyle w:val="null3"/>
                    <w:jc w:val="left"/>
                  </w:pPr>
                  <w:r>
                    <w:rPr>
                      <w:rFonts w:ascii="方正仿宋_gb2312" w:hAnsi="方正仿宋_gb2312" w:cs="方正仿宋_gb2312" w:eastAsia="方正仿宋_gb2312"/>
                      <w:sz w:val="24"/>
                      <w:color w:val="000000"/>
                    </w:rPr>
                    <w:t>8.使用技巧：在本地资源发布使用说明，内容包括平台或要求的使用技巧，形式包括视频或文件。须提供不少于 200 个相应的视频资料，并且存放于采购人存储服务器中。</w:t>
                  </w:r>
                </w:p>
                <w:p>
                  <w:pPr>
                    <w:pStyle w:val="null3"/>
                    <w:jc w:val="left"/>
                  </w:pPr>
                  <w:r>
                    <w:rPr>
                      <w:rFonts w:ascii="方正仿宋_gb2312" w:hAnsi="方正仿宋_gb2312" w:cs="方正仿宋_gb2312" w:eastAsia="方正仿宋_gb2312"/>
                      <w:sz w:val="24"/>
                      <w:color w:val="000000"/>
                    </w:rPr>
                    <w:t>9.支持移动端问题处理：面向用户提供移动端微信自助问题搜索，能快速查找并解决问题。</w:t>
                  </w:r>
                </w:p>
                <w:p>
                  <w:pPr>
                    <w:pStyle w:val="null3"/>
                    <w:jc w:val="left"/>
                  </w:pPr>
                  <w:r>
                    <w:rPr>
                      <w:rFonts w:ascii="方正仿宋_gb2312" w:hAnsi="方正仿宋_gb2312" w:cs="方正仿宋_gb2312" w:eastAsia="方正仿宋_gb2312"/>
                      <w:sz w:val="24"/>
                      <w:color w:val="000000"/>
                    </w:rPr>
                    <w:t>10.正版软件管理平台应当支持实验室、机房等大批量的计算机激活，激活过程中，机房的客户机需要能在无人干预的情况下自动完成激活操作。</w:t>
                  </w:r>
                </w:p>
                <w:p>
                  <w:pPr>
                    <w:pStyle w:val="null3"/>
                    <w:jc w:val="left"/>
                  </w:pPr>
                  <w:r>
                    <w:rPr>
                      <w:rFonts w:ascii="方正仿宋_gb2312" w:hAnsi="方正仿宋_gb2312" w:cs="方正仿宋_gb2312" w:eastAsia="方正仿宋_gb2312"/>
                      <w:sz w:val="24"/>
                      <w:color w:val="000000"/>
                    </w:rPr>
                    <w:t>11.整个激活过程，应当保证不泄露（包括密钥在内）任何的涉密信息。 激活客户端应当保证无法被反编译。</w:t>
                  </w:r>
                </w:p>
                <w:p>
                  <w:pPr>
                    <w:pStyle w:val="null3"/>
                    <w:jc w:val="left"/>
                  </w:pPr>
                  <w:r>
                    <w:rPr>
                      <w:rFonts w:ascii="方正仿宋_gb2312" w:hAnsi="方正仿宋_gb2312" w:cs="方正仿宋_gb2312" w:eastAsia="方正仿宋_gb2312"/>
                      <w:sz w:val="24"/>
                      <w:color w:val="000000"/>
                    </w:rPr>
                    <w:t>12.激活客户端：定制激活客户端，须免安装、用户自助激活，激活过程用户无须输入密钥，保障密钥安全；</w:t>
                  </w:r>
                </w:p>
                <w:p>
                  <w:pPr>
                    <w:pStyle w:val="null3"/>
                    <w:jc w:val="left"/>
                  </w:pPr>
                  <w:r>
                    <w:rPr>
                      <w:rFonts w:ascii="方正仿宋_gb2312" w:hAnsi="方正仿宋_gb2312" w:cs="方正仿宋_gb2312" w:eastAsia="方正仿宋_gb2312"/>
                      <w:sz w:val="24"/>
                      <w:color w:val="000000"/>
                    </w:rPr>
                    <w:t>13.补丁更新：要求平台集成补丁服务器功能，提供软件补丁的分析检测</w:t>
                  </w:r>
                  <w:r>
                    <w:rPr>
                      <w:rFonts w:ascii="方正仿宋_gb2312" w:hAnsi="方正仿宋_gb2312" w:cs="方正仿宋_gb2312" w:eastAsia="方正仿宋_gb2312"/>
                      <w:sz w:val="24"/>
                    </w:rPr>
                    <w:t>和下载安装；实现平台与补丁更新服务器数据的实时同步；</w:t>
                  </w:r>
                </w:p>
                <w:p>
                  <w:pPr>
                    <w:pStyle w:val="null3"/>
                    <w:jc w:val="left"/>
                  </w:pPr>
                  <w:r>
                    <w:rPr>
                      <w:rFonts w:ascii="方正仿宋_gb2312" w:hAnsi="方正仿宋_gb2312" w:cs="方正仿宋_gb2312" w:eastAsia="方正仿宋_gb2312"/>
                      <w:sz w:val="24"/>
                    </w:rPr>
                    <w:t>14. 正版软件管理平台提供商一年应当提供不少于 4 次的更新服务，服务内容应当包括：软件、文档、视频资料更新；正版软件管理平台定制开发；身份认证地接；正版软件管理平台系统优化；</w:t>
                  </w:r>
                </w:p>
                <w:p>
                  <w:pPr>
                    <w:pStyle w:val="null3"/>
                    <w:jc w:val="left"/>
                  </w:pPr>
                  <w:r>
                    <w:rPr>
                      <w:rFonts w:ascii="方正仿宋_gb2312" w:hAnsi="方正仿宋_gb2312" w:cs="方正仿宋_gb2312" w:eastAsia="方正仿宋_gb2312"/>
                      <w:sz w:val="24"/>
                      <w:color w:val="000000"/>
                    </w:rPr>
                    <w:t>15．监控管理功能：监控平台服务器、激活服务器、补丁服务器等运行状况，实时了解服务器健康状态，监控内容不限于 CPU、内存使用率、硬盘使用空间检测、服务器补丁安装提醒、服务器攻击智能提醒等，所有监控数据都在平台中可查。</w:t>
                  </w:r>
                </w:p>
                <w:p>
                  <w:pPr>
                    <w:pStyle w:val="null3"/>
                    <w:jc w:val="left"/>
                  </w:pPr>
                  <w:r>
                    <w:rPr>
                      <w:rFonts w:ascii="方正仿宋_gb2312" w:hAnsi="方正仿宋_gb2312" w:cs="方正仿宋_gb2312" w:eastAsia="方正仿宋_gb2312"/>
                      <w:sz w:val="24"/>
                      <w:color w:val="000000"/>
                    </w:rPr>
                    <w:t>16．平台具有统计计算机信息的功能，包括但不限于 MAC 地址、版本号、安装时间、所属人等；</w:t>
                  </w:r>
                </w:p>
                <w:p>
                  <w:pPr>
                    <w:pStyle w:val="null3"/>
                    <w:jc w:val="left"/>
                  </w:pPr>
                  <w:r>
                    <w:rPr>
                      <w:rFonts w:ascii="方正仿宋_gb2312" w:hAnsi="方正仿宋_gb2312" w:cs="方正仿宋_gb2312" w:eastAsia="方正仿宋_gb2312"/>
                      <w:sz w:val="24"/>
                      <w:color w:val="000000"/>
                    </w:rPr>
                    <w:t>17.正版软件管理平台的系统网站（包括管理后台），兼容不同的浏览器，可根据本校的需求进行一定的定制。</w:t>
                  </w:r>
                </w:p>
                <w:p>
                  <w:pPr>
                    <w:pStyle w:val="null3"/>
                    <w:jc w:val="left"/>
                  </w:pPr>
                  <w:r>
                    <w:rPr>
                      <w:rFonts w:ascii="方正仿宋_gb2312" w:hAnsi="方正仿宋_gb2312" w:cs="方正仿宋_gb2312" w:eastAsia="方正仿宋_gb2312"/>
                      <w:sz w:val="24"/>
                      <w:color w:val="000000"/>
                    </w:rPr>
                    <w:t>18.正版软件管理平台提供的服务，应符合第三方软件提供公司的使用管理规范。</w:t>
                  </w:r>
                </w:p>
                <w:p>
                  <w:pPr>
                    <w:pStyle w:val="null3"/>
                    <w:jc w:val="left"/>
                  </w:pPr>
                  <w:r>
                    <w:rPr>
                      <w:rFonts w:ascii="方正仿宋_gb2312" w:hAnsi="方正仿宋_gb2312" w:cs="方正仿宋_gb2312" w:eastAsia="方正仿宋_gb2312"/>
                      <w:sz w:val="24"/>
                      <w:color w:val="000000"/>
                    </w:rPr>
                    <w:t>19.数据的存储和传输，正版软件管理平台的关键数据须加密存储和传输。</w:t>
                  </w:r>
                </w:p>
                <w:p>
                  <w:pPr>
                    <w:pStyle w:val="null3"/>
                    <w:jc w:val="left"/>
                  </w:pPr>
                  <w:r>
                    <w:rPr>
                      <w:rFonts w:ascii="方正仿宋_gb2312" w:hAnsi="方正仿宋_gb2312" w:cs="方正仿宋_gb2312" w:eastAsia="方正仿宋_gb2312"/>
                      <w:sz w:val="24"/>
                      <w:color w:val="000000"/>
                    </w:rPr>
                    <w:t>20.正版软件管理平台提供商，应提供完备的正版软件管理平台数据（包括软件和镜像、数据资料、日志）等在内的数据备份策略和故障恢复策略。在可能的情况下，正版软件管理平台提供商需要进行服务器负载均衡和主从服务器的部署。</w:t>
                  </w:r>
                </w:p>
                <w:p>
                  <w:pPr>
                    <w:pStyle w:val="null3"/>
                    <w:jc w:val="left"/>
                  </w:pPr>
                  <w:r>
                    <w:rPr>
                      <w:rFonts w:ascii="方正仿宋_gb2312" w:hAnsi="方正仿宋_gb2312" w:cs="方正仿宋_gb2312" w:eastAsia="方正仿宋_gb2312"/>
                      <w:sz w:val="24"/>
                      <w:color w:val="000000"/>
                    </w:rPr>
                    <w:t>21.满足并发处理要求：支持≥500人并发访问、下载。</w:t>
                  </w:r>
                </w:p>
                <w:p>
                  <w:pPr>
                    <w:pStyle w:val="null3"/>
                    <w:jc w:val="left"/>
                  </w:pPr>
                  <w:r>
                    <w:rPr>
                      <w:rFonts w:ascii="方正仿宋_gb2312" w:hAnsi="方正仿宋_gb2312" w:cs="方正仿宋_gb2312" w:eastAsia="方正仿宋_gb2312"/>
                      <w:sz w:val="24"/>
                      <w:color w:val="000000"/>
                    </w:rPr>
                    <w:t>22. 本校管理员可通过正版软件管理平台的管理后台对系统的以下数据进行自主管理和维护：</w:t>
                  </w:r>
                </w:p>
                <w:p>
                  <w:pPr>
                    <w:pStyle w:val="null3"/>
                    <w:jc w:val="left"/>
                  </w:pPr>
                  <w:r>
                    <w:rPr>
                      <w:rFonts w:ascii="方正仿宋_gb2312" w:hAnsi="方正仿宋_gb2312" w:cs="方正仿宋_gb2312" w:eastAsia="方正仿宋_gb2312"/>
                      <w:sz w:val="24"/>
                      <w:color w:val="000000"/>
                    </w:rPr>
                    <w:t>a)正版软件管理平台网站的 banner、通告、技术支持联系信息。</w:t>
                  </w:r>
                </w:p>
                <w:p>
                  <w:pPr>
                    <w:pStyle w:val="null3"/>
                    <w:jc w:val="left"/>
                  </w:pPr>
                  <w:r>
                    <w:rPr>
                      <w:rFonts w:ascii="方正仿宋_gb2312" w:hAnsi="方正仿宋_gb2312" w:cs="方正仿宋_gb2312" w:eastAsia="方正仿宋_gb2312"/>
                      <w:sz w:val="24"/>
                      <w:color w:val="000000"/>
                    </w:rPr>
                    <w:t>b)新增、编辑、删除常见问题、帮助文档、学习资源（包括文档资源和视频资源）、通知公告等内容。</w:t>
                  </w:r>
                </w:p>
                <w:p>
                  <w:pPr>
                    <w:pStyle w:val="null3"/>
                    <w:jc w:val="left"/>
                  </w:pPr>
                  <w:r>
                    <w:rPr>
                      <w:rFonts w:ascii="方正仿宋_gb2312" w:hAnsi="方正仿宋_gb2312" w:cs="方正仿宋_gb2312" w:eastAsia="方正仿宋_gb2312"/>
                      <w:sz w:val="24"/>
                      <w:color w:val="000000"/>
                    </w:rPr>
                    <w:t>c)新增软件资源和手机 APP，编辑、禁用、启用、删除已有软件资源和手机 APP。</w:t>
                  </w:r>
                </w:p>
                <w:p>
                  <w:pPr>
                    <w:pStyle w:val="null3"/>
                    <w:jc w:val="left"/>
                  </w:pPr>
                  <w:r>
                    <w:rPr>
                      <w:rFonts w:ascii="方正仿宋_gb2312" w:hAnsi="方正仿宋_gb2312" w:cs="方正仿宋_gb2312" w:eastAsia="方正仿宋_gb2312"/>
                      <w:sz w:val="24"/>
                      <w:color w:val="000000"/>
                    </w:rPr>
                    <w:t>23. 日志管理：提供日志功能（登录日志、操作日志），该模块可查看用户在系统内的操作。包含业务数据录入、修改、提交、删除等操作，日志信息不可删除、不可修改。日志保存至少六个月。</w:t>
                  </w:r>
                </w:p>
                <w:p>
                  <w:pPr>
                    <w:pStyle w:val="null3"/>
                    <w:jc w:val="left"/>
                  </w:pPr>
                  <w:r>
                    <w:rPr>
                      <w:rFonts w:ascii="方正仿宋_gb2312" w:hAnsi="方正仿宋_gb2312" w:cs="方正仿宋_gb2312" w:eastAsia="方正仿宋_gb2312"/>
                      <w:sz w:val="24"/>
                      <w:color w:val="000000"/>
                    </w:rPr>
                    <w:t>24.数据统计管理：包含平台访问量、软件下载量、软件激活量等数据分析及平台使用报告，能够针对一种和多种软件安装情况对用户下载量和软件下载量进行相应实时统计，并以浏览器模式查看分类统计；能以各种格式导出或打印软件使用报告；支持数据大屏输出。</w:t>
                  </w:r>
                  <w:r>
                    <w:rPr>
                      <w:rFonts w:ascii="方正仿宋_gb2312" w:hAnsi="方正仿宋_gb2312" w:cs="方正仿宋_gb2312" w:eastAsia="方正仿宋_gb2312"/>
                      <w:sz w:val="24"/>
                    </w:rPr>
                    <w:t>（需提供有效证明文件或者截图进行证明</w:t>
                  </w:r>
                  <w:r>
                    <w:rPr>
                      <w:rFonts w:ascii="方正仿宋_gb2312" w:hAnsi="方正仿宋_gb2312" w:cs="方正仿宋_gb2312" w:eastAsia="方正仿宋_gb2312"/>
                      <w:sz w:val="24"/>
                    </w:rPr>
                    <w:t>）</w:t>
                  </w:r>
                </w:p>
                <w:p>
                  <w:pPr>
                    <w:pStyle w:val="null3"/>
                    <w:jc w:val="left"/>
                  </w:pPr>
                  <w:r>
                    <w:rPr>
                      <w:rFonts w:ascii="方正仿宋_gb2312" w:hAnsi="方正仿宋_gb2312" w:cs="方正仿宋_gb2312" w:eastAsia="方正仿宋_gb2312"/>
                      <w:sz w:val="24"/>
                      <w:color w:val="000000"/>
                    </w:rPr>
                    <w:t>25．系统巡检，正版软件管理平台服务提供商应提供对系统的定期巡检，巡检内容包括（但不限于）正版软件管理平台服务器运行情况监测、KMS 服务器检查、激活测试、下载测试、系统及应用服务系统的补丁更新、数据备份检查。巡检频率不得少于 1 个月每次。每次巡检应当出具相应的</w:t>
                  </w:r>
                  <w:r>
                    <w:rPr>
                      <w:rFonts w:ascii="方正仿宋_gb2312" w:hAnsi="方正仿宋_gb2312" w:cs="方正仿宋_gb2312" w:eastAsia="方正仿宋_gb2312"/>
                      <w:sz w:val="24"/>
                    </w:rPr>
                    <w:t>巡检报告</w:t>
                  </w:r>
                  <w:r>
                    <w:rPr>
                      <w:rFonts w:ascii="方正仿宋_gb2312" w:hAnsi="方正仿宋_gb2312" w:cs="方正仿宋_gb2312" w:eastAsia="方正仿宋_gb2312"/>
                      <w:sz w:val="24"/>
                      <w:color w:val="000000"/>
                    </w:rPr>
                    <w:t>，并将</w:t>
                  </w:r>
                  <w:r>
                    <w:rPr>
                      <w:rFonts w:ascii="方正仿宋_gb2312" w:hAnsi="方正仿宋_gb2312" w:cs="方正仿宋_gb2312" w:eastAsia="方正仿宋_gb2312"/>
                      <w:sz w:val="24"/>
                    </w:rPr>
                    <w:t>巡检报告</w:t>
                  </w:r>
                  <w:r>
                    <w:rPr>
                      <w:rFonts w:ascii="方正仿宋_gb2312" w:hAnsi="方正仿宋_gb2312" w:cs="方正仿宋_gb2312" w:eastAsia="方正仿宋_gb2312"/>
                      <w:sz w:val="24"/>
                      <w:color w:val="000000"/>
                    </w:rPr>
                    <w:t>发送给负责系统对接和管理的老师。巡检发现问题应当在</w:t>
                  </w:r>
                  <w:r>
                    <w:rPr>
                      <w:rFonts w:ascii="方正仿宋_gb2312" w:hAnsi="方正仿宋_gb2312" w:cs="方正仿宋_gb2312" w:eastAsia="方正仿宋_gb2312"/>
                      <w:sz w:val="24"/>
                      <w:color w:val="000000"/>
                    </w:rPr>
                    <w:t>24 小时内完成处理。</w:t>
                  </w:r>
                </w:p>
              </w:tc>
            </w:tr>
            <w:tr>
              <w:tc>
                <w:tcPr>
                  <w:tcW w:type="dxa" w:w="332"/>
                  <w:vMerge/>
                  <w:tcBorders>
                    <w:top w:val="none" w:color="000000" w:sz="4"/>
                    <w:left w:val="single" w:color="000000" w:sz="4"/>
                    <w:bottom w:val="non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软件检查及分析服务要求：</w:t>
                  </w:r>
                </w:p>
                <w:p>
                  <w:pPr>
                    <w:pStyle w:val="null3"/>
                    <w:jc w:val="both"/>
                  </w:pPr>
                  <w:r>
                    <w:rPr>
                      <w:rFonts w:ascii="方正仿宋_gb2312" w:hAnsi="方正仿宋_gb2312" w:cs="方正仿宋_gb2312" w:eastAsia="方正仿宋_gb2312"/>
                      <w:sz w:val="24"/>
                    </w:rPr>
                    <w:t>1.提供软件检查工具，自行采集操作系统、杀毒软件、办公软件等信息；根据用户需求，可以在平台后台添加检查的软件；并提供检查工具的自主知识产权的软件著作权登记证书；</w:t>
                  </w:r>
                </w:p>
                <w:p>
                  <w:pPr>
                    <w:pStyle w:val="null3"/>
                    <w:jc w:val="both"/>
                  </w:pPr>
                  <w:r>
                    <w:rPr>
                      <w:rFonts w:ascii="方正仿宋_gb2312" w:hAnsi="方正仿宋_gb2312" w:cs="方正仿宋_gb2312" w:eastAsia="方正仿宋_gb2312"/>
                      <w:sz w:val="24"/>
                    </w:rPr>
                    <w:t>2.台账工具提供免安装版和安装版两种方式供用户选择，免安装版可直接运行完成数据采样，安装版可实现实时数据更新功能。（需提供截图证明）</w:t>
                  </w:r>
                </w:p>
                <w:p>
                  <w:pPr>
                    <w:pStyle w:val="null3"/>
                    <w:jc w:val="left"/>
                  </w:pPr>
                  <w:r>
                    <w:rPr>
                      <w:rFonts w:ascii="方正仿宋_gb2312" w:hAnsi="方正仿宋_gb2312" w:cs="方正仿宋_gb2312" w:eastAsia="方正仿宋_gb2312"/>
                      <w:sz w:val="24"/>
                      <w:color w:val="000000"/>
                    </w:rPr>
                    <w:t>3.内容分析服务：支持统计网内用户使用终端类型数目，终端使用分布。支持终端操作系统种类区分及数量统计；</w:t>
                  </w:r>
                </w:p>
                <w:p>
                  <w:pPr>
                    <w:pStyle w:val="null3"/>
                    <w:jc w:val="left"/>
                  </w:pPr>
                  <w:r>
                    <w:rPr>
                      <w:rFonts w:ascii="方正仿宋_gb2312" w:hAnsi="方正仿宋_gb2312" w:cs="方正仿宋_gb2312" w:eastAsia="方正仿宋_gb2312"/>
                      <w:sz w:val="24"/>
                      <w:color w:val="000000"/>
                    </w:rPr>
                    <w:t>4.日志分析服务要求：支持“应用明细”统计；支持“协议定制”功能，跟踪统计指定的协议应用情况；针对并发连接数的指定时段应用明细统计；帐号登陆事件日志，支持图片等查询；访问事件日志；</w:t>
                  </w:r>
                </w:p>
                <w:p>
                  <w:pPr>
                    <w:pStyle w:val="null3"/>
                    <w:jc w:val="left"/>
                  </w:pPr>
                  <w:r>
                    <w:rPr>
                      <w:rFonts w:ascii="方正仿宋_gb2312" w:hAnsi="方正仿宋_gb2312" w:cs="方正仿宋_gb2312" w:eastAsia="方正仿宋_gb2312"/>
                      <w:sz w:val="24"/>
                      <w:color w:val="000000"/>
                    </w:rPr>
                    <w:t>5.配合采购人进行正版化检查工作，规划、牵头实施软件正版化检查，确保校内办公终端操作系统、办公软件、杀毒软件符合正版化工作要求。</w:t>
                  </w:r>
                </w:p>
              </w:tc>
            </w:tr>
            <w:tr>
              <w:tc>
                <w:tcPr>
                  <w:tcW w:type="dxa" w:w="332"/>
                  <w:vMerge/>
                  <w:tcBorders>
                    <w:top w:val="none" w:color="000000" w:sz="4"/>
                    <w:left w:val="single" w:color="000000" w:sz="4"/>
                    <w:bottom w:val="non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b/>
                      <w:color w:val="000000"/>
                    </w:rPr>
                    <w:t>集成服务要求：</w:t>
                  </w:r>
                </w:p>
                <w:p>
                  <w:pPr>
                    <w:pStyle w:val="null3"/>
                    <w:jc w:val="left"/>
                  </w:pPr>
                  <w:r>
                    <w:rPr>
                      <w:rFonts w:ascii="方正仿宋_gb2312" w:hAnsi="方正仿宋_gb2312" w:cs="方正仿宋_gb2312" w:eastAsia="方正仿宋_gb2312"/>
                      <w:sz w:val="24"/>
                      <w:color w:val="000000"/>
                    </w:rPr>
                    <w:t>1.要求依照采购人统一身份认证平台的接口规范，实现单点登陆升级，并集成到统一身份认证系统中或根据学校相关集成要求，实现其它方式集成；</w:t>
                  </w:r>
                </w:p>
                <w:p>
                  <w:pPr>
                    <w:pStyle w:val="null3"/>
                    <w:jc w:val="left"/>
                  </w:pPr>
                  <w:r>
                    <w:rPr>
                      <w:rFonts w:ascii="方正仿宋_gb2312" w:hAnsi="方正仿宋_gb2312" w:cs="方正仿宋_gb2312" w:eastAsia="方正仿宋_gb2312"/>
                      <w:sz w:val="24"/>
                      <w:color w:val="000000"/>
                    </w:rPr>
                    <w:t>2.软件管理：通过该模块对校内提供的各项软件服务进行管理和维护，通过上传和发布功能在软件库中更新和维护软件的信息。</w:t>
                  </w:r>
                </w:p>
                <w:p>
                  <w:pPr>
                    <w:pStyle w:val="null3"/>
                    <w:jc w:val="left"/>
                  </w:pPr>
                  <w:r>
                    <w:rPr>
                      <w:rFonts w:ascii="方正仿宋_gb2312" w:hAnsi="方正仿宋_gb2312" w:cs="方正仿宋_gb2312" w:eastAsia="方正仿宋_gb2312"/>
                      <w:sz w:val="24"/>
                      <w:color w:val="000000"/>
                    </w:rPr>
                    <w:t>3.要求WPS可对接学校OA系统，实现OA对WPS OFFICE的直接调用功能。</w:t>
                  </w:r>
                </w:p>
                <w:p>
                  <w:pPr>
                    <w:pStyle w:val="null3"/>
                    <w:jc w:val="both"/>
                  </w:pPr>
                  <w:r>
                    <w:rPr>
                      <w:rFonts w:ascii="方正仿宋_gb2312" w:hAnsi="方正仿宋_gb2312" w:cs="方正仿宋_gb2312" w:eastAsia="方正仿宋_gb2312"/>
                      <w:sz w:val="24"/>
                    </w:rPr>
                    <w:t>4.提供人工智能体验功能，提供不低于三家市场主流AI对话体验服务，能够自主完成人机互动。（需提供截图证明）</w:t>
                  </w:r>
                </w:p>
              </w:tc>
            </w:tr>
            <w:tr>
              <w:tc>
                <w:tcPr>
                  <w:tcW w:type="dxa" w:w="332"/>
                  <w:vMerge/>
                  <w:tcBorders>
                    <w:top w:val="none" w:color="000000" w:sz="4"/>
                    <w:left w:val="single" w:color="000000" w:sz="4"/>
                    <w:bottom w:val="non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color w:val="000000"/>
                    </w:rPr>
                    <w:t>提供一年不少于</w:t>
                  </w:r>
                  <w:r>
                    <w:rPr>
                      <w:rFonts w:ascii="方正仿宋_gb2312" w:hAnsi="方正仿宋_gb2312" w:cs="方正仿宋_gb2312" w:eastAsia="方正仿宋_gb2312"/>
                      <w:sz w:val="24"/>
                      <w:color w:val="000000"/>
                    </w:rPr>
                    <w:t>60天驻场服务；</w:t>
                  </w:r>
                </w:p>
              </w:tc>
            </w:tr>
            <w:tr>
              <w:tc>
                <w:tcPr>
                  <w:tcW w:type="dxa" w:w="332"/>
                  <w:vMerge/>
                  <w:tcBorders>
                    <w:top w:val="none" w:color="000000" w:sz="4"/>
                    <w:left w:val="single" w:color="000000" w:sz="4"/>
                    <w:bottom w:val="none" w:color="000000" w:sz="4"/>
                    <w:right w:val="single" w:color="000000" w:sz="4"/>
                  </w:tcBorders>
                </w:tcPr>
                <w:p/>
              </w:tc>
              <w:tc>
                <w:tcPr>
                  <w:tcW w:type="dxa" w:w="2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方正仿宋_gb2312" w:hAnsi="方正仿宋_gb2312" w:cs="方正仿宋_gb2312" w:eastAsia="方正仿宋_gb2312"/>
                      <w:sz w:val="24"/>
                    </w:rPr>
                    <w:t>提供软件著作权登记证书</w:t>
                  </w:r>
                </w:p>
              </w:tc>
            </w:tr>
          </w:tbl>
          <w:p>
            <w:pPr>
              <w:pStyle w:val="null3"/>
              <w:numPr>
                <w:ilvl w:val="0"/>
                <w:numId w:val="1"/>
              </w:numPr>
            </w:pPr>
            <w:r>
              <w:rPr/>
              <w:t>三、</w:t>
            </w:r>
            <w:r>
              <w:rPr>
                <w:rFonts w:ascii="方正仿宋_gb2312" w:hAnsi="方正仿宋_gb2312" w:cs="方正仿宋_gb2312" w:eastAsia="方正仿宋_gb2312"/>
                <w:sz w:val="24"/>
                <w:b/>
              </w:rPr>
              <w:t>其他服务要求</w:t>
            </w:r>
          </w:p>
          <w:p>
            <w:pPr>
              <w:pStyle w:val="null3"/>
              <w:numPr>
                <w:ilvl w:val="0"/>
                <w:numId w:val="2"/>
              </w:numPr>
            </w:pPr>
            <w:r>
              <w:rPr>
                <w:rFonts w:ascii="方正仿宋_gb2312" w:hAnsi="方正仿宋_gb2312" w:cs="方正仿宋_gb2312" w:eastAsia="方正仿宋_gb2312"/>
                <w:sz w:val="24"/>
              </w:rPr>
              <w:t>搭建正版软件管理平台；</w:t>
            </w:r>
            <w:r>
              <w:rPr>
                <w:rFonts w:ascii="&quot;times new roman,times,serif&quot;" w:hAnsi="&quot;times new roman,times,serif&quot;" w:cs="&quot;times new roman,times,serif&quot;" w:eastAsia="&quot;times new roman,times,serif&quot;"/>
                <w:sz w:val="24"/>
              </w:rPr>
              <w:t>2.</w:t>
            </w:r>
            <w:r>
              <w:rPr>
                <w:rFonts w:ascii="方正仿宋_gb2312" w:hAnsi="方正仿宋_gb2312" w:cs="方正仿宋_gb2312" w:eastAsia="方正仿宋_gb2312"/>
                <w:sz w:val="24"/>
              </w:rPr>
              <w:t>提供微软操作系统及办公软件服务、国产办公软件及云服务；</w:t>
            </w:r>
            <w:r>
              <w:rPr>
                <w:rFonts w:ascii="&quot;times new roman,times,serif&quot;" w:hAnsi="&quot;times new roman,times,serif&quot;" w:cs="&quot;times new roman,times,serif&quot;" w:eastAsia="&quot;times new roman,times,serif&quot;"/>
                <w:sz w:val="24"/>
              </w:rPr>
              <w:t>3.</w:t>
            </w:r>
            <w:r>
              <w:rPr>
                <w:rFonts w:ascii="方正仿宋_gb2312" w:hAnsi="方正仿宋_gb2312" w:cs="方正仿宋_gb2312" w:eastAsia="方正仿宋_gb2312"/>
                <w:sz w:val="24"/>
              </w:rPr>
              <w:t>提供客户服务</w:t>
            </w:r>
            <w:r>
              <w:rPr>
                <w:rFonts w:ascii="&quot;times new roman,times,serif&quot;" w:hAnsi="&quot;times new roman,times,serif&quot;" w:cs="&quot;times new roman,times,serif&quot;" w:eastAsia="&quot;times new roman,times,serif&quot;"/>
                <w:sz w:val="24"/>
              </w:rPr>
              <w:t>7*24</w:t>
            </w:r>
            <w:r>
              <w:rPr>
                <w:rFonts w:ascii="方正仿宋_gb2312" w:hAnsi="方正仿宋_gb2312" w:cs="方正仿宋_gb2312" w:eastAsia="方正仿宋_gb2312"/>
                <w:sz w:val="24"/>
              </w:rPr>
              <w:t>小时响应，提供定期巡检、平台升级、数据导入、更新服务、技术支持等服务；</w:t>
            </w:r>
            <w:r>
              <w:rPr>
                <w:rFonts w:ascii="&quot;times new roman,times,serif&quot;" w:hAnsi="&quot;times new roman,times,serif&quot;" w:cs="&quot;times new roman,times,serif&quot;" w:eastAsia="&quot;times new roman,times,serif&quot;"/>
                <w:sz w:val="24"/>
              </w:rPr>
              <w:t>4.</w:t>
            </w:r>
            <w:r>
              <w:rPr>
                <w:rFonts w:ascii="方正仿宋_gb2312" w:hAnsi="方正仿宋_gb2312" w:cs="方正仿宋_gb2312" w:eastAsia="方正仿宋_gb2312"/>
                <w:sz w:val="24"/>
              </w:rPr>
              <w:t>培训</w:t>
            </w:r>
            <w:r>
              <w:rPr>
                <w:rFonts w:ascii="&quot;times new roman,times,serif&quot;" w:hAnsi="&quot;times new roman,times,serif&quot;" w:cs="&quot;times new roman,times,serif&quot;" w:eastAsia="&quot;times new roman,times,serif&quot;"/>
                <w:sz w:val="24"/>
              </w:rPr>
              <w:t>3</w:t>
            </w:r>
            <w:r>
              <w:rPr>
                <w:rFonts w:ascii="方正仿宋_gb2312" w:hAnsi="方正仿宋_gb2312" w:cs="方正仿宋_gb2312" w:eastAsia="方正仿宋_gb2312"/>
                <w:sz w:val="24"/>
              </w:rPr>
              <w:t>名以上网络管理人员，对系统进行操作培训；</w:t>
            </w:r>
            <w:r>
              <w:rPr>
                <w:rFonts w:ascii="&quot;times new roman,times,serif&quot;" w:hAnsi="&quot;times new roman,times,serif&quot;" w:cs="&quot;times new roman,times,serif&quot;" w:eastAsia="&quot;times new roman,times,serif&quot;"/>
                <w:sz w:val="24"/>
              </w:rPr>
              <w:t>5.</w:t>
            </w:r>
            <w:r>
              <w:rPr>
                <w:rFonts w:ascii="方正仿宋_gb2312" w:hAnsi="方正仿宋_gb2312" w:cs="方正仿宋_gb2312" w:eastAsia="方正仿宋_gb2312"/>
                <w:sz w:val="24"/>
              </w:rPr>
              <w:t>提供电话热线和网络咨询服务；</w:t>
            </w:r>
            <w:r>
              <w:rPr>
                <w:rFonts w:ascii="&quot;times new roman,times,serif&quot;" w:hAnsi="&quot;times new roman,times,serif&quot;" w:cs="&quot;times new roman,times,serif&quot;" w:eastAsia="&quot;times new roman,times,serif&quot;"/>
                <w:sz w:val="24"/>
              </w:rPr>
              <w:t>6.</w:t>
            </w:r>
            <w:r>
              <w:rPr>
                <w:rFonts w:ascii="方正仿宋_gb2312" w:hAnsi="方正仿宋_gb2312" w:cs="方正仿宋_gb2312" w:eastAsia="方正仿宋_gb2312"/>
                <w:sz w:val="24"/>
              </w:rPr>
              <w:t>软件在升级范围时间内出现新版本应免费升级；</w:t>
            </w:r>
            <w:r>
              <w:rPr>
                <w:rFonts w:ascii="&quot;times new roman,times,serif&quot;" w:hAnsi="&quot;times new roman,times,serif&quot;" w:cs="&quot;times new roman,times,serif&quot;" w:eastAsia="&quot;times new roman,times,serif&quot;"/>
                <w:sz w:val="24"/>
              </w:rPr>
              <w:t>7.</w:t>
            </w:r>
            <w:r>
              <w:rPr>
                <w:rFonts w:ascii="方正仿宋_gb2312" w:hAnsi="方正仿宋_gb2312" w:cs="方正仿宋_gb2312" w:eastAsia="方正仿宋_gb2312"/>
                <w:sz w:val="24"/>
              </w:rPr>
              <w:t>项目施工周期：自中标公告发布之日起</w:t>
            </w:r>
            <w:r>
              <w:rPr>
                <w:rFonts w:ascii="&quot;times new roman,times,serif&quot;" w:hAnsi="&quot;times new roman,times,serif&quot;" w:cs="&quot;times new roman,times,serif&quot;" w:eastAsia="&quot;times new roman,times,serif&quot;"/>
                <w:sz w:val="24"/>
              </w:rPr>
              <w:t>30</w:t>
            </w:r>
            <w:r>
              <w:rPr>
                <w:rFonts w:ascii="方正仿宋_gb2312" w:hAnsi="方正仿宋_gb2312" w:cs="方正仿宋_gb2312" w:eastAsia="方正仿宋_gb2312"/>
                <w:sz w:val="24"/>
              </w:rPr>
              <w:t>个工作日；</w:t>
            </w:r>
            <w:r>
              <w:rPr>
                <w:rFonts w:ascii="&quot;times new roman,times,serif&quot;" w:hAnsi="&quot;times new roman,times,serif&quot;" w:cs="&quot;times new roman,times,serif&quot;" w:eastAsia="&quot;times new roman,times,serif&quot;"/>
                <w:sz w:val="24"/>
              </w:rPr>
              <w:t>8.</w:t>
            </w:r>
            <w:r>
              <w:rPr>
                <w:rFonts w:ascii="方正仿宋_gb2312" w:hAnsi="方正仿宋_gb2312" w:cs="方正仿宋_gb2312" w:eastAsia="方正仿宋_gb2312"/>
                <w:sz w:val="24"/>
              </w:rPr>
              <w:t>发生故障，接到甲方通知后，应于</w:t>
            </w:r>
            <w:r>
              <w:rPr>
                <w:rFonts w:ascii="&quot;times new roman,times,serif&quot;" w:hAnsi="&quot;times new roman,times,serif&quot;" w:cs="&quot;times new roman,times,serif&quot;" w:eastAsia="&quot;times new roman,times,serif&quot;"/>
                <w:sz w:val="24"/>
              </w:rPr>
              <w:t>2</w:t>
            </w:r>
            <w:r>
              <w:rPr>
                <w:rFonts w:ascii="方正仿宋_gb2312" w:hAnsi="方正仿宋_gb2312" w:cs="方正仿宋_gb2312" w:eastAsia="方正仿宋_gb2312"/>
                <w:sz w:val="24"/>
              </w:rPr>
              <w:t>小时内派出专业的维修人员到现场进行检测维修，发生的全部费用由乙方承担。</w:t>
            </w:r>
            <w:r>
              <w:rPr>
                <w:rFonts w:ascii="&quot;times new roman,times,serif&quot;" w:hAnsi="&quot;times new roman,times,serif&quot;" w:cs="&quot;times new roman,times,serif&quot;" w:eastAsia="&quot;times new roman,times,serif&quot;"/>
                <w:sz w:val="24"/>
              </w:rPr>
              <w:t>9.</w:t>
            </w:r>
            <w:r>
              <w:rPr>
                <w:rFonts w:ascii="方正仿宋_gb2312" w:hAnsi="方正仿宋_gb2312" w:cs="方正仿宋_gb2312" w:eastAsia="方正仿宋_gb2312"/>
                <w:sz w:val="24"/>
              </w:rPr>
              <w:t>乙方须指派专人负责与甲方联系售后服务事宜，售后服务期为</w:t>
            </w:r>
            <w:r>
              <w:rPr>
                <w:rFonts w:ascii="&quot;times new roman,times,serif&quot;" w:hAnsi="&quot;times new roman,times,serif&quot;" w:cs="&quot;times new roman,times,serif&quot;" w:eastAsia="&quot;times new roman,times,serif&quot;"/>
                <w:sz w:val="24"/>
              </w:rPr>
              <w:t>1</w:t>
            </w:r>
            <w:r>
              <w:rPr>
                <w:rFonts w:ascii="方正仿宋_gb2312" w:hAnsi="方正仿宋_gb2312" w:cs="方正仿宋_gb2312" w:eastAsia="方正仿宋_gb2312"/>
                <w:sz w:val="24"/>
              </w:rPr>
              <w:t>年。</w:t>
            </w:r>
            <w:r>
              <w:rPr>
                <w:rFonts w:ascii="&quot;times new roman,times,serif&quot;" w:hAnsi="&quot;times new roman,times,serif&quot;" w:cs="&quot;times new roman,times,serif&quot;" w:eastAsia="&quot;times new roman,times,serif&quot;"/>
                <w:sz w:val="24"/>
              </w:rPr>
              <w:t>10.</w:t>
            </w:r>
            <w:r>
              <w:rPr>
                <w:rFonts w:ascii="方正仿宋_gb2312" w:hAnsi="方正仿宋_gb2312" w:cs="方正仿宋_gb2312" w:eastAsia="方正仿宋_gb2312"/>
                <w:sz w:val="24"/>
              </w:rPr>
              <w:t>提供正版化宣传服务及宣传资料易拉宝彩页相关材料，并配合学校完成正版软件宣传工作。</w:t>
            </w:r>
            <w:r>
              <w:rPr>
                <w:rFonts w:ascii="方正仿宋_gb2312" w:hAnsi="方正仿宋_gb2312" w:cs="方正仿宋_gb2312" w:eastAsia="方正仿宋_gb2312"/>
                <w:sz w:val="24"/>
              </w:rPr>
              <w:t xml:space="preserve">  </w:t>
            </w:r>
            <w:r>
              <w:rPr/>
              <w:t xml:space="preserve">       </w:t>
            </w:r>
          </w:p>
          <w:p>
            <w:pPr>
              <w:pStyle w:val="null3"/>
            </w:pPr>
            <w:r>
              <w:rPr>
                <w:rFonts w:ascii="方正仿宋_gb2312" w:hAnsi="方正仿宋_gb2312" w:cs="方正仿宋_gb2312" w:eastAsia="方正仿宋_gb2312"/>
                <w:sz w:val="24"/>
                <w:b/>
              </w:rPr>
              <w:t>四</w:t>
            </w:r>
            <w:r>
              <w:rPr>
                <w:rFonts w:ascii="方正仿宋_gb2312" w:hAnsi="方正仿宋_gb2312" w:cs="方正仿宋_gb2312" w:eastAsia="方正仿宋_gb2312"/>
                <w:sz w:val="24"/>
                <w:b/>
              </w:rPr>
              <w:t>、服务标准</w:t>
            </w:r>
          </w:p>
          <w:p>
            <w:pPr>
              <w:pStyle w:val="null3"/>
              <w:ind w:firstLine="480"/>
            </w:pPr>
            <w:r>
              <w:rPr>
                <w:rFonts w:ascii="方正仿宋_gb2312" w:hAnsi="方正仿宋_gb2312" w:cs="方正仿宋_gb2312" w:eastAsia="方正仿宋_gb2312"/>
                <w:sz w:val="24"/>
              </w:rPr>
              <w:t>实现微软操作系统及办公软件服务、国产办公软件正版化场地授权，为全校办公室、教室、实验室和图书馆等场所的计算机包括教职工电脑和笔记本，提供相关正版软件。</w:t>
            </w:r>
          </w:p>
          <w:p>
            <w:pPr>
              <w:pStyle w:val="null3"/>
            </w:pPr>
            <w:r>
              <w:rPr>
                <w:rFonts w:ascii="方正仿宋_gb2312" w:hAnsi="方正仿宋_gb2312" w:cs="方正仿宋_gb2312" w:eastAsia="方正仿宋_gb2312"/>
                <w:sz w:val="24"/>
              </w:rPr>
              <w:t>五</w:t>
            </w:r>
            <w:r>
              <w:rPr>
                <w:rFonts w:ascii="方正仿宋_gb2312" w:hAnsi="方正仿宋_gb2312" w:cs="方正仿宋_gb2312" w:eastAsia="方正仿宋_gb2312"/>
                <w:sz w:val="24"/>
                <w:b/>
              </w:rPr>
              <w:t>、</w:t>
            </w:r>
            <w:r>
              <w:rPr>
                <w:rFonts w:ascii="方正仿宋_gb2312" w:hAnsi="方正仿宋_gb2312" w:cs="方正仿宋_gb2312" w:eastAsia="方正仿宋_gb2312"/>
                <w:sz w:val="24"/>
                <w:b/>
              </w:rPr>
              <w:t>其他</w:t>
            </w:r>
          </w:p>
          <w:p>
            <w:pPr>
              <w:pStyle w:val="null3"/>
              <w:ind w:firstLine="480"/>
            </w:pPr>
            <w:r>
              <w:rPr>
                <w:rFonts w:ascii="&quot;times new roman,times,serif&quot;" w:hAnsi="&quot;times new roman,times,serif&quot;" w:cs="&quot;times new roman,times,serif&quot;" w:eastAsia="&quot;times new roman,times,serif&quot;"/>
                <w:sz w:val="24"/>
              </w:rPr>
              <w:t>1.</w:t>
            </w:r>
            <w:r>
              <w:rPr>
                <w:rFonts w:ascii="方正仿宋_gb2312" w:hAnsi="方正仿宋_gb2312" w:cs="方正仿宋_gb2312" w:eastAsia="方正仿宋_gb2312"/>
                <w:sz w:val="24"/>
              </w:rPr>
              <w:t>项目经理至少</w:t>
            </w:r>
            <w:r>
              <w:rPr>
                <w:rFonts w:ascii="&quot;times new roman,times,serif&quot;" w:hAnsi="&quot;times new roman,times,serif&quot;" w:cs="&quot;times new roman,times,serif&quot;" w:eastAsia="&quot;times new roman,times,serif&quot;"/>
                <w:sz w:val="24"/>
              </w:rPr>
              <w:t>5</w:t>
            </w:r>
            <w:r>
              <w:rPr>
                <w:rFonts w:ascii="方正仿宋_gb2312" w:hAnsi="方正仿宋_gb2312" w:cs="方正仿宋_gb2312" w:eastAsia="方正仿宋_gb2312"/>
                <w:sz w:val="24"/>
              </w:rPr>
              <w:t>年以上的项目管理经验，熟悉软件正版化流程</w:t>
            </w:r>
            <w:r>
              <w:rPr>
                <w:rFonts w:ascii="&quot;times new roman,times,serif&quot;" w:hAnsi="&quot;times new roman,times,serif&quot;" w:cs="&quot;times new roman,times,serif&quot;" w:eastAsia="&quot;times new roman,times,serif&quot;"/>
                <w:sz w:val="24"/>
              </w:rPr>
              <w:t>2.</w:t>
            </w:r>
            <w:r>
              <w:rPr>
                <w:rFonts w:ascii="方正仿宋_gb2312" w:hAnsi="方正仿宋_gb2312" w:cs="方正仿宋_gb2312" w:eastAsia="方正仿宋_gb2312"/>
                <w:sz w:val="24"/>
              </w:rPr>
              <w:t>技术支持工程师需计算机相关专业毕业，软件相关行业工作经验不低于</w:t>
            </w:r>
            <w:r>
              <w:rPr>
                <w:rFonts w:ascii="&quot;times new roman,times,serif&quot;" w:hAnsi="&quot;times new roman,times,serif&quot;" w:cs="&quot;times new roman,times,serif&quot;" w:eastAsia="&quot;times new roman,times,serif&quot;"/>
                <w:sz w:val="24"/>
              </w:rPr>
              <w:t>2</w:t>
            </w:r>
            <w:r>
              <w:rPr>
                <w:rFonts w:ascii="方正仿宋_gb2312" w:hAnsi="方正仿宋_gb2312" w:cs="方正仿宋_gb2312" w:eastAsia="方正仿宋_gb2312"/>
                <w:sz w:val="24"/>
              </w:rPr>
              <w:t>年</w:t>
            </w:r>
          </w:p>
          <w:p>
            <w:pPr>
              <w:pStyle w:val="null3"/>
              <w:ind w:firstLine="480"/>
            </w:pPr>
            <w:r>
              <w:rPr>
                <w:rFonts w:ascii="方正仿宋_gb2312" w:hAnsi="方正仿宋_gb2312" w:cs="方正仿宋_gb2312" w:eastAsia="方正仿宋_gb2312"/>
                <w:sz w:val="24"/>
              </w:rPr>
              <w:t>2.供应商需向采购方提供不少于两场面向管理员或最终用户培训。</w:t>
            </w:r>
          </w:p>
          <w:p>
            <w:pPr>
              <w:pStyle w:val="null3"/>
              <w:ind w:firstLine="480"/>
            </w:pPr>
            <w:r>
              <w:rPr>
                <w:rFonts w:ascii="方正仿宋_gb2312" w:hAnsi="方正仿宋_gb2312" w:cs="方正仿宋_gb2312" w:eastAsia="方正仿宋_gb2312"/>
                <w:sz w:val="24"/>
              </w:rPr>
              <w:t>3.供应商根据本项目实际需求及特点，提供本项目合理化建议，技术服务方案，组织管理制度，质量保证方案，应急方案，人员配备方案，项目负责人运维能力证明材料，培训方案及同类项目业绩证明材料。</w:t>
            </w:r>
          </w:p>
          <w:p>
            <w:pPr>
              <w:pStyle w:val="null3"/>
            </w:pPr>
          </w:p>
        </w:tc>
      </w:tr>
    </w:tbl>
    <w:p>
      <w:pPr>
        <w:pStyle w:val="null3"/>
        <w:outlineLvl w:val="3"/>
      </w:pPr>
      <w:r>
        <w:rPr>
          <w:sz w:val="24"/>
          <w:b/>
        </w:rPr>
        <w:t>3.2.3人员配置要求</w:t>
      </w:r>
    </w:p>
    <w:p>
      <w:pPr>
        <w:pStyle w:val="null3"/>
      </w:pPr>
      <w:r>
        <w:rPr/>
        <w:t>采购包1：</w:t>
      </w:r>
    </w:p>
    <w:p>
      <w:pPr>
        <w:pStyle w:val="null3"/>
      </w:pPr>
      <w:r>
        <w:rPr/>
        <w:t>满足技术参数与性能指标。</w:t>
      </w:r>
    </w:p>
    <w:p>
      <w:pPr>
        <w:pStyle w:val="null3"/>
      </w:pPr>
      <w:r>
        <w:rPr/>
        <w:t>采购包2：</w:t>
      </w:r>
    </w:p>
    <w:p>
      <w:pPr>
        <w:pStyle w:val="null3"/>
      </w:pPr>
      <w:r>
        <w:rPr/>
        <w:t>满足技术参数与性能指标。</w:t>
      </w:r>
    </w:p>
    <w:p>
      <w:pPr>
        <w:pStyle w:val="null3"/>
        <w:outlineLvl w:val="3"/>
      </w:pPr>
      <w:r>
        <w:rPr>
          <w:sz w:val="24"/>
          <w:b/>
        </w:rPr>
        <w:t>3.2.4设施设备配置要求</w:t>
      </w:r>
    </w:p>
    <w:p>
      <w:pPr>
        <w:pStyle w:val="null3"/>
      </w:pPr>
      <w:r>
        <w:rPr/>
        <w:t>采购包1：</w:t>
      </w:r>
    </w:p>
    <w:p>
      <w:pPr>
        <w:pStyle w:val="null3"/>
      </w:pPr>
      <w:r>
        <w:rPr/>
        <w:t>满足技术参数与性能指标。</w:t>
      </w:r>
    </w:p>
    <w:p>
      <w:pPr>
        <w:pStyle w:val="null3"/>
      </w:pPr>
      <w:r>
        <w:rPr/>
        <w:t>采购包2：</w:t>
      </w:r>
    </w:p>
    <w:p>
      <w:pPr>
        <w:pStyle w:val="null3"/>
      </w:pPr>
      <w:r>
        <w:rPr/>
        <w:t>满足技术参数与性能指标。</w:t>
      </w:r>
    </w:p>
    <w:p>
      <w:pPr>
        <w:pStyle w:val="null3"/>
        <w:outlineLvl w:val="3"/>
      </w:pPr>
      <w:r>
        <w:rPr>
          <w:sz w:val="24"/>
          <w:b/>
        </w:rPr>
        <w:t>3.2.5其他要求</w:t>
      </w:r>
    </w:p>
    <w:p>
      <w:pPr>
        <w:pStyle w:val="null3"/>
      </w:pPr>
      <w:r>
        <w:rPr/>
        <w:t>采购包1：</w:t>
      </w:r>
    </w:p>
    <w:p>
      <w:pPr>
        <w:pStyle w:val="null3"/>
      </w:pPr>
      <w:r>
        <w:rPr/>
        <w:t>无</w:t>
      </w:r>
    </w:p>
    <w:p>
      <w:pPr>
        <w:pStyle w:val="null3"/>
      </w:pPr>
      <w:r>
        <w:rPr/>
        <w:t>采购包2：</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90日历日内交付《网络安全等级保护测评报告》并在公安机关备案，服务期2年</w:t>
      </w:r>
    </w:p>
    <w:p>
      <w:pPr>
        <w:pStyle w:val="null3"/>
      </w:pPr>
      <w:r>
        <w:rPr/>
        <w:t>采购包2：</w:t>
      </w:r>
    </w:p>
    <w:p>
      <w:pPr>
        <w:pStyle w:val="null3"/>
      </w:pPr>
      <w:r>
        <w:rPr/>
        <w:t>1年</w:t>
      </w:r>
    </w:p>
    <w:p>
      <w:pPr>
        <w:pStyle w:val="null3"/>
        <w:outlineLvl w:val="3"/>
      </w:pPr>
      <w:r>
        <w:rPr>
          <w:sz w:val="24"/>
          <w:b/>
        </w:rPr>
        <w:t>3.3.2服务地点</w:t>
      </w:r>
    </w:p>
    <w:p>
      <w:pPr>
        <w:pStyle w:val="null3"/>
      </w:pPr>
      <w:r>
        <w:rPr/>
        <w:t>采购包1：</w:t>
      </w:r>
    </w:p>
    <w:p>
      <w:pPr>
        <w:pStyle w:val="null3"/>
      </w:pPr>
      <w:r>
        <w:rPr/>
        <w:t>采购人指定地点</w:t>
      </w:r>
    </w:p>
    <w:p>
      <w:pPr>
        <w:pStyle w:val="null3"/>
      </w:pPr>
      <w:r>
        <w:rPr/>
        <w:t>采购包2：</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outlineLvl w:val="3"/>
      </w:pPr>
      <w:r>
        <w:rPr>
          <w:sz w:val="24"/>
          <w:b/>
        </w:rPr>
        <w:t>3.3.4支付方式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项目经验收合格后，卖方持《验收合格单》原件和全额增值税专用发票在买方处办理支付手续</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项目经验收合格后，卖方持《验收合格单》原件和全额增值税专用发票在买方处办理支付手续</w:t>
      </w:r>
      <w:r>
        <w:rPr/>
        <w:t xml:space="preserve"> ，达到付款条件起 </w:t>
      </w:r>
      <w:r>
        <w:rPr/>
        <w:t>30</w:t>
      </w:r>
      <w:r>
        <w:rPr/>
        <w:t xml:space="preserve"> 日内，支付合同总金额的 </w:t>
      </w:r>
      <w:r>
        <w:rPr/>
        <w:t>100.00</w:t>
      </w:r>
      <w:r>
        <w:rPr/>
        <w:t>%。</w:t>
      </w:r>
    </w:p>
    <w:p>
      <w:pPr>
        <w:pStyle w:val="null3"/>
        <w:outlineLvl w:val="3"/>
      </w:pPr>
      <w:r>
        <w:rPr>
          <w:sz w:val="24"/>
          <w:b/>
        </w:rPr>
        <w:t>3.3.6违约责任与解决争议的方法</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满足政府采购法第二十二条及特殊资格证明材料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满足政府采购法第二十二条及特殊资格证明材料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满足政府采购法第二十二条及特殊资格证明材料 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满足政府采购法第二十二条及特殊资格证明材料2包用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满足政府采购法第二十二条及特殊资格证明材料2包用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满足政府采购法第二十二条及特殊资格证明材料2包用</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具有独立承担民事责任能力的法人、其他组织或自然人，提供营业执照/事业单位法人证书/非企业专业服务机构执业许可证/自然人身份证。</w:t>
            </w:r>
          </w:p>
        </w:tc>
        <w:tc>
          <w:tcPr>
            <w:tcW w:type="dxa" w:w="1661"/>
          </w:tcPr>
          <w:p>
            <w:pPr>
              <w:pStyle w:val="null3"/>
            </w:pPr>
            <w:r>
              <w:rPr/>
              <w:t>满足政府采购法第二十二条及特殊资格证明材料 投标函 投标文件封面</w:t>
            </w:r>
          </w:p>
        </w:tc>
      </w:tr>
      <w:tr>
        <w:tc>
          <w:tcPr>
            <w:tcW w:type="dxa" w:w="831"/>
          </w:tcPr>
          <w:p>
            <w:pPr>
              <w:pStyle w:val="null3"/>
            </w:pPr>
            <w:r>
              <w:rPr/>
              <w:t>2</w:t>
            </w:r>
          </w:p>
        </w:tc>
        <w:tc>
          <w:tcPr>
            <w:tcW w:type="dxa" w:w="2492"/>
          </w:tcPr>
          <w:p>
            <w:pPr>
              <w:pStyle w:val="null3"/>
            </w:pPr>
            <w:r>
              <w:rPr/>
              <w:t>法定代表人授权书（证明书）</w:t>
            </w:r>
          </w:p>
        </w:tc>
        <w:tc>
          <w:tcPr>
            <w:tcW w:type="dxa" w:w="3322"/>
          </w:tcPr>
          <w:p>
            <w:pPr>
              <w:pStyle w:val="null3"/>
            </w:pPr>
            <w:r>
              <w:rPr/>
              <w:t>法定代表人参加投标时，提供法定代表人证明书；授权代表参加投标时，提供法定代表人授权书；非法人单位参照执行。</w:t>
            </w:r>
          </w:p>
        </w:tc>
        <w:tc>
          <w:tcPr>
            <w:tcW w:type="dxa" w:w="1661"/>
          </w:tcPr>
          <w:p>
            <w:pPr>
              <w:pStyle w:val="null3"/>
            </w:pPr>
            <w:r>
              <w:rPr/>
              <w:t>法定代表人授权书（证明书）</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提供经审计的2023年度的财务报告或提交投标响应文件截止时间前十二个月内银行资信证明；或政府采购信用担保机构出具的投标担保函。</w:t>
            </w:r>
          </w:p>
        </w:tc>
        <w:tc>
          <w:tcPr>
            <w:tcW w:type="dxa" w:w="1661"/>
          </w:tcPr>
          <w:p>
            <w:pPr>
              <w:pStyle w:val="null3"/>
            </w:pPr>
            <w:r>
              <w:rPr/>
              <w:t>满足政府采购法第二十二条及特殊资格证明材料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提供投标响应文件递交截止时间前近十二个月内至少一个月已缴纳的纳税凭据或完税证明；依法免税的供应商应提供相关文件证明。</w:t>
            </w:r>
          </w:p>
        </w:tc>
        <w:tc>
          <w:tcPr>
            <w:tcW w:type="dxa" w:w="1661"/>
          </w:tcPr>
          <w:p>
            <w:pPr>
              <w:pStyle w:val="null3"/>
            </w:pPr>
            <w:r>
              <w:rPr/>
              <w:t>满足政府采购法第二十二条及特殊资格证明材料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满足政府采购法第二十二条及特殊资格证明材料</w:t>
            </w:r>
          </w:p>
        </w:tc>
      </w:tr>
      <w:tr>
        <w:tc>
          <w:tcPr>
            <w:tcW w:type="dxa" w:w="831"/>
          </w:tcPr>
          <w:p>
            <w:pPr>
              <w:pStyle w:val="null3"/>
            </w:pPr>
            <w:r>
              <w:rPr/>
              <w:t>6</w:t>
            </w:r>
          </w:p>
        </w:tc>
        <w:tc>
          <w:tcPr>
            <w:tcW w:type="dxa" w:w="2492"/>
          </w:tcPr>
          <w:p>
            <w:pPr>
              <w:pStyle w:val="null3"/>
            </w:pPr>
            <w:r>
              <w:rPr/>
              <w:t>提供具有履行本合同所必需的设备和专业技术能力的承诺</w:t>
            </w:r>
          </w:p>
        </w:tc>
        <w:tc>
          <w:tcPr>
            <w:tcW w:type="dxa" w:w="3322"/>
          </w:tcPr>
          <w:p>
            <w:pPr>
              <w:pStyle w:val="null3"/>
            </w:pPr>
            <w:r>
              <w:rPr/>
              <w:t>提供具有履行本合同所必需的设备和专业技术能力的承诺。</w:t>
            </w:r>
          </w:p>
        </w:tc>
        <w:tc>
          <w:tcPr>
            <w:tcW w:type="dxa" w:w="1661"/>
          </w:tcPr>
          <w:p>
            <w:pPr>
              <w:pStyle w:val="null3"/>
            </w:pPr>
            <w:r>
              <w:rPr/>
              <w:t>满足政府采购法第二十二条及特殊资格证明材料</w:t>
            </w:r>
          </w:p>
        </w:tc>
      </w:tr>
      <w:tr>
        <w:tc>
          <w:tcPr>
            <w:tcW w:type="dxa" w:w="831"/>
          </w:tcPr>
          <w:p>
            <w:pPr>
              <w:pStyle w:val="null3"/>
            </w:pPr>
            <w:r>
              <w:rPr/>
              <w:t>7</w:t>
            </w:r>
          </w:p>
        </w:tc>
        <w:tc>
          <w:tcPr>
            <w:tcW w:type="dxa" w:w="2492"/>
          </w:tcPr>
          <w:p>
            <w:pPr>
              <w:pStyle w:val="null3"/>
            </w:pPr>
            <w:r>
              <w:rPr/>
              <w:t>无重大违法记录的书面声明</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满足政府采购法第二十二条及特殊资格证明材料</w:t>
            </w:r>
          </w:p>
        </w:tc>
      </w:tr>
      <w:tr>
        <w:tc>
          <w:tcPr>
            <w:tcW w:type="dxa" w:w="831"/>
          </w:tcPr>
          <w:p>
            <w:pPr>
              <w:pStyle w:val="null3"/>
            </w:pPr>
            <w:r>
              <w:rPr/>
              <w:t>8</w:t>
            </w:r>
          </w:p>
        </w:tc>
        <w:tc>
          <w:tcPr>
            <w:tcW w:type="dxa" w:w="2492"/>
          </w:tcPr>
          <w:p>
            <w:pPr>
              <w:pStyle w:val="null3"/>
            </w:pPr>
            <w:r>
              <w:rPr/>
              <w:t>网络安全等级测评与检测评估机构服务认证证书</w:t>
            </w:r>
          </w:p>
        </w:tc>
        <w:tc>
          <w:tcPr>
            <w:tcW w:type="dxa" w:w="3322"/>
          </w:tcPr>
          <w:p>
            <w:pPr>
              <w:pStyle w:val="null3"/>
            </w:pPr>
            <w:r>
              <w:rPr/>
              <w:t>投标人具有有效的网络安全等级测评与检测评估机构服务认证证书</w:t>
            </w:r>
          </w:p>
        </w:tc>
        <w:tc>
          <w:tcPr>
            <w:tcW w:type="dxa" w:w="1661"/>
          </w:tcPr>
          <w:p>
            <w:pPr>
              <w:pStyle w:val="null3"/>
            </w:pPr>
            <w:r>
              <w:rPr/>
              <w:t>满足政府采购法第二十二条及特殊资格证明材料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具有独立承担民事责任能力的法人、其他组织或自然人，提供营业执照/事业单位法人证书/非企业专业服务机构执业许可证/自然人身份证。</w:t>
            </w:r>
          </w:p>
        </w:tc>
        <w:tc>
          <w:tcPr>
            <w:tcW w:type="dxa" w:w="1661"/>
          </w:tcPr>
          <w:p>
            <w:pPr>
              <w:pStyle w:val="null3"/>
            </w:pPr>
            <w:r>
              <w:rPr/>
              <w:t>投标文件封面 满足政府采购法第二十二条及特殊资格证明材料2包用</w:t>
            </w:r>
          </w:p>
        </w:tc>
      </w:tr>
      <w:tr>
        <w:tc>
          <w:tcPr>
            <w:tcW w:type="dxa" w:w="831"/>
          </w:tcPr>
          <w:p>
            <w:pPr>
              <w:pStyle w:val="null3"/>
            </w:pPr>
            <w:r>
              <w:rPr/>
              <w:t>2</w:t>
            </w:r>
          </w:p>
        </w:tc>
        <w:tc>
          <w:tcPr>
            <w:tcW w:type="dxa" w:w="2492"/>
          </w:tcPr>
          <w:p>
            <w:pPr>
              <w:pStyle w:val="null3"/>
            </w:pPr>
            <w:r>
              <w:rPr/>
              <w:t>法定代表人授权书（证明书）</w:t>
            </w:r>
          </w:p>
        </w:tc>
        <w:tc>
          <w:tcPr>
            <w:tcW w:type="dxa" w:w="3322"/>
          </w:tcPr>
          <w:p>
            <w:pPr>
              <w:pStyle w:val="null3"/>
            </w:pPr>
            <w:r>
              <w:rPr/>
              <w:t>法定代表人参加投标时，提供法定代表人证明书；授权代表参加投标时，提供法定代表人授权书；非法人单位参照执行。</w:t>
            </w:r>
          </w:p>
        </w:tc>
        <w:tc>
          <w:tcPr>
            <w:tcW w:type="dxa" w:w="1661"/>
          </w:tcPr>
          <w:p>
            <w:pPr>
              <w:pStyle w:val="null3"/>
            </w:pPr>
            <w:r>
              <w:rPr/>
              <w:t>法定代表人授权书（证明书）</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提供经审计的2023年度的财务报告或提交投标响应文件截止时间前十二个月内银行资信证明；或政府采购信用担保机构出具的投标担保函。</w:t>
            </w:r>
          </w:p>
        </w:tc>
        <w:tc>
          <w:tcPr>
            <w:tcW w:type="dxa" w:w="1661"/>
          </w:tcPr>
          <w:p>
            <w:pPr>
              <w:pStyle w:val="null3"/>
            </w:pPr>
            <w:r>
              <w:rPr/>
              <w:t>满足政府采购法第二十二条及特殊资格证明材料2包用</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提供投标响应文件递交截止时间前近十二个月内至少一个月已缴纳的纳税凭据或完税证明；依法免税的供应商应提供相关文件证明。</w:t>
            </w:r>
          </w:p>
        </w:tc>
        <w:tc>
          <w:tcPr>
            <w:tcW w:type="dxa" w:w="1661"/>
          </w:tcPr>
          <w:p>
            <w:pPr>
              <w:pStyle w:val="null3"/>
            </w:pPr>
            <w:r>
              <w:rPr/>
              <w:t>满足政府采购法第二十二条及特殊资格证明材料2包用</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提供投标响应文件截止时间前十二个月内已缴存的至少一个月的社会保障资金缴存单据或社保机构开具的社会保险参保缴费情况证明，依法不需要缴纳社会保障资金的单位应提供相关证明材料。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满足政府采购法第二十二条及特殊资格证明材料2包用</w:t>
            </w:r>
          </w:p>
        </w:tc>
      </w:tr>
      <w:tr>
        <w:tc>
          <w:tcPr>
            <w:tcW w:type="dxa" w:w="831"/>
          </w:tcPr>
          <w:p>
            <w:pPr>
              <w:pStyle w:val="null3"/>
            </w:pPr>
            <w:r>
              <w:rPr/>
              <w:t>6</w:t>
            </w:r>
          </w:p>
        </w:tc>
        <w:tc>
          <w:tcPr>
            <w:tcW w:type="dxa" w:w="2492"/>
          </w:tcPr>
          <w:p>
            <w:pPr>
              <w:pStyle w:val="null3"/>
            </w:pPr>
            <w:r>
              <w:rPr/>
              <w:t>提供具有履行本合同所必需的设备和专业技术能力的承诺</w:t>
            </w:r>
          </w:p>
        </w:tc>
        <w:tc>
          <w:tcPr>
            <w:tcW w:type="dxa" w:w="3322"/>
          </w:tcPr>
          <w:p>
            <w:pPr>
              <w:pStyle w:val="null3"/>
            </w:pPr>
            <w:r>
              <w:rPr/>
              <w:t>提供具有履行本合同所必需的设备和专业技术能力的承诺。</w:t>
            </w:r>
          </w:p>
        </w:tc>
        <w:tc>
          <w:tcPr>
            <w:tcW w:type="dxa" w:w="1661"/>
          </w:tcPr>
          <w:p>
            <w:pPr>
              <w:pStyle w:val="null3"/>
            </w:pPr>
            <w:r>
              <w:rPr/>
              <w:t>满足政府采购法第二十二条及特殊资格证明材料2包用</w:t>
            </w:r>
          </w:p>
        </w:tc>
      </w:tr>
      <w:tr>
        <w:tc>
          <w:tcPr>
            <w:tcW w:type="dxa" w:w="831"/>
          </w:tcPr>
          <w:p>
            <w:pPr>
              <w:pStyle w:val="null3"/>
            </w:pPr>
            <w:r>
              <w:rPr/>
              <w:t>7</w:t>
            </w:r>
          </w:p>
        </w:tc>
        <w:tc>
          <w:tcPr>
            <w:tcW w:type="dxa" w:w="2492"/>
          </w:tcPr>
          <w:p>
            <w:pPr>
              <w:pStyle w:val="null3"/>
            </w:pPr>
            <w:r>
              <w:rPr/>
              <w:t>无重大违法记录的书面声明</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满足政府采购法第二十二条及特殊资格证明材料2包用</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5.3评标方法</w:t>
      </w:r>
    </w:p>
    <w:p>
      <w:pPr>
        <w:pStyle w:val="null3"/>
      </w:pPr>
      <w:r>
        <w:rPr/>
        <w:t>采购包1：综合评分法</w:t>
      </w:r>
    </w:p>
    <w:p>
      <w:pPr>
        <w:pStyle w:val="null3"/>
      </w:pPr>
      <w:r>
        <w:rPr/>
        <w:t>采购包2：综合评分法</w:t>
      </w:r>
    </w:p>
    <w:p>
      <w:pPr>
        <w:pStyle w:val="null3"/>
        <w:outlineLvl w:val="2"/>
      </w:pPr>
      <w:r>
        <w:rPr>
          <w:sz w:val="28"/>
          <w:b/>
        </w:rPr>
        <w:t>5.4评标程序</w:t>
      </w:r>
    </w:p>
    <w:p>
      <w:pPr>
        <w:pStyle w:val="null3"/>
        <w:outlineLvl w:val="3"/>
      </w:pPr>
      <w:r>
        <w:rPr>
          <w:sz w:val="24"/>
          <w:b/>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投标有效期</w:t>
            </w:r>
          </w:p>
        </w:tc>
        <w:tc>
          <w:tcPr>
            <w:tcW w:type="dxa" w:w="3322"/>
          </w:tcPr>
          <w:p>
            <w:pPr>
              <w:pStyle w:val="null3"/>
            </w:pPr>
            <w:r>
              <w:rPr/>
              <w:t>投标有效期不足90天的，投标无效。</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投标报价低于成本或高于招标文件公布的采购预算的，投标无效。</w:t>
            </w:r>
          </w:p>
        </w:tc>
        <w:tc>
          <w:tcPr>
            <w:tcW w:type="dxa" w:w="1661"/>
          </w:tcPr>
          <w:p>
            <w:pPr>
              <w:pStyle w:val="null3"/>
            </w:pPr>
            <w:r>
              <w:rPr/>
              <w:t>开标一览表 投标文件封面</w:t>
            </w:r>
          </w:p>
        </w:tc>
      </w:tr>
      <w:tr>
        <w:tc>
          <w:tcPr>
            <w:tcW w:type="dxa" w:w="831"/>
          </w:tcPr>
          <w:p>
            <w:pPr>
              <w:pStyle w:val="null3"/>
            </w:pPr>
            <w:r>
              <w:rPr/>
              <w:t>4</w:t>
            </w:r>
          </w:p>
        </w:tc>
        <w:tc>
          <w:tcPr>
            <w:tcW w:type="dxa" w:w="2492"/>
          </w:tcPr>
          <w:p>
            <w:pPr>
              <w:pStyle w:val="null3"/>
            </w:pPr>
            <w:r>
              <w:rPr/>
              <w:t>商务要求</w:t>
            </w:r>
          </w:p>
        </w:tc>
        <w:tc>
          <w:tcPr>
            <w:tcW w:type="dxa" w:w="3322"/>
          </w:tcPr>
          <w:p>
            <w:pPr>
              <w:pStyle w:val="null3"/>
            </w:pPr>
            <w:r>
              <w:rPr/>
              <w:t>不满足招标文件“3.3商务要求”的，投标无效。</w:t>
            </w:r>
          </w:p>
        </w:tc>
        <w:tc>
          <w:tcPr>
            <w:tcW w:type="dxa" w:w="1661"/>
          </w:tcPr>
          <w:p>
            <w:pPr>
              <w:pStyle w:val="null3"/>
            </w:pPr>
            <w:r>
              <w:rPr/>
              <w:t>商务应答表 投标文件封面</w:t>
            </w:r>
          </w:p>
        </w:tc>
      </w:tr>
      <w:tr>
        <w:tc>
          <w:tcPr>
            <w:tcW w:type="dxa" w:w="831"/>
          </w:tcPr>
          <w:p>
            <w:pPr>
              <w:pStyle w:val="null3"/>
            </w:pPr>
            <w:r>
              <w:rPr/>
              <w:t>5</w:t>
            </w:r>
          </w:p>
        </w:tc>
        <w:tc>
          <w:tcPr>
            <w:tcW w:type="dxa" w:w="2492"/>
          </w:tcPr>
          <w:p>
            <w:pPr>
              <w:pStyle w:val="null3"/>
            </w:pPr>
            <w:r>
              <w:rPr/>
              <w:t>供应商拒绝政府采购领域商业贿赂承诺书</w:t>
            </w:r>
          </w:p>
        </w:tc>
        <w:tc>
          <w:tcPr>
            <w:tcW w:type="dxa" w:w="3322"/>
          </w:tcPr>
          <w:p>
            <w:pPr>
              <w:pStyle w:val="null3"/>
            </w:pPr>
            <w:r>
              <w:rPr/>
              <w:t>未按招标文件规定，提供供应商拒绝政府采购领域商业贿赂承诺书的，投标无效。</w:t>
            </w:r>
          </w:p>
        </w:tc>
        <w:tc>
          <w:tcPr>
            <w:tcW w:type="dxa" w:w="1661"/>
          </w:tcPr>
          <w:p>
            <w:pPr>
              <w:pStyle w:val="null3"/>
            </w:pPr>
            <w:r>
              <w:rPr/>
              <w:t>供应商拒绝政府采购领域商业贿赂承诺书</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投标有效期</w:t>
            </w:r>
          </w:p>
        </w:tc>
        <w:tc>
          <w:tcPr>
            <w:tcW w:type="dxa" w:w="3322"/>
          </w:tcPr>
          <w:p>
            <w:pPr>
              <w:pStyle w:val="null3"/>
            </w:pPr>
            <w:r>
              <w:rPr/>
              <w:t>投标有效期不足90天的，投标无效。</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投标报价低于成本或高于招标文件公布的采购预算的，投标无效。</w:t>
            </w:r>
          </w:p>
        </w:tc>
        <w:tc>
          <w:tcPr>
            <w:tcW w:type="dxa" w:w="1661"/>
          </w:tcPr>
          <w:p>
            <w:pPr>
              <w:pStyle w:val="null3"/>
            </w:pPr>
            <w:r>
              <w:rPr/>
              <w:t>开标一览表 投标文件封面</w:t>
            </w:r>
          </w:p>
        </w:tc>
      </w:tr>
      <w:tr>
        <w:tc>
          <w:tcPr>
            <w:tcW w:type="dxa" w:w="831"/>
          </w:tcPr>
          <w:p>
            <w:pPr>
              <w:pStyle w:val="null3"/>
            </w:pPr>
            <w:r>
              <w:rPr/>
              <w:t>4</w:t>
            </w:r>
          </w:p>
        </w:tc>
        <w:tc>
          <w:tcPr>
            <w:tcW w:type="dxa" w:w="2492"/>
          </w:tcPr>
          <w:p>
            <w:pPr>
              <w:pStyle w:val="null3"/>
            </w:pPr>
            <w:r>
              <w:rPr/>
              <w:t>商务要求</w:t>
            </w:r>
          </w:p>
        </w:tc>
        <w:tc>
          <w:tcPr>
            <w:tcW w:type="dxa" w:w="3322"/>
          </w:tcPr>
          <w:p>
            <w:pPr>
              <w:pStyle w:val="null3"/>
            </w:pPr>
            <w:r>
              <w:rPr/>
              <w:t>不满足招标文件“3.3 商务要求”的，投标无效。</w:t>
            </w:r>
          </w:p>
        </w:tc>
        <w:tc>
          <w:tcPr>
            <w:tcW w:type="dxa" w:w="1661"/>
          </w:tcPr>
          <w:p>
            <w:pPr>
              <w:pStyle w:val="null3"/>
            </w:pPr>
            <w:r>
              <w:rPr/>
              <w:t>商务应答表 投标文件封面</w:t>
            </w:r>
          </w:p>
        </w:tc>
      </w:tr>
      <w:tr>
        <w:tc>
          <w:tcPr>
            <w:tcW w:type="dxa" w:w="831"/>
          </w:tcPr>
          <w:p>
            <w:pPr>
              <w:pStyle w:val="null3"/>
            </w:pPr>
            <w:r>
              <w:rPr/>
              <w:t>5</w:t>
            </w:r>
          </w:p>
        </w:tc>
        <w:tc>
          <w:tcPr>
            <w:tcW w:type="dxa" w:w="2492"/>
          </w:tcPr>
          <w:p>
            <w:pPr>
              <w:pStyle w:val="null3"/>
            </w:pPr>
            <w:r>
              <w:rPr/>
              <w:t>供应商拒绝政府采购领域商业贿赂承诺书</w:t>
            </w:r>
          </w:p>
        </w:tc>
        <w:tc>
          <w:tcPr>
            <w:tcW w:type="dxa" w:w="3322"/>
          </w:tcPr>
          <w:p>
            <w:pPr>
              <w:pStyle w:val="null3"/>
            </w:pPr>
            <w:r>
              <w:rPr/>
              <w:t>未按招标文件规定，提供供应商拒绝政府采购领域商业贿赂承诺书的，投标无效。</w:t>
            </w:r>
          </w:p>
        </w:tc>
        <w:tc>
          <w:tcPr>
            <w:tcW w:type="dxa" w:w="1661"/>
          </w:tcPr>
          <w:p>
            <w:pPr>
              <w:pStyle w:val="null3"/>
            </w:pPr>
            <w:r>
              <w:rPr/>
              <w:t>供应商拒绝政府采购领域商业贿赂承诺书</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需求 分析</w:t>
            </w:r>
          </w:p>
        </w:tc>
        <w:tc>
          <w:tcPr>
            <w:tcW w:type="dxa" w:w="2492"/>
          </w:tcPr>
          <w:p>
            <w:pPr>
              <w:pStyle w:val="null3"/>
            </w:pPr>
            <w:r>
              <w:rPr/>
              <w:t>一、评审内容 项目需求分析必须包括①项目目标②项目范围③工作内容（含技术思路）； 二、评审标准 1、完整性：方案必须全面，对评审内容中的各项要求有详细描述； 2、准确性：方案描述准确，没有实质性错误或明显的描述性错误； 3、针对性：方案能够紧扣项目实际情况，内容科学合理； 三、赋分标准（满分9分） 共3项评审内容，每完全满足一个评审标准得1-0.1分，满分9分。无响应不计分。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测评方案设计</w:t>
            </w:r>
          </w:p>
        </w:tc>
        <w:tc>
          <w:tcPr>
            <w:tcW w:type="dxa" w:w="2492"/>
          </w:tcPr>
          <w:p>
            <w:pPr>
              <w:pStyle w:val="null3"/>
            </w:pPr>
            <w:r>
              <w:rPr/>
              <w:t>一、评审内容 测评方案设计应包括①详细的测评对象情况调查②协助定级备案③等保测评④验证测评： 二、评审标准 1、完整性：方案必须全面，对评审内容中的各项要求有详细描述； 2、准确性：方案描述准确，没有实质性错误或明显的描述性错误； 3、针对性：方案能够紧扣项目实际情况，内容科学合理； 三、赋分标准（满分12分） 共4项评审内容，每完全满足一个评审标准得1-0.1分，满分12分。无响应不计分。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测评方案</w:t>
            </w:r>
          </w:p>
        </w:tc>
        <w:tc>
          <w:tcPr>
            <w:tcW w:type="dxa" w:w="2492"/>
          </w:tcPr>
          <w:p>
            <w:pPr>
              <w:pStyle w:val="null3"/>
            </w:pPr>
            <w:r>
              <w:rPr/>
              <w:t>一、评审内容 测评方案中应包括①漏洞扫描和渗透测试目标、流程、渗透测试技术手段介绍②漏洞扫描和渗透测试风险规避措施等内容； 二、评审标准 1、完整性：方案必须全面，对评审内容中的各项要求有详细描述； 2、准确性：方案描述准确，没有实质性错误或明显的描述性错误； 3、针对性：方案能够紧扣项目实际情况，内容科学合理； 三、赋分标准（满分6分） 共2项评审内容，每完全满足一个评审标准得1.5-0.1分，满分9分。无响应不计分。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测评服务大纲</w:t>
            </w:r>
          </w:p>
        </w:tc>
        <w:tc>
          <w:tcPr>
            <w:tcW w:type="dxa" w:w="2492"/>
          </w:tcPr>
          <w:p>
            <w:pPr>
              <w:pStyle w:val="null3"/>
            </w:pPr>
            <w:r>
              <w:rPr/>
              <w:t>一、评审内容 根据本项目实际需求及特点，提供的方案服务大纲包括①物理安全环境②安全通信网络③安全区域边界④安全计算环境⑤安全管理中心⑥安全管理制度⑦安全管理机构⑧安全管理人员⑨安全建设管理⑩安全运维管理10个方面； 二、评审标准 1、完整性：方案必须全面，对评审内容中的各项要求有详细描述； 2、准确性：方案描述准确，没有实质性错误或明显的描述性错误； 三、赋分标准（满分5分） 共10项评审内容，每完全满足一个评审标准得0.25分，满分5分。无响应不计分。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项目收尾方案</w:t>
            </w:r>
          </w:p>
        </w:tc>
        <w:tc>
          <w:tcPr>
            <w:tcW w:type="dxa" w:w="2492"/>
          </w:tcPr>
          <w:p>
            <w:pPr>
              <w:pStyle w:val="null3"/>
            </w:pPr>
            <w:r>
              <w:rPr/>
              <w:t>一、评审内容 包括①详细的安全整改②复测评③售后服务④项目验收等内容： 二、评审标准 1、完整性：方案必须全面，对评审内容中的各项要求有详细描述； 2、针对性：方案能够紧扣项目实际情况，内容科学合理； 三、赋分标准（满分8分） 共4项评审内容，每完全满足一个评审标准得1-0.1分，满分8分。无响应不计分。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质量管理与风险管理方案</w:t>
            </w:r>
          </w:p>
        </w:tc>
        <w:tc>
          <w:tcPr>
            <w:tcW w:type="dxa" w:w="2492"/>
          </w:tcPr>
          <w:p>
            <w:pPr>
              <w:pStyle w:val="null3"/>
            </w:pPr>
            <w:r>
              <w:rPr/>
              <w:t>一、评审内容 包括①项目质量管理②变更控制管理③项目风险管理④保密控制管理⑤应急预案等措施赋分： 二、评审标准 1、完整性：方案必须全面，对评审内容中的各项要求有详细描述； 2、准确性：方案描述准确，没有实质性错误或明显的描述性错误； 三、赋分标准（满分5分） 共5项评审内容，每完全满足一个评审标准得0.5-0.1分，满分5分。无响应不计分。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项目实施</w:t>
            </w:r>
          </w:p>
        </w:tc>
        <w:tc>
          <w:tcPr>
            <w:tcW w:type="dxa" w:w="2492"/>
          </w:tcPr>
          <w:p>
            <w:pPr>
              <w:pStyle w:val="null3"/>
            </w:pPr>
            <w:r>
              <w:rPr/>
              <w:t>一、评审内容 包括①具备合理、完备的项目实施组织计划②项目管理方案；应包括项目组织架构与任务分工、工作职责、项目进度计划等内容： 二、评审标准 1、完整性：方案必须全面，对评审内容中的各项要求有详细描述； 2、针对性：方案能够紧扣项目实际情况，内容科学合理； 3、准确性：方案描述准确，没有实质性错误或明显的描述性错误； 三、赋分标准（满分4分） 共2项评审内容，每完全满足一个评审标准得1-0.1分，满分6分。无响应不计分。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企业情况</w:t>
            </w:r>
          </w:p>
        </w:tc>
        <w:tc>
          <w:tcPr>
            <w:tcW w:type="dxa" w:w="2492"/>
          </w:tcPr>
          <w:p>
            <w:pPr>
              <w:pStyle w:val="null3"/>
            </w:pPr>
            <w:r>
              <w:rPr/>
              <w:t>供应商具备： 1.具有《信息安全服务资质认证证书》（信息安全风险评估）证明； 2.具有《信息安全服务资质证书》（安全工程类）证明； 3.具有《质量管理体系认证证书》（GB/T 19001-2016 / ISO9001:2015标准）证明； 4.具有《信息安全管理体系认证证书》（GB/T 22080-2016 ISO/IEC 27001:2013标准）证明； 5.具有独立网络安全实验室，渗透测试、漏洞挖掘能力，实验室获得公安部优秀团队表彰证明，且同时能够提供不低于4个的单位CNVD《原创漏洞证明》证书； 6.具有国家信息安全漏洞库(CNNVD)技术支撑单位等级证书(三级)。 共6项每满足1项计1分，最高计6分。未提供不得分。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服务团队</w:t>
            </w:r>
          </w:p>
        </w:tc>
        <w:tc>
          <w:tcPr>
            <w:tcW w:type="dxa" w:w="2492"/>
          </w:tcPr>
          <w:p>
            <w:pPr>
              <w:pStyle w:val="null3"/>
            </w:pPr>
            <w:r>
              <w:rPr/>
              <w:t>一、评审内容 根据本项目实际需求及特点，提供服务团队方案，包括①团队人员配置含（人员实力工作经验和服务团队相关人员社保缴纳情况）； ）二、评审标准 1、完整性：方案必须全面，对评审内容中的各项要求有详细描述； 2、准确性：方案描述准确，没有实质性错误或明显的描述性错误； 3、针对性：方案能够紧扣项目实际情况，内容科学合理； 三、赋分标准（满分4分） 共1项评审内容，每完全满足一个评审标准得2-0.1分，满分6分。无响应不计分。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安全培训服务</w:t>
            </w:r>
          </w:p>
        </w:tc>
        <w:tc>
          <w:tcPr>
            <w:tcW w:type="dxa" w:w="2492"/>
          </w:tcPr>
          <w:p>
            <w:pPr>
              <w:pStyle w:val="null3"/>
            </w:pPr>
            <w:r>
              <w:rPr/>
              <w:t>一、评审内容 根据本项目实际需求及特点，提供安全培训服务方案，包括①政策、安全意识培训（内容包括：网络安全法知识普及、典型信息安全事件知识案例讲解、安全保密意识建立以及前沿信息安全技术知识培训等）②安全技术能力培训（针对主机安全、应用安全、网络安全、数据库安全相关的检查方法进行培训）； 二、评审标准 1、完整性：方案必须全面，对评审内容中的各项要求有详细描述； 2、准确性：方案描述准确，没有实质性错误或明显的描述性错误； 3、针对性：方案能够紧扣项目实际情况，内容科学合理； 三、赋分标准（满分3分） 共2项评审内容，每完全满足一个评审标准得1-0.1分，满分6分。无响应不计分。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近三年类似项目业绩（以合同为准），每提供1份得1分，最高得5分。未提供或提供的合同内容模糊不清无法辨认的不得分。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保密方案</w:t>
            </w:r>
          </w:p>
        </w:tc>
        <w:tc>
          <w:tcPr>
            <w:tcW w:type="dxa" w:w="2492"/>
          </w:tcPr>
          <w:p>
            <w:pPr>
              <w:pStyle w:val="null3"/>
            </w:pPr>
            <w:r>
              <w:rPr/>
              <w:t>一、评审内容 包括：①保密管理制度②保密协议。 二、评审标准 1、完整性：方案必须全面，对评审内容中的各项要求有详细描述； 2、可实施性：切合本项目实际情况，提出步骤清晰、合理的方案； 3、针对性：方案能够紧扣项目实际情况，内容科学合理。 三、赋分标准（满分3分） 共2项评审内容，每完全满足一个评审标准得0.5-0.1分，满分3分。无响应不计分。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评分方法：P=20*Pmin/ Pn 其中：Pmin：合格供应商最终报价中的最低价。 Pn：第n个合格供应商的最终报价。</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一、评审内容 包括①微软操作系统及办公软件服务②国产办公软件及云服务③正版软件管理平台及售后运维服务 二、评审标准 1、完整性：方案必须全面，对评审内容中的各项要求有详细描述； 2、准确性：方案描述准确，没有实质性错误或明显的描述性错误； 3、针对性：方案能够紧扣项目实际情况，内容科学合理； 三、赋分标准（满分18分） 共3项评审内容，每完全满足一个评审标准得2-0.1分，满分18分。无响应不计分。</w:t>
            </w:r>
          </w:p>
        </w:tc>
        <w:tc>
          <w:tcPr>
            <w:tcW w:type="dxa" w:w="831"/>
          </w:tcPr>
          <w:p>
            <w:pPr>
              <w:pStyle w:val="null3"/>
              <w:jc w:val="right"/>
            </w:pPr>
            <w:r>
              <w:rPr/>
              <w:t>18.0000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实施方案</w:t>
            </w:r>
          </w:p>
        </w:tc>
        <w:tc>
          <w:tcPr>
            <w:tcW w:type="dxa" w:w="2492"/>
          </w:tcPr>
          <w:p>
            <w:pPr>
              <w:pStyle w:val="null3"/>
            </w:pPr>
            <w:r>
              <w:rPr/>
              <w:t>一、评审内容 包括①针对本项目实施提出重点、难点并给出相应的解决方案②进度安排③质量保证承诺④验收方案的描述⑤应急解决方案； 二、评审标准 1、完整性：方案必须全面，对评审内容中的各项要求有详细描述； 2、准确性：方案描述准确，没有实质性错误或明显的描述性错误； 3、针对性：方案能够紧扣项目实际情况，内容科学合理； 三、赋分标准（满分15分） 共5项评审内容，每完全满足一个评审标准得1-0.1分，满分15分。无响应不计分。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培训措施</w:t>
            </w:r>
          </w:p>
        </w:tc>
        <w:tc>
          <w:tcPr>
            <w:tcW w:type="dxa" w:w="2492"/>
          </w:tcPr>
          <w:p>
            <w:pPr>
              <w:pStyle w:val="null3"/>
            </w:pPr>
            <w:r>
              <w:rPr/>
              <w:t>一、评审内容 包括①培训方案及培训计划②提供不少于两场面向管理员或最终用户培训； 二、评审标准 1、完整性：方案必须全面，对评审内容中的各项要求有详细描述； 2、针对性：方案能够紧扣项目实际情况，内容科学合理； 3、准确性：方案描述准确，没有实质性错误或明显的描述性错误； 三、赋分标准（满分6分） 共2项评审内容，每完全满足一个评审标准得1-0.1分，满分6分。无响应不计分。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售后服务方案</w:t>
            </w:r>
          </w:p>
        </w:tc>
        <w:tc>
          <w:tcPr>
            <w:tcW w:type="dxa" w:w="2492"/>
          </w:tcPr>
          <w:p>
            <w:pPr>
              <w:pStyle w:val="null3"/>
            </w:pPr>
            <w:r>
              <w:rPr/>
              <w:t>一、评审内容 包括①服务承诺②售后服务保障措施； 二、评审标准 1、完整性：方案必须全面，对评审内容中的各项要求有详细描述； 2、准确性：方案描述准确，没有实质性错误或明显的描述性错误； 3、针对性：方案能够紧扣项目实际情况，内容科学合理； 三、赋分标准（满分9分） 共2项评审内容，每完全满足一个评审标准得1.5-0.1分，满分9分。无响应不计分。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2021年1月1日至今（以同类合同签订时间为准）协助客户完成软件正版化工作制度以及台账建立、帮助客户进行软件正版化的，每个案例有完整证明材料的，每一份得2分，最高得10分，没有案例或者案例材料不全的不得分。 须提供：合同扫描件、供应商协助客户按照国家版权局相关要求完成的软件正版化管理台账及客户认可的官方证明。</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合理化建议</w:t>
            </w:r>
          </w:p>
        </w:tc>
        <w:tc>
          <w:tcPr>
            <w:tcW w:type="dxa" w:w="2492"/>
          </w:tcPr>
          <w:p>
            <w:pPr>
              <w:pStyle w:val="null3"/>
            </w:pPr>
            <w:r>
              <w:rPr/>
              <w:t>根据对项目需求与功能要求的分析，提出项目中的难点、要点及适用于本项目的合理化建议内容： 方案详细具体科学，符合项目需求：5-3.1分； 提供了相关内容，描述简单不具体或存在漏项：3-0.1分； 未提供0分。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服务团队</w:t>
            </w:r>
          </w:p>
        </w:tc>
        <w:tc>
          <w:tcPr>
            <w:tcW w:type="dxa" w:w="2492"/>
          </w:tcPr>
          <w:p>
            <w:pPr>
              <w:pStyle w:val="null3"/>
            </w:pPr>
            <w:r>
              <w:rPr/>
              <w:t>一、评审内容 提供包括① 项目经理至少5年以上的项目管理经验，熟悉软件正版化流程②技术支持工程师需计算机相关专业毕业，软件相关行业工作经验不低于2年。（须提供服务团队相关人员社保缴纳情况） 二、评审标准 1、完整性：方案必须全面，对评审内容中的各项要求有详细描述； 2、针对性：方案能够紧扣项目实际情况，内容科学合理； 3、准确性：方案描述准确，没有实质性错误或明显的描述性错误； 三、赋分标准（满分9分） 共3项评审内容，每完全满足一个评审标准得1-0.1分，满分9分。无响应不计分。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服务响应</w:t>
            </w:r>
          </w:p>
        </w:tc>
        <w:tc>
          <w:tcPr>
            <w:tcW w:type="dxa" w:w="2492"/>
          </w:tcPr>
          <w:p>
            <w:pPr>
              <w:pStyle w:val="null3"/>
            </w:pPr>
            <w:r>
              <w:rPr/>
              <w:t>完全符合本采购包“其他服务要求”，没有负偏离计8分；指标每有一项负偏离扣0.8分（共10项），扣完为止。</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评分方法：P=20×Pmin/ Pn 其中：Pmin：所有有效最后报价的最低价。 Pn：第n个磋商单位的最后报价。</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第6章投标文件格式</w:t>
      </w:r>
    </w:p>
    <w:p>
      <w:pPr>
        <w:pStyle w:val="null3"/>
        <w:outlineLvl w:val="2"/>
      </w:pPr>
      <w:r>
        <w:rPr>
          <w:sz w:val="28"/>
          <w:b/>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详见附件：服务方案</w:t>
      </w:r>
    </w:p>
    <w:p>
      <w:pPr>
        <w:pStyle w:val="null3"/>
        <w:ind w:firstLine="960"/>
      </w:pPr>
      <w:r>
        <w:rPr/>
        <w:t>详见附件：法定代表人授权书（证明书）</w:t>
      </w:r>
    </w:p>
    <w:p>
      <w:pPr>
        <w:pStyle w:val="null3"/>
        <w:ind w:firstLine="960"/>
      </w:pPr>
      <w:r>
        <w:rPr/>
        <w:t>详见附件：供应商拒绝政府采购领域商业贿赂承诺书</w:t>
      </w:r>
    </w:p>
    <w:p>
      <w:pPr>
        <w:pStyle w:val="null3"/>
        <w:ind w:firstLine="960"/>
      </w:pPr>
      <w:r>
        <w:rPr/>
        <w:t>详见附件：满足政府采购法第二十二条及特殊资格证明材料</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详见附件：服务方案</w:t>
      </w:r>
    </w:p>
    <w:p>
      <w:pPr>
        <w:pStyle w:val="null3"/>
        <w:ind w:firstLine="960"/>
      </w:pPr>
      <w:r>
        <w:rPr/>
        <w:t>详见附件：法定代表人授权书（证明书）</w:t>
      </w:r>
    </w:p>
    <w:p>
      <w:pPr>
        <w:pStyle w:val="null3"/>
        <w:ind w:firstLine="960"/>
      </w:pPr>
      <w:r>
        <w:rPr/>
        <w:t>详见附件：供应商拒绝政府采购领域商业贿赂承诺书</w:t>
      </w:r>
    </w:p>
    <w:p>
      <w:pPr>
        <w:pStyle w:val="null3"/>
        <w:ind w:firstLine="960"/>
      </w:pPr>
      <w:r>
        <w:rPr/>
        <w:t>详见附件：满足政府采购法第二十二条及特殊资格证明材料2包用</w:t>
      </w:r>
    </w:p>
    <w:p>
      <w:pPr>
        <w:pStyle w:val="null3"/>
      </w:pPr>
      <w:r>
        <w:rPr/>
        <w:t xml:space="preserve"> </w:t>
        <w:br/>
        <w:br w:type="page"/>
      </w:r>
    </w:p>
    <w:p>
      <w:pPr>
        <w:pStyle w:val="null3"/>
        <w:jc w:val="center"/>
        <w:outlineLvl w:val="1"/>
      </w:pPr>
      <w:r>
        <w:rPr>
          <w:sz w:val="36"/>
          <w:b/>
        </w:rPr>
        <w:t>第7章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