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版本号：240924003</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雁塔校区多层楼宇暖气管道改造项目</w:t>
      </w:r>
    </w:p>
    <w:p>
      <w:pPr>
        <w:pStyle w:val="null3"/>
        <w:jc w:val="center"/>
        <w:outlineLvl w:val="2"/>
      </w:pPr>
      <w:r>
        <w:rPr>
          <w:sz w:val="28"/>
          <w:b/>
        </w:rPr>
        <w:t>采购项目编号：</w:t>
      </w:r>
      <w:r>
        <w:rPr>
          <w:sz w:val="28"/>
          <w:b/>
        </w:rPr>
        <w:t>GXCZ-A1-24570499</w:t>
      </w:r>
      <w:r>
        <w:br/>
      </w:r>
      <w:r>
        <w:br/>
      </w:r>
      <w:r>
        <w:br/>
      </w:r>
    </w:p>
    <w:p>
      <w:pPr>
        <w:pStyle w:val="null3"/>
        <w:jc w:val="center"/>
        <w:outlineLvl w:val="2"/>
      </w:pPr>
      <w:r>
        <w:rPr>
          <w:sz w:val="28"/>
          <w:b/>
        </w:rPr>
        <w:t>西安石油大学</w:t>
      </w:r>
    </w:p>
    <w:p>
      <w:pPr>
        <w:pStyle w:val="null3"/>
        <w:jc w:val="center"/>
        <w:outlineLvl w:val="2"/>
      </w:pPr>
      <w:r>
        <w:rPr>
          <w:sz w:val="28"/>
          <w:b/>
        </w:rPr>
        <w:t>国信国际工程咨询集团股份有限公司</w:t>
      </w:r>
      <w:r>
        <w:rPr>
          <w:sz w:val="28"/>
          <w:b/>
        </w:rPr>
        <w:t>共同编制</w:t>
      </w:r>
    </w:p>
    <w:p>
      <w:pPr>
        <w:pStyle w:val="null3"/>
        <w:jc w:val="center"/>
        <w:outlineLvl w:val="2"/>
      </w:pPr>
      <w:r>
        <w:rPr>
          <w:sz w:val="28"/>
          <w:b/>
        </w:rPr>
        <w:t>2024年09月18日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国信国际工程咨询集团股份有限公司</w:t>
      </w:r>
      <w:r>
        <w:rPr/>
        <w:t>（以下简称“代理机构”）受</w:t>
      </w:r>
      <w:r>
        <w:rPr/>
        <w:t>西安石油大学</w:t>
      </w:r>
      <w:r>
        <w:rPr/>
        <w:t>委托，拟对</w:t>
      </w:r>
      <w:r>
        <w:rPr/>
        <w:t>雁塔校区多层楼宇暖气管道改造项目</w:t>
      </w:r>
      <w:r>
        <w:rPr/>
        <w:t>采用竞争性磋商采购方式进行采购，兹邀请供应商参加本项目的竞争性磋商。</w:t>
      </w:r>
    </w:p>
    <w:p>
      <w:pPr>
        <w:pStyle w:val="null3"/>
        <w:outlineLvl w:val="2"/>
      </w:pPr>
      <w:r>
        <w:rPr>
          <w:sz w:val="28"/>
          <w:b/>
        </w:rPr>
        <w:t>一、采购项目编号：</w:t>
      </w:r>
      <w:r>
        <w:rPr>
          <w:sz w:val="28"/>
          <w:b/>
        </w:rPr>
        <w:t>GXCZ-A1-24570499</w:t>
      </w:r>
    </w:p>
    <w:p>
      <w:pPr>
        <w:pStyle w:val="null3"/>
        <w:outlineLvl w:val="2"/>
      </w:pPr>
      <w:r>
        <w:rPr>
          <w:sz w:val="28"/>
          <w:b/>
        </w:rPr>
        <w:t>二、采购项目名称：</w:t>
      </w:r>
      <w:r>
        <w:rPr>
          <w:sz w:val="28"/>
          <w:b/>
        </w:rPr>
        <w:t>雁塔校区多层楼宇暖气管道改造项目</w:t>
      </w:r>
    </w:p>
    <w:p>
      <w:pPr>
        <w:pStyle w:val="null3"/>
        <w:outlineLvl w:val="2"/>
      </w:pPr>
      <w:r>
        <w:rPr>
          <w:sz w:val="28"/>
          <w:b/>
        </w:rPr>
        <w:t>三、磋商项目简介</w:t>
      </w:r>
    </w:p>
    <w:p>
      <w:pPr>
        <w:pStyle w:val="null3"/>
        <w:ind w:firstLine="480"/>
      </w:pPr>
      <w:r>
        <w:rPr/>
        <w:t>拟对雁塔校区图书馆、幼儿园、音乐系、四号实验楼等楼宇地下盘管以及体育馆南侧室外供暖管道进行更换。同时，对24号楼、26号以及27至30号楼交换站部分管道、板换等供暖设备设施进行维修改造。工期：30日历天。质保期：两年。最高限价：1227808.23元。</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采购包1（多层楼宇暖气管道改造）：属于专门面向中小企业采购。</w:t>
      </w:r>
    </w:p>
    <w:p>
      <w:pPr>
        <w:pStyle w:val="null3"/>
        <w:ind w:firstLine="480"/>
      </w:pPr>
      <w:r>
        <w:rPr/>
        <w:t>（三）本项目的特定资格要求：</w:t>
      </w:r>
    </w:p>
    <w:p>
      <w:pPr>
        <w:pStyle w:val="null3"/>
      </w:pPr>
      <w:r>
        <w:rPr/>
        <w:t>采购包1：</w:t>
      </w:r>
    </w:p>
    <w:p>
      <w:pPr>
        <w:pStyle w:val="null3"/>
      </w:pPr>
      <w:r>
        <w:rPr/>
        <w:t>1、拟派项目经理资质要求：拟派项目经理具备建筑工程专业二级及以上或市政公用工程二级及以上注册建造师执业资格和安全生产考核合格B证，且未担任其他在建工程项目的项目经理。</w:t>
      </w:r>
    </w:p>
    <w:p>
      <w:pPr>
        <w:pStyle w:val="null3"/>
      </w:pPr>
      <w:r>
        <w:rPr/>
        <w:t>2、供应商资质要求。：供应商应具备合法有效的建筑工程施工总承包三级（含三级）及以上或市政公用工程施工总承包三级（含三级）及以上资质，并具备合法有效的安全生产许可证，且在人员、设备、资金等方面具备相应施工能力。</w:t>
      </w:r>
    </w:p>
    <w:p>
      <w:pPr>
        <w:pStyle w:val="null3"/>
      </w:pPr>
      <w:r>
        <w:rPr/>
        <w:t>3、信誉要求：供应商不得在“信用中国(www.creditchina.gov.cn)”网站被列入重大税收违法失信主体；不得被列入“中国政府采购网(www.ccgp.gov.cn)”政府采购严重违法失信行为记录名单，供应商基本信息及申请人拟派项目经理基本信息应在“陕西省建筑市场监管与诚信信息发布平台”可查询。</w:t>
      </w:r>
    </w:p>
    <w:p>
      <w:pPr>
        <w:pStyle w:val="null3"/>
      </w:pPr>
      <w:r>
        <w:rPr/>
        <w:t>4、法定代表人授权委托书：法定代表人参加磋商的，须提供身份证复印件；法定代表人授权他人参加磋商的，须提供法定代表人授权委托书及被授权人身份证复印件。</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西安石油大学</w:t>
      </w:r>
    </w:p>
    <w:p>
      <w:pPr>
        <w:pStyle w:val="null3"/>
      </w:pPr>
      <w:r>
        <w:rPr/>
        <w:t xml:space="preserve"> 地址： </w:t>
      </w:r>
      <w:r>
        <w:rPr/>
        <w:t>西安市电子二路18号</w:t>
      </w:r>
    </w:p>
    <w:p>
      <w:pPr>
        <w:pStyle w:val="null3"/>
      </w:pPr>
      <w:r>
        <w:rPr/>
        <w:t xml:space="preserve"> 邮编： </w:t>
      </w:r>
      <w:r>
        <w:rPr/>
        <w:t>710000</w:t>
      </w:r>
    </w:p>
    <w:p>
      <w:pPr>
        <w:pStyle w:val="null3"/>
      </w:pPr>
      <w:r>
        <w:rPr/>
        <w:t xml:space="preserve"> 联系人： </w:t>
      </w:r>
      <w:r>
        <w:rPr/>
        <w:t>西安石油大学经办</w:t>
      </w:r>
    </w:p>
    <w:p>
      <w:pPr>
        <w:pStyle w:val="null3"/>
      </w:pPr>
      <w:r>
        <w:rPr/>
        <w:t xml:space="preserve"> 联系电话： </w:t>
      </w:r>
      <w:r>
        <w:rPr/>
        <w:t>13572177881</w:t>
      </w:r>
    </w:p>
    <w:p>
      <w:pPr>
        <w:pStyle w:val="null3"/>
        <w:outlineLvl w:val="3"/>
      </w:pPr>
      <w:r>
        <w:rPr>
          <w:sz w:val="24"/>
          <w:b/>
        </w:rPr>
        <w:t>代理机构：</w:t>
      </w:r>
      <w:r>
        <w:rPr>
          <w:sz w:val="24"/>
          <w:b/>
        </w:rPr>
        <w:t>国信国际工程咨询集团股份有限公司</w:t>
      </w:r>
    </w:p>
    <w:p>
      <w:pPr>
        <w:pStyle w:val="null3"/>
      </w:pPr>
      <w:r>
        <w:rPr/>
        <w:t xml:space="preserve"> 地址： </w:t>
      </w:r>
      <w:r>
        <w:rPr/>
        <w:t>西安市雁塔区南二环成长大厦20楼</w:t>
      </w:r>
    </w:p>
    <w:p>
      <w:pPr>
        <w:pStyle w:val="null3"/>
      </w:pPr>
      <w:r>
        <w:rPr/>
        <w:t xml:space="preserve"> 邮编： </w:t>
      </w:r>
      <w:r>
        <w:rPr/>
        <w:t>710000</w:t>
      </w:r>
    </w:p>
    <w:p>
      <w:pPr>
        <w:pStyle w:val="null3"/>
      </w:pPr>
      <w:r>
        <w:rPr/>
        <w:t xml:space="preserve"> 联系人： </w:t>
      </w:r>
      <w:r>
        <w:rPr/>
        <w:t>张海飞、周乐</w:t>
      </w:r>
    </w:p>
    <w:p>
      <w:pPr>
        <w:pStyle w:val="null3"/>
      </w:pPr>
      <w:r>
        <w:rPr/>
        <w:t xml:space="preserve"> 联系电话： </w:t>
      </w:r>
      <w:r>
        <w:rPr/>
        <w:t>15009283469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采购包1：1,227,808.23元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w:t>
            </w:r>
          </w:p>
          <w:p>
            <w:pPr>
              <w:pStyle w:val="null3"/>
            </w:pPr>
            <w:r>
              <w:rPr/>
              <w:t>说明：（1）履约保证金缴纳时间：成交后七日内需要缴纳履约保证金。未在规定时间内缴纳履约保证金视为拒签合同，自动放弃成交资格。 （2）履约保证金缴纳形式：采用银行对公转账、电汇或者金融机构、担保机构出具的保函等非现金的形式对公形式缴纳。 （3）履约保证金的退还：项目验收合格后且质保期满，无任何质量问题、不存在争议，一次性无息退还至成交供应商账户。 （4）履约保证金收取单位名称：西安石油大学，开户行：工行西安电子工业区支行，账号：3700023209014488850</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代理服务费收费标准：代理服务费收费标准：代理服务费收费标准：招标代理服务费:100万元(含)以下收费费率为1.2%、100~200万元(含)收费费率为0.80%、200~500万元(含)收费费率为0.6%、500万元以上收费费率为0.50% . 服务费账户名称：国信国际工程咨询集团股份有限公司陕西分公司 开户行：招商银行西安城南支行 虚拟账号：1299054558101012400015074</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西安石油大学</w:t>
      </w:r>
      <w:r>
        <w:rPr/>
        <w:t>和</w:t>
      </w:r>
      <w:r>
        <w:rPr/>
        <w:t>国信国际工程咨询集团股份有限公司</w:t>
      </w:r>
      <w:r>
        <w:rPr/>
        <w:t>享有。对磋商文件中供应商参加本次政府采购活动应当具备的条件，磋商项目技术、服务、商务及其他要求，评审细则及标准由</w:t>
      </w:r>
      <w:r>
        <w:rPr/>
        <w:t>西安石油大学</w:t>
      </w:r>
      <w:r>
        <w:rPr/>
        <w:t>负责解释。除上述磋商文件内容，其他内容由</w:t>
      </w:r>
      <w:r>
        <w:rPr/>
        <w:t>国信国际工程咨询集团股份有限公司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西安石油大学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国信国际工程咨询集团股份有限公司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供应商针对本项目的施工，必须达到国家及行业现行技术规范标准，符合国家及行业验收合格标准。详细内容以本项目合同约定为准。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国信国际工程咨询集团股份有限公司</w:t>
      </w:r>
      <w:r>
        <w:rPr/>
        <w:t xml:space="preserve"> 负责答复；供应商对采购过程的询问、质疑由</w:t>
      </w:r>
      <w:r>
        <w:rPr/>
        <w:t>国信国际工程咨询集团股份有限公司</w:t>
      </w:r>
      <w:r>
        <w:rPr/>
        <w:t xml:space="preserve"> 负责答复；供应商对采购结果的询问、质疑由 </w:t>
      </w:r>
      <w:r>
        <w:rPr/>
        <w:t>国信国际工程咨询集团股份有限公司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联系人：张海飞、周乐</w:t>
      </w:r>
    </w:p>
    <w:p>
      <w:pPr>
        <w:pStyle w:val="null3"/>
      </w:pPr>
      <w:r>
        <w:rPr/>
        <w:t>联系电话：15009283469</w:t>
      </w:r>
    </w:p>
    <w:p>
      <w:pPr>
        <w:pStyle w:val="null3"/>
      </w:pPr>
      <w:r>
        <w:rPr/>
        <w:t>地址：西安市雁塔区南二环成长大厦20楼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1,227,808.23</w:t>
      </w:r>
    </w:p>
    <w:p>
      <w:pPr>
        <w:pStyle w:val="null3"/>
      </w:pPr>
      <w:r>
        <w:rPr/>
        <w:t>采购包最高限价（元）: 1,227,808.23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暖气管道改造</w:t>
            </w:r>
          </w:p>
        </w:tc>
        <w:tc>
          <w:tcPr>
            <w:tcW w:type="dxa" w:w="1384"/>
          </w:tcPr>
          <w:p>
            <w:pPr>
              <w:pStyle w:val="null3"/>
              <w:jc w:val="right"/>
            </w:pPr>
            <w:r>
              <w:rPr/>
              <w:t>1.00</w:t>
            </w:r>
          </w:p>
        </w:tc>
        <w:tc>
          <w:tcPr>
            <w:tcW w:type="dxa" w:w="1384"/>
          </w:tcPr>
          <w:p>
            <w:pPr>
              <w:pStyle w:val="null3"/>
              <w:jc w:val="right"/>
            </w:pPr>
            <w:r>
              <w:rPr/>
              <w:t>1,227,808.23</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标的名称：暖气管道改造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41"/>
              <w:jc w:val="both"/>
            </w:pPr>
            <w:r>
              <w:rPr>
                <w:rFonts w:ascii="仿宋" w:hAnsi="仿宋" w:cs="仿宋" w:eastAsia="仿宋"/>
                <w:sz w:val="24"/>
                <w:b/>
              </w:rPr>
              <w:t>（一）工程概况</w:t>
            </w:r>
          </w:p>
          <w:p>
            <w:pPr>
              <w:pStyle w:val="null3"/>
              <w:ind w:firstLine="240"/>
              <w:jc w:val="both"/>
            </w:pPr>
            <w:r>
              <w:rPr>
                <w:rFonts w:ascii="仿宋" w:hAnsi="仿宋" w:cs="仿宋" w:eastAsia="仿宋"/>
                <w:sz w:val="24"/>
              </w:rPr>
              <w:t>拟对雁塔校区图书馆、幼儿园、音乐系、四号实验楼等楼宇地下盘管以及体育馆南侧室外供暖管道进行更换。同时，对24号楼、26号以及27至30号楼交换站部分管道、板换等供暖设备设施进行维修改造。</w:t>
            </w:r>
          </w:p>
          <w:p>
            <w:pPr>
              <w:pStyle w:val="null3"/>
              <w:ind w:firstLine="241"/>
              <w:jc w:val="both"/>
            </w:pPr>
            <w:r>
              <w:rPr>
                <w:rFonts w:ascii="仿宋" w:hAnsi="仿宋" w:cs="仿宋" w:eastAsia="仿宋"/>
                <w:sz w:val="24"/>
                <w:b/>
              </w:rPr>
              <w:t>（二）标准要求</w:t>
            </w:r>
          </w:p>
          <w:p>
            <w:pPr>
              <w:pStyle w:val="null3"/>
              <w:ind w:firstLine="480"/>
              <w:jc w:val="both"/>
            </w:pPr>
            <w:r>
              <w:rPr>
                <w:rFonts w:ascii="仿宋" w:hAnsi="仿宋" w:cs="仿宋" w:eastAsia="仿宋"/>
                <w:sz w:val="24"/>
              </w:rPr>
              <w:t>1.</w:t>
            </w:r>
            <w:r>
              <w:rPr>
                <w:rFonts w:ascii="仿宋_gb2312" w:hAnsi="仿宋_gb2312" w:cs="仿宋_gb2312" w:eastAsia="仿宋_gb2312"/>
                <w:sz w:val="24"/>
              </w:rPr>
              <w:t>依据设计文件的要求，本工程项目的施工、材料和设备安装等技术和工艺环节须达到现行的中华人民共和国以及陕西省、西安市的工程建设标准或行业规程的要求。当各级、各类标准及规范中的同一条文规定有出入时，以较严格者为准。</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《民用建筑供暖通风与空气调节设计规范》GB50736-2012</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《供热计量技术规程》JGJ173-2009</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《通风与空调工程施工质量验收规范》 GB50243-2016</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《供热工程项目规范》 GB55010-2021</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《建筑给水排水及采暖工程施工质量验收规范》GB50242-2002</w:t>
            </w:r>
          </w:p>
          <w:p>
            <w:pPr>
              <w:pStyle w:val="null3"/>
              <w:numPr>
                <w:ilvl w:val="0"/>
                <w:numId w:val="1"/>
              </w:numPr>
              <w:jc w:val="both"/>
            </w:pPr>
            <w:r>
              <w:rPr>
                <w:rFonts w:ascii="仿宋_gb2312" w:hAnsi="仿宋_gb2312" w:cs="仿宋_gb2312" w:eastAsia="仿宋_gb2312"/>
                <w:sz w:val="24"/>
              </w:rPr>
              <w:t xml:space="preserve">根据工程设计要求，该项工程项目的施工、材料、设备和安装等除达到以上标准外，还应满足设计要求和招标人在招标文件中的有关要求。 </w:t>
            </w:r>
          </w:p>
          <w:p>
            <w:pPr>
              <w:pStyle w:val="null3"/>
              <w:jc w:val="both"/>
            </w:pPr>
            <w:r>
              <w:rPr>
                <w:rFonts w:ascii="calibri, sans-serif" w:hAnsi="calibri, sans-serif" w:cs="calibri, sans-serif" w:eastAsia="calibri, sans-serif"/>
                <w:sz w:val="21"/>
              </w:rPr>
              <w:t xml:space="preserve">  </w:t>
            </w:r>
            <w:r>
              <w:rPr>
                <w:rFonts w:ascii="仿宋_gb2312" w:hAnsi="仿宋_gb2312" w:cs="仿宋_gb2312" w:eastAsia="仿宋_gb2312"/>
                <w:sz w:val="24"/>
                <w:b/>
              </w:rPr>
              <w:t>（三）拆除要求</w:t>
            </w:r>
          </w:p>
          <w:p>
            <w:pPr>
              <w:pStyle w:val="null3"/>
              <w:ind w:firstLine="480"/>
              <w:jc w:val="both"/>
            </w:pPr>
            <w:r>
              <w:rPr>
                <w:rFonts w:ascii="仿宋_gb2312" w:hAnsi="仿宋_gb2312" w:cs="仿宋_gb2312" w:eastAsia="仿宋_gb2312"/>
                <w:sz w:val="24"/>
              </w:rPr>
              <w:t>本项目拆除的管件阀门等设备，施工方不得自行处理，按学校要求堆放在指定位置。</w:t>
            </w:r>
          </w:p>
          <w:p>
            <w:pPr>
              <w:pStyle w:val="null3"/>
              <w:ind w:left="840"/>
              <w:jc w:val="both"/>
            </w:pPr>
            <w:r>
              <w:rPr>
                <w:rFonts w:ascii="仿宋_gb2312" w:hAnsi="仿宋_gb2312" w:cs="仿宋_gb2312" w:eastAsia="仿宋_gb2312"/>
                <w:sz w:val="24"/>
                <w:b/>
              </w:rPr>
              <w:t>（四）施工要求</w:t>
            </w:r>
          </w:p>
          <w:p>
            <w:pPr>
              <w:pStyle w:val="null3"/>
              <w:jc w:val="both"/>
            </w:pPr>
            <w:r>
              <w:rPr>
                <w:rFonts w:ascii="仿宋_gb2312" w:hAnsi="仿宋_gb2312" w:cs="仿宋_gb2312" w:eastAsia="仿宋_gb2312"/>
                <w:sz w:val="24"/>
              </w:rPr>
              <w:t>　　1、供热管材</w:t>
            </w:r>
          </w:p>
          <w:p>
            <w:pPr>
              <w:pStyle w:val="null3"/>
              <w:ind w:firstLine="720"/>
              <w:jc w:val="both"/>
            </w:pPr>
            <w:r>
              <w:rPr>
                <w:rFonts w:ascii="仿宋_gb2312" w:hAnsi="仿宋_gb2312" w:cs="仿宋_gb2312" w:eastAsia="仿宋_gb2312"/>
                <w:sz w:val="24"/>
              </w:rPr>
              <w:t>采暖管材，采用碳素钢管。DN&lt;50mm为焊接钢管；DN≥50mm采用无缝钢管，</w:t>
            </w:r>
          </w:p>
          <w:p>
            <w:pPr>
              <w:pStyle w:val="null3"/>
              <w:jc w:val="both"/>
            </w:pPr>
            <w:r>
              <w:rPr>
                <w:rFonts w:ascii="仿宋_gb2312" w:hAnsi="仿宋_gb2312" w:cs="仿宋_gb2312" w:eastAsia="仿宋_gb2312"/>
                <w:sz w:val="24"/>
              </w:rPr>
              <w:t>公称直径DN≤32mm的焊接钢管采用螺纹连接，公称直径DN&gt;32mm的焊接钢管和无缝钢管采用焊接。具体见设计图纸。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、当采暖管道必须穿越防火墙时，应预埋钢套管，并在穿墙处一侧设置固定支架。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、供暖管道的敷设应利于排气和泄水。供热管道最低点设泄水装置；最高点设自动排气装置。</w:t>
            </w:r>
          </w:p>
          <w:p>
            <w:pPr>
              <w:pStyle w:val="null3"/>
              <w:ind w:left="60" w:firstLine="240"/>
              <w:jc w:val="both"/>
            </w:pPr>
            <w:r>
              <w:rPr>
                <w:rFonts w:ascii="仿宋_gb2312" w:hAnsi="仿宋_gb2312" w:cs="仿宋_gb2312" w:eastAsia="仿宋_gb2312"/>
                <w:sz w:val="24"/>
              </w:rPr>
              <w:t xml:space="preserve"> 4</w:t>
            </w:r>
            <w:r>
              <w:rPr>
                <w:rFonts w:ascii="仿宋_gb2312" w:hAnsi="仿宋_gb2312" w:cs="仿宋_gb2312" w:eastAsia="仿宋_gb2312"/>
                <w:sz w:val="24"/>
              </w:rPr>
              <w:t>、供热系统试运行前必须用水彻底冲洗管道，直到流出的水无污物为止(用白色滤纸检验)。供暖系统管道在非供暖季应充水保养。</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、管道刷漆：刷漆前管道应除锈去污，保温管刷红丹防锈漆两道：非保温管刷红丹防锈漆两道，银粉漆两道。</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、管道冲洗完毕应通水、加热，进行试运行和调试。当不具备加热条件时，应延期进行。</w:t>
            </w:r>
          </w:p>
          <w:p>
            <w:pPr>
              <w:pStyle w:val="null3"/>
              <w:ind w:left="60" w:firstLine="480"/>
              <w:jc w:val="both"/>
            </w:pPr>
            <w:r>
              <w:rPr>
                <w:rFonts w:ascii="仿宋_gb2312" w:hAnsi="仿宋_gb2312" w:cs="仿宋_gb2312" w:eastAsia="仿宋_gb2312"/>
                <w:sz w:val="24"/>
              </w:rPr>
              <w:t xml:space="preserve"> 7</w:t>
            </w:r>
            <w:r>
              <w:rPr>
                <w:rFonts w:ascii="仿宋_gb2312" w:hAnsi="仿宋_gb2312" w:cs="仿宋_gb2312" w:eastAsia="仿宋_gb2312"/>
                <w:sz w:val="24"/>
              </w:rPr>
              <w:t>、采暖系统安装完毕，管道保温之前应进行水压试验，做水压试验时，试验管道上的阀门应开启，试验管道与非试验管道应隔断。</w:t>
            </w:r>
          </w:p>
          <w:p>
            <w:pPr>
              <w:pStyle w:val="null3"/>
              <w:ind w:left="60" w:firstLine="480"/>
              <w:jc w:val="both"/>
            </w:pPr>
            <w:r>
              <w:rPr>
                <w:rFonts w:ascii="仿宋_gb2312" w:hAnsi="仿宋_gb2312" w:cs="仿宋_gb2312" w:eastAsia="仿宋_gb2312"/>
                <w:sz w:val="24"/>
              </w:rPr>
              <w:t xml:space="preserve"> 8</w:t>
            </w:r>
            <w:r>
              <w:rPr>
                <w:rFonts w:ascii="仿宋_gb2312" w:hAnsi="仿宋_gb2312" w:cs="仿宋_gb2312" w:eastAsia="仿宋_gb2312"/>
                <w:sz w:val="24"/>
              </w:rPr>
              <w:t>、采暖管道穿越防火隔墙、楼板处空隙应采用防火材料封堵。管道穿墙及楼板处应设钢制套管，安装在楼板内的套管应高出地面20mm，底部与楼板底相平，安装在墙壁内的套管，其两端应与饰面相平，穿过厕所、厨房等潮湿房间的管道，套管与管道之间应填实非燃材料，所有留洞位置及尺寸应与土建专业配合施工，务必准确无误。</w:t>
            </w:r>
          </w:p>
          <w:p>
            <w:pPr>
              <w:pStyle w:val="null3"/>
              <w:ind w:left="60" w:firstLine="480"/>
              <w:jc w:val="both"/>
            </w:pPr>
            <w:r>
              <w:rPr>
                <w:rFonts w:ascii="仿宋_gb2312" w:hAnsi="仿宋_gb2312" w:cs="仿宋_gb2312" w:eastAsia="仿宋_gb2312"/>
                <w:sz w:val="24"/>
              </w:rPr>
              <w:t xml:space="preserve"> 9</w:t>
            </w:r>
            <w:r>
              <w:rPr>
                <w:rFonts w:ascii="仿宋_gb2312" w:hAnsi="仿宋_gb2312" w:cs="仿宋_gb2312" w:eastAsia="仿宋_gb2312"/>
                <w:sz w:val="24"/>
              </w:rPr>
              <w:t>、系统试压：水压试验压力应为工作压力的1.5倍，且不应小于0.6MPa。在试验压力下，稳压1h，其压力降不应大于0.05MPa，且不渗不漏。本工程高低区系统试验压力分别为1.20MPa和1.80MPa。</w:t>
            </w:r>
          </w:p>
          <w:p>
            <w:pPr>
              <w:pStyle w:val="null3"/>
              <w:ind w:left="60" w:firstLine="480"/>
              <w:jc w:val="both"/>
            </w:pPr>
            <w:r>
              <w:rPr>
                <w:rFonts w:ascii="仿宋_gb2312" w:hAnsi="仿宋_gb2312" w:cs="仿宋_gb2312" w:eastAsia="仿宋_gb2312"/>
                <w:sz w:val="24"/>
              </w:rPr>
              <w:t xml:space="preserve"> 10</w:t>
            </w:r>
            <w:r>
              <w:rPr>
                <w:rFonts w:ascii="仿宋_gb2312" w:hAnsi="仿宋_gb2312" w:cs="仿宋_gb2312" w:eastAsia="仿宋_gb2312"/>
                <w:sz w:val="24"/>
              </w:rPr>
              <w:t>、室外供热管沟不应直接与建筑物连通。管沟敷设的供热管道进人建筑物或穿过构筑物时，管道穿墙处应设置套管，保温结构应完整，套管与供热管道的间隙应封堵严密。</w:t>
            </w:r>
          </w:p>
          <w:p>
            <w:pPr>
              <w:pStyle w:val="null3"/>
              <w:ind w:left="60" w:firstLine="480"/>
              <w:jc w:val="both"/>
            </w:pPr>
            <w:r>
              <w:rPr>
                <w:rFonts w:ascii="仿宋_gb2312" w:hAnsi="仿宋_gb2312" w:cs="仿宋_gb2312" w:eastAsia="仿宋_gb2312"/>
                <w:sz w:val="24"/>
              </w:rPr>
              <w:t xml:space="preserve"> 11</w:t>
            </w:r>
            <w:r>
              <w:rPr>
                <w:rFonts w:ascii="仿宋_gb2312" w:hAnsi="仿宋_gb2312" w:cs="仿宋_gb2312" w:eastAsia="仿宋_gb2312"/>
                <w:sz w:val="24"/>
              </w:rPr>
              <w:t>、供热管道焊接接头应按规定进行无损检测，对于不具备强度试验条件的管道对焊接缝应进行100%射线或超声检测。</w:t>
            </w:r>
          </w:p>
          <w:p>
            <w:pPr>
              <w:pStyle w:val="null3"/>
              <w:ind w:left="60" w:firstLine="480"/>
              <w:jc w:val="both"/>
            </w:pPr>
            <w:r>
              <w:rPr>
                <w:rFonts w:ascii="仿宋_gb2312" w:hAnsi="仿宋_gb2312" w:cs="仿宋_gb2312" w:eastAsia="仿宋_gb2312"/>
                <w:sz w:val="24"/>
              </w:rPr>
              <w:t>12</w:t>
            </w:r>
            <w:r>
              <w:rPr>
                <w:rFonts w:ascii="仿宋_gb2312" w:hAnsi="仿宋_gb2312" w:cs="仿宋_gb2312" w:eastAsia="仿宋_gb2312"/>
                <w:sz w:val="24"/>
              </w:rPr>
              <w:t>、供热管道安装完成后应进行压力试验和清洗，并应符合下列规定：压力试验所发现的缺陷应待试验压力降至大气压后进行处理，处理后应重新进行压力试验。</w:t>
            </w:r>
          </w:p>
          <w:p>
            <w:pPr>
              <w:pStyle w:val="null3"/>
              <w:ind w:left="60" w:firstLine="480"/>
              <w:jc w:val="both"/>
            </w:pPr>
            <w:r>
              <w:rPr>
                <w:rFonts w:ascii="仿宋_gb2312" w:hAnsi="仿宋_gb2312" w:cs="仿宋_gb2312" w:eastAsia="仿宋_gb2312"/>
                <w:sz w:val="24"/>
              </w:rPr>
              <w:t>13</w:t>
            </w:r>
            <w:r>
              <w:rPr>
                <w:rFonts w:ascii="仿宋_gb2312" w:hAnsi="仿宋_gb2312" w:cs="仿宋_gb2312" w:eastAsia="仿宋_gb2312"/>
                <w:sz w:val="24"/>
              </w:rPr>
              <w:t>、管道保温</w:t>
            </w:r>
          </w:p>
          <w:p>
            <w:pPr>
              <w:pStyle w:val="null3"/>
              <w:ind w:left="60" w:firstLine="480"/>
              <w:jc w:val="both"/>
            </w:pPr>
            <w:r>
              <w:rPr>
                <w:rFonts w:ascii="仿宋_gb2312" w:hAnsi="仿宋_gb2312" w:cs="仿宋_gb2312" w:eastAsia="仿宋_gb2312"/>
                <w:sz w:val="24"/>
              </w:rPr>
              <w:t>13.1</w:t>
            </w:r>
            <w:r>
              <w:rPr>
                <w:rFonts w:ascii="仿宋_gb2312" w:hAnsi="仿宋_gb2312" w:cs="仿宋_gb2312" w:eastAsia="仿宋_gb2312"/>
                <w:sz w:val="24"/>
              </w:rPr>
              <w:t>采暖系统、空调热水系统的设备及管道处于以下场所时需要设置保温系统：</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采暖系统的换热设备、水泵、密闭水箱等设备及附件应设置保温措施；</w:t>
            </w:r>
          </w:p>
          <w:p>
            <w:pPr>
              <w:pStyle w:val="null3"/>
              <w:ind w:left="60" w:firstLine="720"/>
              <w:jc w:val="both"/>
            </w:pPr>
            <w:r>
              <w:rPr>
                <w:rFonts w:ascii="仿宋_gb2312" w:hAnsi="仿宋_gb2312" w:cs="仿宋_gb2312" w:eastAsia="仿宋_gb2312"/>
                <w:sz w:val="24"/>
              </w:rPr>
              <w:t>2)</w:t>
            </w:r>
            <w:r>
              <w:rPr>
                <w:rFonts w:ascii="仿宋_gb2312" w:hAnsi="仿宋_gb2312" w:cs="仿宋_gb2312" w:eastAsia="仿宋_gb2312"/>
                <w:sz w:val="24"/>
              </w:rPr>
              <w:t>采暖的一次热源管道及附件应设置保温措施；</w:t>
            </w:r>
          </w:p>
          <w:p>
            <w:pPr>
              <w:pStyle w:val="null3"/>
              <w:ind w:left="60" w:firstLine="720"/>
              <w:jc w:val="both"/>
            </w:pPr>
            <w:r>
              <w:rPr>
                <w:rFonts w:ascii="仿宋_gb2312" w:hAnsi="仿宋_gb2312" w:cs="仿宋_gb2312" w:eastAsia="仿宋_gb2312"/>
                <w:sz w:val="24"/>
              </w:rPr>
              <w:t>3)</w:t>
            </w:r>
            <w:r>
              <w:rPr>
                <w:rFonts w:ascii="仿宋_gb2312" w:hAnsi="仿宋_gb2312" w:cs="仿宋_gb2312" w:eastAsia="仿宋_gb2312"/>
                <w:sz w:val="24"/>
              </w:rPr>
              <w:t>通过室外、管井、地沟及不采暖房间的采暖管道及附件应设置保温措施；</w:t>
            </w:r>
          </w:p>
          <w:p>
            <w:pPr>
              <w:pStyle w:val="null3"/>
              <w:ind w:left="60" w:firstLine="720"/>
              <w:jc w:val="both"/>
            </w:pPr>
            <w:r>
              <w:rPr>
                <w:rFonts w:ascii="仿宋_gb2312" w:hAnsi="仿宋_gb2312" w:cs="仿宋_gb2312" w:eastAsia="仿宋_gb2312"/>
                <w:sz w:val="24"/>
              </w:rPr>
              <w:t>4)</w:t>
            </w:r>
            <w:r>
              <w:rPr>
                <w:rFonts w:ascii="仿宋_gb2312" w:hAnsi="仿宋_gb2312" w:cs="仿宋_gb2312" w:eastAsia="仿宋_gb2312"/>
                <w:sz w:val="24"/>
              </w:rPr>
              <w:t>室内设置于吊顶内的采暖管道应设置保温措施；</w:t>
            </w:r>
          </w:p>
          <w:p>
            <w:pPr>
              <w:pStyle w:val="null3"/>
              <w:ind w:left="60" w:firstLine="480"/>
              <w:jc w:val="both"/>
            </w:pPr>
            <w:r>
              <w:rPr>
                <w:rFonts w:ascii="仿宋_gb2312" w:hAnsi="仿宋_gb2312" w:cs="仿宋_gb2312" w:eastAsia="仿宋_gb2312"/>
                <w:sz w:val="24"/>
              </w:rPr>
              <w:t>13.2</w:t>
            </w:r>
            <w:r>
              <w:rPr>
                <w:rFonts w:ascii="仿宋_gb2312" w:hAnsi="仿宋_gb2312" w:cs="仿宋_gb2312" w:eastAsia="仿宋_gb2312"/>
                <w:sz w:val="24"/>
              </w:rPr>
              <w:t>穿越不供暖区域的供暖干管和设在管井里的供暖管道均应保温，管径&lt;DN50mm，保温层厚度为28m 管径DN50~125mm,保温层厚度32mm。保温作法详见图纸说明。</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、防腐工程施工需在水管强度试验及风、水管气密性试验合格后进行。而保温工程在防腐后进行。</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、风管、吊架等钢制零配件均需刷二遍防锈漆，外露的还需再刷二遍与周围颜色协调的调和漆。</w:t>
            </w:r>
          </w:p>
          <w:p>
            <w:pPr>
              <w:pStyle w:val="null3"/>
              <w:jc w:val="both"/>
            </w:pPr>
            <w:r>
              <w:rPr>
                <w:rFonts w:ascii="仿宋_gb2312" w:hAnsi="仿宋_gb2312" w:cs="仿宋_gb2312" w:eastAsia="仿宋_gb2312"/>
                <w:sz w:val="24"/>
              </w:rPr>
              <w:t xml:space="preserve">    16</w:t>
            </w:r>
            <w:r>
              <w:rPr>
                <w:rFonts w:ascii="仿宋_gb2312" w:hAnsi="仿宋_gb2312" w:cs="仿宋_gb2312" w:eastAsia="仿宋_gb2312"/>
                <w:sz w:val="24"/>
              </w:rPr>
              <w:t>、所有金属管道、管件和支架等均应做防腐处理，在涂刷底漆前必须清除表面的灰尘污垢锈斑焊渣等物。经除锈处理后刷防锈底漆两遍；对于非保温的明装金属管道、管件及所有支架应先刷防锈底漆两遍，再刷耐热色漆或银粉漆两遍。</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、穿过防火墙处的管道保温材料，应采用不燃材料。</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、检查井人孔盖位于绿化带时，井盖高出地面150</w:t>
            </w:r>
            <w:r>
              <w:rPr>
                <w:rFonts w:ascii="宋体" w:hAnsi="宋体" w:cs="宋体" w:eastAsia="宋体"/>
                <w:sz w:val="24"/>
              </w:rPr>
              <w:t>㎜</w:t>
            </w:r>
            <w:r>
              <w:rPr>
                <w:rFonts w:ascii="仿宋_gb2312" w:hAnsi="仿宋_gb2312" w:cs="仿宋_gb2312" w:eastAsia="仿宋_gb2312"/>
                <w:sz w:val="24"/>
              </w:rPr>
              <w:t>，位于路面时，高出地面50</w:t>
            </w:r>
            <w:r>
              <w:rPr>
                <w:rFonts w:ascii="宋体" w:hAnsi="宋体" w:cs="宋体" w:eastAsia="宋体"/>
                <w:sz w:val="24"/>
              </w:rPr>
              <w:t>㎜，</w:t>
            </w:r>
            <w:r>
              <w:rPr>
                <w:rFonts w:ascii="仿宋_gb2312" w:hAnsi="仿宋_gb2312" w:cs="仿宋_gb2312" w:eastAsia="仿宋_gb2312"/>
                <w:sz w:val="24"/>
              </w:rPr>
              <w:t>周围做斜坡。</w:t>
            </w:r>
          </w:p>
          <w:p>
            <w:pPr>
              <w:pStyle w:val="null3"/>
              <w:ind w:firstLine="480"/>
              <w:jc w:val="both"/>
            </w:pPr>
            <w:r>
              <w:rPr>
                <w:rFonts w:ascii="仿宋" w:hAnsi="仿宋" w:cs="仿宋" w:eastAsia="仿宋"/>
                <w:sz w:val="24"/>
              </w:rPr>
              <w:t>19</w:t>
            </w:r>
            <w:r>
              <w:rPr>
                <w:rFonts w:ascii="仿宋" w:hAnsi="仿宋" w:cs="仿宋" w:eastAsia="仿宋"/>
                <w:sz w:val="24"/>
              </w:rPr>
              <w:t>、及时清理施工现场垃圾。</w:t>
            </w:r>
          </w:p>
          <w:p>
            <w:pPr>
              <w:pStyle w:val="null3"/>
              <w:jc w:val="both"/>
            </w:pPr>
            <w:r>
              <w:rPr>
                <w:rFonts w:ascii="仿宋" w:hAnsi="仿宋" w:cs="仿宋" w:eastAsia="仿宋"/>
                <w:sz w:val="24"/>
                <w:b/>
              </w:rPr>
              <w:t>（五）以下内容为对本工程的最基本要求，包括但不限于：</w:t>
            </w:r>
          </w:p>
          <w:p>
            <w:pPr>
              <w:pStyle w:val="null3"/>
              <w:ind w:firstLine="480"/>
              <w:jc w:val="both"/>
            </w:pPr>
            <w:r>
              <w:rPr>
                <w:rFonts w:ascii="仿宋" w:hAnsi="仿宋" w:cs="仿宋" w:eastAsia="仿宋"/>
                <w:sz w:val="24"/>
              </w:rPr>
              <w:t>1.</w:t>
            </w:r>
            <w:r>
              <w:rPr>
                <w:rFonts w:ascii="仿宋" w:hAnsi="仿宋" w:cs="仿宋" w:eastAsia="仿宋"/>
                <w:sz w:val="24"/>
              </w:rPr>
              <w:t>施工单位项目负责人是安全生产第一责任人，施工单位应建立健全安全生产责任制度和安全教育培训、安全生产检查和安全生产操作规程等各项规章制度；向施工作业人员提供符合相关标准的劳动安全防护用品（具），为施工人员缴纳意外伤害保险。</w:t>
            </w:r>
          </w:p>
          <w:p>
            <w:pPr>
              <w:pStyle w:val="null3"/>
              <w:ind w:firstLine="480"/>
              <w:jc w:val="both"/>
            </w:pPr>
            <w:r>
              <w:rPr>
                <w:rFonts w:ascii="仿宋" w:hAnsi="仿宋" w:cs="仿宋" w:eastAsia="仿宋"/>
                <w:sz w:val="24"/>
              </w:rPr>
              <w:t>2.</w:t>
            </w:r>
            <w:r>
              <w:rPr>
                <w:rFonts w:ascii="仿宋" w:hAnsi="仿宋" w:cs="仿宋" w:eastAsia="仿宋"/>
                <w:sz w:val="24"/>
              </w:rPr>
              <w:t>施工单位应根据工程特点和周边各种管线管网、相邻建筑物以及绿化等其他设施等编制工程安全防护措施方案。该方案经施工单位技术负责人签字批准送建设单位审核后方可施工。</w:t>
            </w:r>
          </w:p>
          <w:p>
            <w:pPr>
              <w:pStyle w:val="null3"/>
              <w:ind w:firstLine="480"/>
              <w:jc w:val="both"/>
            </w:pPr>
            <w:r>
              <w:rPr>
                <w:rFonts w:ascii="仿宋" w:hAnsi="仿宋" w:cs="仿宋" w:eastAsia="仿宋"/>
                <w:sz w:val="24"/>
              </w:rPr>
              <w:t>3.</w:t>
            </w:r>
            <w:r>
              <w:rPr>
                <w:rFonts w:ascii="仿宋" w:hAnsi="仿宋" w:cs="仿宋" w:eastAsia="仿宋"/>
                <w:sz w:val="24"/>
              </w:rPr>
              <w:t>施工单位在施工现场应建立项目部，并按规定配备专职安全员。现场专职安全员必须持有安全生产考核合格证。</w:t>
            </w:r>
          </w:p>
          <w:p>
            <w:pPr>
              <w:pStyle w:val="null3"/>
              <w:ind w:firstLine="480"/>
              <w:jc w:val="both"/>
            </w:pPr>
            <w:r>
              <w:rPr>
                <w:rFonts w:ascii="仿宋" w:hAnsi="仿宋" w:cs="仿宋" w:eastAsia="仿宋"/>
                <w:sz w:val="24"/>
              </w:rPr>
              <w:t>4.</w:t>
            </w:r>
            <w:r>
              <w:rPr>
                <w:rFonts w:ascii="仿宋" w:hAnsi="仿宋" w:cs="仿宋" w:eastAsia="仿宋"/>
                <w:sz w:val="24"/>
              </w:rPr>
              <w:t>关键部位作业人员必须经专业安全技术培训后方可上岗。必要时施工前施工单位对施工作业人员进行安全技术交底，派出技术人员到现场指导，专职安全员在现场监督安全管理。另外施工单位必须制定安全事故应急救援方案。</w:t>
            </w:r>
          </w:p>
          <w:p>
            <w:pPr>
              <w:pStyle w:val="null3"/>
              <w:ind w:firstLine="480"/>
              <w:jc w:val="both"/>
            </w:pPr>
            <w:r>
              <w:rPr>
                <w:rFonts w:ascii="仿宋" w:hAnsi="仿宋" w:cs="仿宋" w:eastAsia="仿宋"/>
                <w:sz w:val="24"/>
              </w:rPr>
              <w:t>5.</w:t>
            </w:r>
            <w:r>
              <w:rPr>
                <w:rFonts w:ascii="仿宋" w:hAnsi="仿宋" w:cs="仿宋" w:eastAsia="仿宋"/>
                <w:sz w:val="24"/>
              </w:rPr>
              <w:t>拆除时不得野蛮施工、不得对附近建筑物、路灯、规划外的树木等造成损害。</w:t>
            </w:r>
          </w:p>
          <w:p>
            <w:pPr>
              <w:pStyle w:val="null3"/>
              <w:ind w:firstLine="480"/>
              <w:jc w:val="both"/>
            </w:pPr>
            <w:r>
              <w:rPr>
                <w:rFonts w:ascii="仿宋" w:hAnsi="仿宋" w:cs="仿宋" w:eastAsia="仿宋"/>
                <w:sz w:val="24"/>
              </w:rPr>
              <w:t>6.</w:t>
            </w:r>
            <w:r>
              <w:rPr>
                <w:rFonts w:ascii="仿宋" w:hAnsi="仿宋" w:cs="仿宋" w:eastAsia="仿宋"/>
                <w:sz w:val="24"/>
              </w:rPr>
              <w:t>施工单位对工程的周边环境和施工区域内的环境卫生负责。</w:t>
            </w:r>
          </w:p>
          <w:p>
            <w:pPr>
              <w:pStyle w:val="null3"/>
              <w:jc w:val="both"/>
            </w:pPr>
            <w:r>
              <w:rPr>
                <w:rFonts w:ascii="仿宋" w:hAnsi="仿宋" w:cs="仿宋" w:eastAsia="仿宋"/>
                <w:sz w:val="24"/>
                <w:b/>
              </w:rPr>
              <w:t>五、项目管理要求</w:t>
            </w:r>
          </w:p>
          <w:p>
            <w:pPr>
              <w:pStyle w:val="null3"/>
              <w:ind w:firstLine="480"/>
              <w:jc w:val="both"/>
            </w:pPr>
            <w:r>
              <w:rPr>
                <w:rFonts w:ascii="仿宋" w:hAnsi="仿宋" w:cs="仿宋" w:eastAsia="仿宋"/>
                <w:sz w:val="24"/>
              </w:rPr>
              <w:t>1.</w:t>
            </w:r>
            <w:r>
              <w:rPr>
                <w:rFonts w:ascii="仿宋" w:hAnsi="仿宋" w:cs="仿宋" w:eastAsia="仿宋"/>
                <w:sz w:val="24"/>
              </w:rPr>
              <w:t>本项目不得分包、转包。</w:t>
            </w:r>
          </w:p>
          <w:p>
            <w:pPr>
              <w:pStyle w:val="null3"/>
              <w:ind w:firstLine="480"/>
              <w:jc w:val="both"/>
            </w:pPr>
            <w:r>
              <w:rPr>
                <w:rFonts w:ascii="仿宋" w:hAnsi="仿宋" w:cs="仿宋" w:eastAsia="仿宋"/>
                <w:sz w:val="24"/>
              </w:rPr>
              <w:t>2.</w:t>
            </w:r>
            <w:r>
              <w:rPr>
                <w:rFonts w:ascii="仿宋" w:hAnsi="仿宋" w:cs="仿宋" w:eastAsia="仿宋"/>
                <w:sz w:val="24"/>
              </w:rPr>
              <w:t>供应商在竞争性磋商响应文件中承诺的项目负责人及相应资质的专业技术、安全管理人员未经采购人书面同意，承包人不得调换和撤离，并按工程进度及时到位。采购人有权要求施工单位撤换工作不负责任、管理不力、贻误工期和造成严重安全事故和违法乱纪的专业技术、安全管理人员。如项目负责人及相应资质的专业技术人员未按要求到位，视作违约，采购人有权按合同约定进行罚款直至单方面终止合同。</w:t>
            </w:r>
          </w:p>
          <w:p>
            <w:pPr>
              <w:pStyle w:val="null3"/>
              <w:ind w:firstLine="480"/>
              <w:jc w:val="both"/>
            </w:pPr>
            <w:r>
              <w:rPr>
                <w:rFonts w:ascii="仿宋" w:hAnsi="仿宋" w:cs="仿宋" w:eastAsia="仿宋"/>
                <w:sz w:val="24"/>
              </w:rPr>
              <w:t>3.</w:t>
            </w:r>
            <w:r>
              <w:rPr>
                <w:rFonts w:ascii="仿宋" w:hAnsi="仿宋" w:cs="仿宋" w:eastAsia="仿宋"/>
                <w:sz w:val="24"/>
              </w:rPr>
              <w:t>成交供应商须无条件接受甲方代表的现场检查和管理。</w:t>
            </w:r>
          </w:p>
          <w:p>
            <w:pPr>
              <w:pStyle w:val="null3"/>
              <w:ind w:firstLine="480"/>
              <w:jc w:val="both"/>
            </w:pPr>
            <w:r>
              <w:rPr>
                <w:rFonts w:ascii="仿宋" w:hAnsi="仿宋" w:cs="仿宋" w:eastAsia="仿宋"/>
                <w:sz w:val="24"/>
              </w:rPr>
              <w:t>4.</w:t>
            </w:r>
            <w:r>
              <w:rPr>
                <w:rFonts w:ascii="仿宋" w:hAnsi="仿宋" w:cs="仿宋" w:eastAsia="仿宋"/>
                <w:sz w:val="24"/>
              </w:rPr>
              <w:t>成交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w:t>
            </w:r>
          </w:p>
          <w:p>
            <w:pPr>
              <w:pStyle w:val="null3"/>
            </w:pPr>
            <w:r>
              <w:rPr>
                <w:rFonts w:ascii="仿宋" w:hAnsi="仿宋" w:cs="仿宋" w:eastAsia="仿宋"/>
                <w:sz w:val="24"/>
              </w:rPr>
              <w:t>5.</w:t>
            </w:r>
            <w:r>
              <w:rPr>
                <w:rFonts w:ascii="仿宋" w:hAnsi="仿宋" w:cs="仿宋" w:eastAsia="仿宋"/>
                <w:sz w:val="24"/>
              </w:rPr>
              <w:t>施工的建筑垃圾应清运至有关部门指定的地点，做到工完场清，不留死角。</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工程质量达到“合格”标准，供应商必须严格按照有关施工和验收规范进行施工，符合施工质量验收标准以及国家、省、市、行业及地方标准等相关规范要求。</w:t>
      </w:r>
    </w:p>
    <w:p>
      <w:pPr>
        <w:pStyle w:val="null3"/>
        <w:ind w:firstLine="480"/>
      </w:pPr>
      <w:r>
        <w:rPr/>
        <w:t>三、针对本项目的其他技术服务要求：</w:t>
      </w:r>
    </w:p>
    <w:p>
      <w:pPr>
        <w:pStyle w:val="null3"/>
      </w:pPr>
      <w:r>
        <w:rPr/>
        <w:t>项目管理要求 1.供应商在竞争性磋商响应文件中承诺的项目负责人及相应资质的专业技术、安全管理人员未经采购人书面同意，承包人不得调换和撤离，并按工程进度及时到位。采购人有权要求供应商撤换工作不负责任、管理不力、贻误工期和造成严重安全事故和违法乱纪的专业技术、安全管理人员。如项目负责人及相应资质的专业技术人员未按要求到位，视作违约，采购人有权按合同约定进行罚款直至单方面终止合同。 2.供应商须无条件接受采购人的现场检查和管理。 3.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 4.施工的建筑垃圾应清运至有关部门指定的地点，做到工完场清，不留死角。</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承包人递交的工程结算资料应详实、准确，经发包人委托的造价咨询机构进行结算审核，审减额在5%以内（含5%）的审核成果费由发包人承担；审减额超过5%的，超出部分的审计成果费由承包人承担。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9月1日以来至少一个月的纳税证明或完税证明，纳税证明或完税证明上应有代收机构或税务机关的公章或业务专用章；其他组织和自然人提供自2023年9月1日以来至少一个月缴纳税收的凭据；依法免税的或者依法不需缴税的供应商应提供相关文件证明； ③社会保障资金缴纳证明：提供自2023年9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投标文件提交截止日一年内银行出具的资信证明，④供应商注册时间截至投标文件提交截止日不足一年的，也可提供在工商管理部门备案的公司章程。｝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 强制优先采购产品承诺函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拟派项目经理资质要求</w:t>
            </w:r>
          </w:p>
        </w:tc>
        <w:tc>
          <w:tcPr>
            <w:tcW w:type="dxa" w:w="3322"/>
          </w:tcPr>
          <w:p>
            <w:pPr>
              <w:pStyle w:val="null3"/>
            </w:pPr>
            <w:r>
              <w:rPr/>
              <w:t>拟派项目经理具备建筑工程专业二级及以上或市政公用工程二级及以上注册建造师执业资格和安全生产考核合格B证，且未担任其他在建工程项目的项目经理。</w:t>
            </w:r>
          </w:p>
        </w:tc>
        <w:tc>
          <w:tcPr>
            <w:tcW w:type="dxa" w:w="1661"/>
          </w:tcPr>
          <w:p>
            <w:pPr>
              <w:pStyle w:val="null3"/>
            </w:pPr>
            <w:r>
              <w:rPr/>
              <w:t>项目管理机构组成表 主要人员简历表</w:t>
            </w:r>
          </w:p>
        </w:tc>
      </w:tr>
      <w:tr>
        <w:tc>
          <w:tcPr>
            <w:tcW w:type="dxa" w:w="831"/>
          </w:tcPr>
          <w:p>
            <w:pPr>
              <w:pStyle w:val="null3"/>
            </w:pPr>
            <w:r>
              <w:rPr/>
              <w:t>2</w:t>
            </w:r>
          </w:p>
        </w:tc>
        <w:tc>
          <w:tcPr>
            <w:tcW w:type="dxa" w:w="2492"/>
          </w:tcPr>
          <w:p>
            <w:pPr>
              <w:pStyle w:val="null3"/>
            </w:pPr>
            <w:r>
              <w:rPr/>
              <w:t>供应商资质要求。</w:t>
            </w:r>
          </w:p>
        </w:tc>
        <w:tc>
          <w:tcPr>
            <w:tcW w:type="dxa" w:w="3322"/>
          </w:tcPr>
          <w:p>
            <w:pPr>
              <w:pStyle w:val="null3"/>
            </w:pPr>
            <w:r>
              <w:rPr/>
              <w:t>供应商应具备合法有效的建筑工程施工总承包三级（含三级）及以上或市政公用工程施工总承包三级（含三级）及以上资质，并具备合法有效的安全生产许可证，且在人员、设备、资金等方面具备相应施工能力。</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信誉要求</w:t>
            </w:r>
          </w:p>
        </w:tc>
        <w:tc>
          <w:tcPr>
            <w:tcW w:type="dxa" w:w="3322"/>
          </w:tcPr>
          <w:p>
            <w:pPr>
              <w:pStyle w:val="null3"/>
            </w:pPr>
            <w:r>
              <w:rPr/>
              <w:t>供应商不得在“信用中国(www.creditchina.gov.cn)”网站被列入重大税收违法失信主体；不得被列入“中国政府采购网(www.ccgp.gov.cn)”政府采购严重违法失信行为记录名单，供应商基本信息及申请人拟派项目经理基本信息应在“陕西省建筑市场监管与诚信信息发布平台”可查询。</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法定代表人授权委托书</w:t>
            </w:r>
          </w:p>
        </w:tc>
        <w:tc>
          <w:tcPr>
            <w:tcW w:type="dxa" w:w="3322"/>
          </w:tcPr>
          <w:p>
            <w:pPr>
              <w:pStyle w:val="null3"/>
            </w:pPr>
            <w:r>
              <w:rPr/>
              <w:t>法定代表人参加磋商的，须提供身份证复印件；法定代表人授权他人参加磋商的，须提供法定代表人授权委托书及被授权人身份证复印件。</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工期符合磋商文件或磋商公告要求</w:t>
            </w:r>
          </w:p>
        </w:tc>
        <w:tc>
          <w:tcPr>
            <w:tcW w:type="dxa" w:w="1661"/>
          </w:tcPr>
          <w:p>
            <w:pPr>
              <w:pStyle w:val="null3"/>
            </w:pPr>
            <w:r>
              <w:rPr/>
              <w:t>技术服务合同条款及其他商务要求偏差表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符合磋商文件要求</w:t>
            </w:r>
          </w:p>
        </w:tc>
        <w:tc>
          <w:tcPr>
            <w:tcW w:type="dxa" w:w="1661"/>
          </w:tcPr>
          <w:p>
            <w:pPr>
              <w:pStyle w:val="null3"/>
            </w:pPr>
            <w:r>
              <w:rPr/>
              <w:t>技术服务合同条款及其他商务要求偏差表</w:t>
            </w:r>
          </w:p>
        </w:tc>
      </w:tr>
      <w:tr>
        <w:tc>
          <w:tcPr>
            <w:tcW w:type="dxa" w:w="831"/>
          </w:tcPr>
          <w:p>
            <w:pPr>
              <w:pStyle w:val="null3"/>
            </w:pPr>
            <w:r>
              <w:rPr/>
              <w:t>4</w:t>
            </w:r>
          </w:p>
        </w:tc>
        <w:tc>
          <w:tcPr>
            <w:tcW w:type="dxa" w:w="2492"/>
          </w:tcPr>
          <w:p>
            <w:pPr>
              <w:pStyle w:val="null3"/>
            </w:pPr>
            <w:r>
              <w:rPr/>
              <w:t>质量保证期</w:t>
            </w:r>
          </w:p>
        </w:tc>
        <w:tc>
          <w:tcPr>
            <w:tcW w:type="dxa" w:w="3322"/>
          </w:tcPr>
          <w:p>
            <w:pPr>
              <w:pStyle w:val="null3"/>
            </w:pPr>
            <w:r>
              <w:rPr/>
              <w:t>符合磋商文件要求</w:t>
            </w:r>
          </w:p>
        </w:tc>
        <w:tc>
          <w:tcPr>
            <w:tcW w:type="dxa" w:w="1661"/>
          </w:tcPr>
          <w:p>
            <w:pPr>
              <w:pStyle w:val="null3"/>
            </w:pPr>
            <w:r>
              <w:rPr/>
              <w:t>技术服务合同条款及其他商务要求偏差表</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符合磋商文件要求</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报价有效期</w:t>
            </w:r>
          </w:p>
        </w:tc>
        <w:tc>
          <w:tcPr>
            <w:tcW w:type="dxa" w:w="3322"/>
          </w:tcPr>
          <w:p>
            <w:pPr>
              <w:pStyle w:val="null3"/>
            </w:pPr>
            <w:r>
              <w:rPr/>
              <w:t>符合磋商文件要求</w:t>
            </w:r>
          </w:p>
        </w:tc>
        <w:tc>
          <w:tcPr>
            <w:tcW w:type="dxa" w:w="1661"/>
          </w:tcPr>
          <w:p>
            <w:pPr>
              <w:pStyle w:val="null3"/>
            </w:pPr>
            <w:r>
              <w:rPr/>
              <w:t>响应文件封面 响应函</w:t>
            </w:r>
          </w:p>
        </w:tc>
      </w:tr>
      <w:tr>
        <w:tc>
          <w:tcPr>
            <w:tcW w:type="dxa" w:w="831"/>
          </w:tcPr>
          <w:p>
            <w:pPr>
              <w:pStyle w:val="null3"/>
            </w:pPr>
            <w:r>
              <w:rPr/>
              <w:t>7</w:t>
            </w:r>
          </w:p>
        </w:tc>
        <w:tc>
          <w:tcPr>
            <w:tcW w:type="dxa" w:w="2492"/>
          </w:tcPr>
          <w:p>
            <w:pPr>
              <w:pStyle w:val="null3"/>
            </w:pPr>
            <w:r>
              <w:rPr/>
              <w:t>响应报价</w:t>
            </w:r>
          </w:p>
        </w:tc>
        <w:tc>
          <w:tcPr>
            <w:tcW w:type="dxa" w:w="3322"/>
          </w:tcPr>
          <w:p>
            <w:pPr>
              <w:pStyle w:val="null3"/>
            </w:pPr>
            <w:r>
              <w:rPr/>
              <w:t>报价未超过最高限价</w:t>
            </w:r>
          </w:p>
        </w:tc>
        <w:tc>
          <w:tcPr>
            <w:tcW w:type="dxa" w:w="1661"/>
          </w:tcPr>
          <w:p>
            <w:pPr>
              <w:pStyle w:val="null3"/>
            </w:pPr>
            <w:r>
              <w:rPr/>
              <w:t>响应文件封面 已标价工程量清单 报价函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施工方案总体思路清晰、合理、可操作性强、可执行程度强，且能很好推动项目实施，得6分；施工方案总体思路基本明确、可行性、合理性较强，得4分；方案思路模糊、可行性、合理性一般，得2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确保工程质量的技术组织措施；措施明确、合理，计划完备、可行性强，得6分；措施基本完备、有较强可行性，得4分；措施可行性、合理性一般，得2分；未提供不计分。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确保安全生产的技术组织措施；措施明确、合理，计划完备、可行性强，得5分；措施基本完备、有较强可行性，得3分；措施可行性、合理性一般，得1分；未提供不计分。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确保文明施工的技术组织措施及环境保护措施；措施明确、合理，计划完备、可行性强，得5分；措施基本完备、有较强可行性，得3分；措施可行性、合理性一般，得1分；未提供不计分。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确保工期的技术组织措施；措施明确、合理，计划完备、可行性强，得5分；措施 基本完备、有较强可行性，得3分；措施可行性、合理性一般，得1分；未提供不计分。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施工机械配备和材料投入计划；内容完整、计划合理得5分；内容基本完整、计划比较合理得3分；内容不够完整、计划欠合理得1分；未提供不计分。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施工进度表或施工网络图纸</w:t>
            </w:r>
          </w:p>
        </w:tc>
        <w:tc>
          <w:tcPr>
            <w:tcW w:type="dxa" w:w="2492"/>
          </w:tcPr>
          <w:p>
            <w:pPr>
              <w:pStyle w:val="null3"/>
            </w:pPr>
            <w:r>
              <w:rPr/>
              <w:t>施工进度表或施工网络图纸详细表明本项目涉及的暖气改造全流程实施的时间节点和时间进度安排，详细、合理、可行性强得5；相对详细、比较合理、有可行性得3分；安排不详细但不影响具体项目实施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人员劳动力安排计划</w:t>
            </w:r>
          </w:p>
        </w:tc>
        <w:tc>
          <w:tcPr>
            <w:tcW w:type="dxa" w:w="2492"/>
          </w:tcPr>
          <w:p>
            <w:pPr>
              <w:pStyle w:val="null3"/>
            </w:pPr>
            <w:r>
              <w:rPr/>
              <w:t>除项目负责人以外的人员劳动力安排计划：团队人员搭配合理，充分满足项目需求，具有较强的可行性、科学性、合理性得5分；项目组织人员搭配基本满足项目需求，可行性、科学性及合理性一般，得3分；项目组织人员搭配不合理，难以满足项目需求，可行性、合理性较差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施工总平面布置图、现场临时设施布置</w:t>
            </w:r>
          </w:p>
        </w:tc>
        <w:tc>
          <w:tcPr>
            <w:tcW w:type="dxa" w:w="2492"/>
          </w:tcPr>
          <w:p>
            <w:pPr>
              <w:pStyle w:val="null3"/>
            </w:pPr>
            <w:r>
              <w:rPr/>
              <w:t>施工总平面布置图、现场临时设施布置；施工现场平面布置科学合理、临时设施解决方案针对性强、扰民问题解决方案或措施完善得4分，基本合理可行得2分，不够合理得1分，未提供不计分；未提供不计分。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新技术、新产品、新工艺、新材料应用、施工现场扬尘预防措施</w:t>
            </w:r>
          </w:p>
        </w:tc>
        <w:tc>
          <w:tcPr>
            <w:tcW w:type="dxa" w:w="2492"/>
          </w:tcPr>
          <w:p>
            <w:pPr>
              <w:pStyle w:val="null3"/>
            </w:pPr>
            <w:r>
              <w:rPr/>
              <w:t>新技术、新产品、新工艺、新材料应用、施工现场扬尘预防措施。满足项目需求，具有较强的可行性、科学性、合理性得4分；基本满足项目需求，可行性、科学性及合理性一般，得2分；难以满足项目需求，可行性、合理性较差得1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主要材料质量</w:t>
            </w:r>
          </w:p>
        </w:tc>
        <w:tc>
          <w:tcPr>
            <w:tcW w:type="dxa" w:w="2492"/>
          </w:tcPr>
          <w:p>
            <w:pPr>
              <w:pStyle w:val="null3"/>
            </w:pPr>
            <w:r>
              <w:rPr/>
              <w:t>根据供应商提供的所投主要材料（板换、供热管材）产品选型的合理性、质量保证、环保性能等（内容包括但不限于材料名称、品牌、规格、材质及主材检测报告、技术参数性能证明材料等资料）进行评分：提供主材及清单内容完整齐全，技术参数性能完全满足采购人要求得6分；提供主材及清单内容基本齐全，技术参数性能基本满足采购人要求得3分；未提供质量认证报告或相关证明的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主要材料</w:t>
            </w:r>
          </w:p>
        </w:tc>
      </w:tr>
      <w:tr>
        <w:tc>
          <w:tcPr>
            <w:tcW w:type="dxa" w:w="831"/>
            <w:vMerge/>
          </w:tcPr>
          <w:p/>
        </w:tc>
        <w:tc>
          <w:tcPr>
            <w:tcW w:type="dxa" w:w="1661"/>
          </w:tcPr>
          <w:p>
            <w:pPr>
              <w:pStyle w:val="null3"/>
            </w:pPr>
            <w:r>
              <w:rPr/>
              <w:t>主要材料来源</w:t>
            </w:r>
          </w:p>
        </w:tc>
        <w:tc>
          <w:tcPr>
            <w:tcW w:type="dxa" w:w="2492"/>
          </w:tcPr>
          <w:p>
            <w:pPr>
              <w:pStyle w:val="null3"/>
            </w:pPr>
            <w:r>
              <w:rPr/>
              <w:t>供应商根据拟投入的主要材料（供热管材、板换）的供货渠道、来源的合法性提供相关证明材料，提供热管材和板换证明材料全部提供的得6分，只提供供热管材证明材料的得4分，只提供板换的得2分，不提供的得0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主要材料</w:t>
            </w:r>
          </w:p>
        </w:tc>
      </w:tr>
      <w:tr>
        <w:tc>
          <w:tcPr>
            <w:tcW w:type="dxa" w:w="831"/>
            <w:vMerge/>
          </w:tcPr>
          <w:p/>
        </w:tc>
        <w:tc>
          <w:tcPr>
            <w:tcW w:type="dxa" w:w="1661"/>
          </w:tcPr>
          <w:p>
            <w:pPr>
              <w:pStyle w:val="null3"/>
            </w:pPr>
            <w:r>
              <w:rPr/>
              <w:t>企业业绩</w:t>
            </w:r>
          </w:p>
        </w:tc>
        <w:tc>
          <w:tcPr>
            <w:tcW w:type="dxa" w:w="2492"/>
          </w:tcPr>
          <w:p>
            <w:pPr>
              <w:pStyle w:val="null3"/>
            </w:pPr>
            <w:r>
              <w:rPr/>
              <w:t>供应商须提供近三年类似业绩证明材料（2021年1月至今，以合同签订日期为准），每具备一项上述业绩得2分，最高得8分。证明材料不全的不予赋分。（提供合同或中标通知书）</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价格分统一采用低价优先法计算，即满足磋商文件要求且磋商价格最低的磋商报价为评标基准价，其价格分为满分。其他供应商的价格分统一按照下列公式计算： 价格分=(评标基准价／磋商报价)×报价分值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详见附件：技术服务合同条款及其他商务要求偏差表</w:t>
      </w:r>
    </w:p>
    <w:p>
      <w:pPr>
        <w:pStyle w:val="null3"/>
        <w:ind w:firstLine="960"/>
      </w:pPr>
      <w:r>
        <w:rPr/>
        <w:t>详见附件：施工组织设计</w:t>
      </w:r>
    </w:p>
    <w:p>
      <w:pPr>
        <w:pStyle w:val="null3"/>
        <w:ind w:firstLine="960"/>
      </w:pPr>
      <w:r>
        <w:rPr/>
        <w:t>详见附件：主要材料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