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电磁频谱效应测试平台建设（一期）采购项目</w:t>
      </w:r>
    </w:p>
    <w:p>
      <w:pPr>
        <w:pStyle w:val="null3"/>
        <w:jc w:val="center"/>
        <w:outlineLvl w:val="2"/>
      </w:pPr>
      <w:r>
        <w:rPr>
          <w:sz w:val="28"/>
          <w:b/>
        </w:rPr>
        <w:t>采购项目编号：</w:t>
      </w:r>
      <w:r>
        <w:rPr>
          <w:sz w:val="28"/>
          <w:b/>
        </w:rPr>
        <w:t>ZMZB2024GYDX-164</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2024年09月20日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电磁频谱效应测试平台建设（一期）采购项目</w:t>
      </w:r>
      <w:r>
        <w:rPr/>
        <w:t>进行国内公开招标，兹邀请符合本次招标要求的供应商参加投标。</w:t>
      </w:r>
    </w:p>
    <w:p>
      <w:pPr>
        <w:pStyle w:val="null3"/>
        <w:outlineLvl w:val="2"/>
      </w:pPr>
      <w:r>
        <w:rPr>
          <w:sz w:val="28"/>
          <w:b/>
        </w:rPr>
        <w:t>一、采购项目编号：</w:t>
      </w:r>
      <w:r>
        <w:rPr>
          <w:sz w:val="28"/>
          <w:b/>
        </w:rPr>
        <w:t>ZMZB2024GYDX-164</w:t>
      </w:r>
    </w:p>
    <w:p>
      <w:pPr>
        <w:pStyle w:val="null3"/>
        <w:outlineLvl w:val="2"/>
      </w:pPr>
      <w:r>
        <w:rPr>
          <w:sz w:val="28"/>
          <w:b/>
        </w:rPr>
        <w:t>二、采购项目名称：</w:t>
      </w:r>
      <w:r>
        <w:rPr>
          <w:sz w:val="28"/>
          <w:b/>
        </w:rPr>
        <w:t>电磁频谱效应测试平台建设（一期）采购项目</w:t>
      </w:r>
    </w:p>
    <w:p>
      <w:pPr>
        <w:pStyle w:val="null3"/>
        <w:outlineLvl w:val="2"/>
      </w:pPr>
      <w:r>
        <w:rPr>
          <w:sz w:val="28"/>
          <w:b/>
        </w:rPr>
        <w:t>三、招标项目简介</w:t>
      </w:r>
    </w:p>
    <w:p>
      <w:pPr>
        <w:pStyle w:val="null3"/>
        <w:ind w:firstLine="480"/>
      </w:pPr>
      <w:r>
        <w:rPr/>
        <w:t>电磁频谱效应测试平台建设（一期）采购项目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pPr>
        <w:pStyle w:val="null3"/>
      </w:pPr>
      <w:r>
        <w:rPr/>
        <w:t>9、本项目不接受联合体投标：非联合体投标声明</w:t>
      </w:r>
    </w:p>
    <w:p>
      <w:pPr>
        <w:pStyle w:val="null3"/>
      </w:pPr>
      <w:r>
        <w:rPr/>
        <w:t>采购包2：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pPr>
        <w:pStyle w:val="null3"/>
      </w:pPr>
      <w:r>
        <w:rPr/>
        <w:t>9、本项目不接受联合体投标：非联合体投标声明</w:t>
      </w:r>
    </w:p>
    <w:p>
      <w:pPr>
        <w:pStyle w:val="null3"/>
      </w:pPr>
      <w:r>
        <w:rPr/>
        <w:t>采购包3：</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pPr>
        <w:pStyle w:val="null3"/>
      </w:pPr>
      <w:r>
        <w:rPr/>
        <w:t>9、本项目不接受联合体投标：非联合体投标声明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周老师</w:t>
      </w:r>
    </w:p>
    <w:p>
      <w:pPr>
        <w:pStyle w:val="null3"/>
      </w:pPr>
      <w:r>
        <w:rPr/>
        <w:t xml:space="preserve"> 联系电话： </w:t>
      </w:r>
      <w:r>
        <w:rPr/>
        <w:t>029-86173142</w:t>
      </w:r>
    </w:p>
    <w:p>
      <w:pPr>
        <w:pStyle w:val="null3"/>
        <w:outlineLvl w:val="2"/>
      </w:pPr>
      <w:r>
        <w:rPr>
          <w:sz w:val="28"/>
          <w:b/>
        </w:rPr>
        <w:t>代理机构：</w:t>
      </w:r>
      <w:r>
        <w:rPr>
          <w:sz w:val="28"/>
          <w:b/>
        </w:rPr>
        <w:t>陕西卓佲项目管理有限公司</w:t>
      </w:r>
    </w:p>
    <w:p>
      <w:pPr>
        <w:pStyle w:val="null3"/>
      </w:pPr>
      <w:r>
        <w:rPr/>
        <w:t xml:space="preserve"> 地址： </w:t>
      </w:r>
      <w:r>
        <w:rPr/>
        <w:t xml:space="preserve"> 西安市雁塔区科技路 30号合力紫郡B座21层</w:t>
      </w:r>
    </w:p>
    <w:p>
      <w:pPr>
        <w:pStyle w:val="null3"/>
      </w:pPr>
      <w:r>
        <w:rPr/>
        <w:t xml:space="preserve"> 邮编： </w:t>
      </w:r>
      <w:r>
        <w:rPr/>
        <w:t>710065</w:t>
      </w:r>
    </w:p>
    <w:p>
      <w:pPr>
        <w:pStyle w:val="null3"/>
      </w:pPr>
      <w:r>
        <w:rPr/>
        <w:t xml:space="preserve"> 联系人： </w:t>
      </w:r>
      <w:r>
        <w:rPr/>
        <w:t>董菊莉 黄乐 张倩</w:t>
      </w:r>
    </w:p>
    <w:p>
      <w:pPr>
        <w:pStyle w:val="null3"/>
      </w:pPr>
      <w:r>
        <w:rPr/>
        <w:t xml:space="preserve"> 联系电话： </w:t>
      </w:r>
      <w:r>
        <w:rPr/>
        <w:t>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采购包1：1,835,000.00元</w:t>
            </w:r>
          </w:p>
          <w:p>
            <w:pPr>
              <w:pStyle w:val="null3"/>
            </w:pPr>
            <w:r>
              <w:rPr/>
              <w:t>采购包2：190,000.00元</w:t>
            </w:r>
          </w:p>
          <w:p>
            <w:pPr>
              <w:pStyle w:val="null3"/>
            </w:pPr>
            <w:r>
              <w:rPr/>
              <w:t>采购包3：180,000.00元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采购包1保证金金额：36,000.00元</w:t>
            </w:r>
          </w:p>
          <w:p>
            <w:pPr>
              <w:pStyle w:val="null3"/>
            </w:pPr>
            <w:r>
              <w:rPr/>
              <w:t>采购包2保证金金额：3,800.00元</w:t>
            </w:r>
          </w:p>
          <w:p>
            <w:pPr>
              <w:pStyle w:val="null3"/>
            </w:pPr>
            <w:r>
              <w:rPr/>
              <w:t>采购包3保证金金额：3,600.00元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说明：1.成交供应商在签订合同前5个工作日内，向采购人缴纳合同总价5%的履约保证金； 2.合同如期履约完成，采购人免息原缴费账户退还履约保证金全款。</w:t>
            </w:r>
          </w:p>
          <w:p>
            <w:pPr>
              <w:pStyle w:val="null3"/>
            </w:pPr>
            <w:r>
              <w:rPr/>
              <w:t>采购包2：缴纳</w:t>
            </w:r>
          </w:p>
          <w:p>
            <w:pPr>
              <w:pStyle w:val="null3"/>
            </w:pPr>
            <w:r>
              <w:rPr/>
              <w:t>本采购包履约保证金为合同金额的5.0%</w:t>
            </w:r>
          </w:p>
          <w:p>
            <w:pPr>
              <w:pStyle w:val="null3"/>
            </w:pPr>
            <w:r>
              <w:rPr/>
              <w:t>说明：1.成交供应商在签订合同前5个工作日内，向采购人缴纳合同总价5%的履约保证金； 2.合同如期履约完成，采购人免息原缴费账户退还履约保证金全款。</w:t>
            </w:r>
          </w:p>
          <w:p>
            <w:pPr>
              <w:pStyle w:val="null3"/>
            </w:pPr>
            <w:r>
              <w:rPr/>
              <w:t>采购包3：缴纳</w:t>
            </w:r>
          </w:p>
          <w:p>
            <w:pPr>
              <w:pStyle w:val="null3"/>
            </w:pPr>
            <w:r>
              <w:rPr/>
              <w:t>本采购包履约保证金为合同金额的5.0%</w:t>
            </w:r>
          </w:p>
          <w:p>
            <w:pPr>
              <w:pStyle w:val="null3"/>
            </w:pPr>
            <w:r>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pPr>
      <w:r>
        <w:rPr/>
        <w:t>采购包3：</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联系电话：029-81875979</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电磁频谱效应测试平台建设（一期）采购项目</w:t>
      </w:r>
    </w:p>
    <w:p>
      <w:pPr>
        <w:pStyle w:val="null3"/>
        <w:outlineLvl w:val="2"/>
      </w:pPr>
      <w:r>
        <w:rPr>
          <w:sz w:val="28"/>
          <w:b/>
        </w:rPr>
        <w:t>3.2采购内容</w:t>
      </w:r>
    </w:p>
    <w:p>
      <w:pPr>
        <w:pStyle w:val="null3"/>
      </w:pPr>
      <w:r>
        <w:rPr/>
        <w:t>采购包1：</w:t>
      </w:r>
    </w:p>
    <w:p>
      <w:pPr>
        <w:pStyle w:val="null3"/>
      </w:pPr>
      <w:r>
        <w:rPr/>
        <w:t>采购包预算金额（元）: 1,835,000.00</w:t>
      </w:r>
    </w:p>
    <w:p>
      <w:pPr>
        <w:pStyle w:val="null3"/>
      </w:pPr>
      <w:r>
        <w:rPr/>
        <w:t>采购包最高限价（元）: 1,835,000.00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矢量网络分析仪</w:t>
            </w:r>
          </w:p>
        </w:tc>
        <w:tc>
          <w:tcPr>
            <w:tcW w:type="dxa" w:w="831"/>
          </w:tcPr>
          <w:p>
            <w:pPr>
              <w:pStyle w:val="null3"/>
              <w:jc w:val="right"/>
            </w:pPr>
            <w:r>
              <w:rPr/>
              <w:t>1.00</w:t>
            </w:r>
          </w:p>
        </w:tc>
        <w:tc>
          <w:tcPr>
            <w:tcW w:type="dxa" w:w="831"/>
          </w:tcPr>
          <w:p>
            <w:pPr>
              <w:pStyle w:val="null3"/>
              <w:jc w:val="right"/>
            </w:pPr>
            <w:r>
              <w:rPr/>
              <w:t>1,835,000.00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190,000.00</w:t>
      </w:r>
    </w:p>
    <w:p>
      <w:pPr>
        <w:pStyle w:val="null3"/>
      </w:pPr>
      <w:r>
        <w:rPr/>
        <w:t>采购包最高限价（元）: 190,000.00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功率计</w:t>
            </w:r>
          </w:p>
        </w:tc>
        <w:tc>
          <w:tcPr>
            <w:tcW w:type="dxa" w:w="831"/>
          </w:tcPr>
          <w:p>
            <w:pPr>
              <w:pStyle w:val="null3"/>
              <w:jc w:val="right"/>
            </w:pPr>
            <w:r>
              <w:rPr/>
              <w:t>1.00</w:t>
            </w:r>
          </w:p>
        </w:tc>
        <w:tc>
          <w:tcPr>
            <w:tcW w:type="dxa" w:w="831"/>
          </w:tcPr>
          <w:p>
            <w:pPr>
              <w:pStyle w:val="null3"/>
              <w:jc w:val="right"/>
            </w:pPr>
            <w:r>
              <w:rPr/>
              <w:t>190,000.00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180,000.00</w:t>
      </w:r>
    </w:p>
    <w:p>
      <w:pPr>
        <w:pStyle w:val="null3"/>
      </w:pPr>
      <w:r>
        <w:rPr/>
        <w:t>采购包最高限价（元）: 180,000.00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程控可调衰减器</w:t>
            </w:r>
          </w:p>
        </w:tc>
        <w:tc>
          <w:tcPr>
            <w:tcW w:type="dxa" w:w="831"/>
          </w:tcPr>
          <w:p>
            <w:pPr>
              <w:pStyle w:val="null3"/>
              <w:jc w:val="right"/>
            </w:pPr>
            <w:r>
              <w:rPr/>
              <w:t>2.00</w:t>
            </w:r>
          </w:p>
        </w:tc>
        <w:tc>
          <w:tcPr>
            <w:tcW w:type="dxa" w:w="831"/>
          </w:tcPr>
          <w:p>
            <w:pPr>
              <w:pStyle w:val="null3"/>
              <w:jc w:val="right"/>
            </w:pPr>
            <w:r>
              <w:rPr/>
              <w:t>180,000.00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标的名称：矢量网络分析仪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color w:val="000000"/>
              </w:rPr>
              <w:t>测试端口工作频率</w:t>
            </w:r>
            <w:r>
              <w:rPr>
                <w:rFonts w:ascii="宋体" w:hAnsi="宋体" w:cs="宋体" w:eastAsia="宋体"/>
                <w:sz w:val="21"/>
                <w:color w:val="000000"/>
              </w:rPr>
              <w:t>: 10MHz~50GHz</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color w:val="000000"/>
              </w:rPr>
              <w:t>测试端口数量</w:t>
            </w:r>
            <w:r>
              <w:rPr>
                <w:rFonts w:ascii="宋体" w:hAnsi="宋体" w:cs="宋体" w:eastAsia="宋体"/>
                <w:sz w:val="21"/>
                <w:color w:val="000000"/>
              </w:rPr>
              <w:t>: 2</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color w:val="000000"/>
              </w:rPr>
              <w:t>中频带宽</w:t>
            </w:r>
            <w:r>
              <w:rPr>
                <w:rFonts w:ascii="宋体" w:hAnsi="宋体" w:cs="宋体" w:eastAsia="宋体"/>
                <w:sz w:val="21"/>
                <w:color w:val="000000"/>
              </w:rPr>
              <w:t>: 1Hz~15MHz</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color w:val="000000"/>
              </w:rPr>
              <w:t>频率分辨率：</w:t>
            </w:r>
            <w:r>
              <w:rPr>
                <w:rFonts w:ascii="宋体" w:hAnsi="宋体" w:cs="宋体" w:eastAsia="宋体"/>
                <w:sz w:val="21"/>
                <w:color w:val="000000"/>
              </w:rPr>
              <w:t>1Hz</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color w:val="000000"/>
              </w:rPr>
              <w:t>频率精度：</w:t>
            </w:r>
            <w:r>
              <w:rPr>
                <w:rFonts w:ascii="宋体" w:hAnsi="宋体" w:cs="宋体" w:eastAsia="宋体"/>
                <w:sz w:val="21"/>
                <w:color w:val="000000"/>
              </w:rPr>
              <w:t>≦±0.5ppm</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1"/>
                <w:color w:val="000000"/>
              </w:rPr>
              <w:t>最大输出功率</w:t>
            </w:r>
            <w:r>
              <w:rPr>
                <w:rFonts w:ascii="宋体" w:hAnsi="宋体" w:cs="宋体" w:eastAsia="宋体"/>
                <w:sz w:val="21"/>
                <w:color w:val="000000"/>
              </w:rPr>
              <w:t>:</w:t>
            </w:r>
            <w:r>
              <w:br/>
            </w:r>
            <w:r>
              <w:rPr>
                <w:rFonts w:ascii="宋体" w:hAnsi="宋体" w:cs="宋体" w:eastAsia="宋体"/>
                <w:sz w:val="21"/>
                <w:color w:val="000000"/>
              </w:rPr>
              <w:t>≥10dBm@10MHz</w:t>
            </w:r>
            <w:r>
              <w:br/>
            </w:r>
            <w:r>
              <w:rPr>
                <w:rFonts w:ascii="宋体" w:hAnsi="宋体" w:cs="宋体" w:eastAsia="宋体"/>
                <w:sz w:val="21"/>
                <w:color w:val="000000"/>
              </w:rPr>
              <w:t>≥10dBm@1GHz</w:t>
            </w:r>
            <w:r>
              <w:br/>
            </w:r>
            <w:r>
              <w:rPr>
                <w:rFonts w:ascii="宋体" w:hAnsi="宋体" w:cs="宋体" w:eastAsia="宋体"/>
                <w:sz w:val="21"/>
                <w:color w:val="000000"/>
              </w:rPr>
              <w:t>≥13dBm@5GHz</w:t>
            </w:r>
            <w:r>
              <w:br/>
            </w:r>
            <w:r>
              <w:rPr>
                <w:rFonts w:ascii="宋体" w:hAnsi="宋体" w:cs="宋体" w:eastAsia="宋体"/>
                <w:sz w:val="21"/>
                <w:color w:val="000000"/>
              </w:rPr>
              <w:t>≥13dBm@20GHz</w:t>
            </w:r>
            <w:r>
              <w:br/>
            </w:r>
            <w:r>
              <w:rPr>
                <w:rFonts w:ascii="宋体" w:hAnsi="宋体" w:cs="宋体" w:eastAsia="宋体"/>
                <w:sz w:val="21"/>
                <w:color w:val="000000"/>
              </w:rPr>
              <w:t>≥6dBm@40GHz</w:t>
            </w:r>
            <w:r>
              <w:br/>
            </w:r>
            <w:r>
              <w:rPr>
                <w:rFonts w:ascii="宋体" w:hAnsi="宋体" w:cs="宋体" w:eastAsia="宋体"/>
                <w:sz w:val="21"/>
                <w:color w:val="000000"/>
              </w:rPr>
              <w:t>≥3dBm@50GHz</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宋体" w:hAnsi="宋体" w:cs="宋体" w:eastAsia="宋体"/>
                <w:sz w:val="21"/>
                <w:color w:val="000000"/>
              </w:rPr>
              <w:t>系统动态范围</w:t>
            </w:r>
            <w:r>
              <w:rPr>
                <w:rFonts w:ascii="宋体" w:hAnsi="宋体" w:cs="宋体" w:eastAsia="宋体"/>
                <w:sz w:val="21"/>
                <w:color w:val="000000"/>
              </w:rPr>
              <w:t>:</w:t>
            </w:r>
            <w:r>
              <w:br/>
            </w:r>
            <w:r>
              <w:rPr>
                <w:rFonts w:ascii="宋体" w:hAnsi="宋体" w:cs="宋体" w:eastAsia="宋体"/>
                <w:sz w:val="21"/>
                <w:color w:val="000000"/>
              </w:rPr>
              <w:t>≥85dBm@10MHz</w:t>
            </w:r>
            <w:r>
              <w:br/>
            </w:r>
            <w:r>
              <w:rPr>
                <w:rFonts w:ascii="宋体" w:hAnsi="宋体" w:cs="宋体" w:eastAsia="宋体"/>
                <w:sz w:val="21"/>
                <w:color w:val="000000"/>
              </w:rPr>
              <w:t>≥130dBm@1GHz</w:t>
            </w:r>
            <w:r>
              <w:br/>
            </w:r>
            <w:r>
              <w:rPr>
                <w:rFonts w:ascii="宋体" w:hAnsi="宋体" w:cs="宋体" w:eastAsia="宋体"/>
                <w:sz w:val="21"/>
                <w:color w:val="000000"/>
              </w:rPr>
              <w:t>≥135dBm@5GHz</w:t>
            </w:r>
            <w:r>
              <w:br/>
            </w:r>
            <w:r>
              <w:rPr>
                <w:rFonts w:ascii="宋体" w:hAnsi="宋体" w:cs="宋体" w:eastAsia="宋体"/>
                <w:sz w:val="21"/>
                <w:color w:val="000000"/>
              </w:rPr>
              <w:t>≥135dBm@20GHz</w:t>
            </w:r>
            <w:r>
              <w:br/>
            </w:r>
            <w:r>
              <w:rPr>
                <w:rFonts w:ascii="宋体" w:hAnsi="宋体" w:cs="宋体" w:eastAsia="宋体"/>
                <w:sz w:val="21"/>
                <w:color w:val="000000"/>
              </w:rPr>
              <w:t>≥125dBm@40GHz</w:t>
            </w:r>
            <w:r>
              <w:br/>
            </w:r>
            <w:r>
              <w:rPr>
                <w:rFonts w:ascii="宋体" w:hAnsi="宋体" w:cs="宋体" w:eastAsia="宋体"/>
                <w:sz w:val="21"/>
                <w:color w:val="000000"/>
              </w:rPr>
              <w:t>≥110dBm@50GHz</w:t>
            </w:r>
          </w:p>
        </w:tc>
      </w:tr>
      <w:tr>
        <w:tc>
          <w:tcPr>
            <w:tcW w:type="dxa" w:w="2769"/>
          </w:tcPr>
          <w:p>
            <w:pPr>
              <w:pStyle w:val="null3"/>
            </w:pPr>
            <w:r>
              <w:rPr/>
              <w:t>▲</w:t>
            </w:r>
          </w:p>
        </w:tc>
        <w:tc>
          <w:tcPr>
            <w:tcW w:type="dxa" w:w="2769"/>
          </w:tcPr>
          <w:p>
            <w:pPr>
              <w:pStyle w:val="null3"/>
            </w:pPr>
            <w:r>
              <w:rPr/>
              <w:t>8</w:t>
            </w:r>
          </w:p>
        </w:tc>
        <w:tc>
          <w:tcPr>
            <w:tcW w:type="dxa" w:w="2769"/>
          </w:tcPr>
          <w:p>
            <w:pPr>
              <w:pStyle w:val="null3"/>
              <w:jc w:val="both"/>
            </w:pPr>
            <w:r>
              <w:rPr>
                <w:rFonts w:ascii="宋体" w:hAnsi="宋体" w:cs="宋体" w:eastAsia="宋体"/>
                <w:sz w:val="21"/>
                <w:color w:val="000000"/>
              </w:rPr>
              <w:t>相位噪声</w:t>
            </w:r>
            <w:r>
              <w:rPr>
                <w:rFonts w:ascii="宋体" w:hAnsi="宋体" w:cs="宋体" w:eastAsia="宋体"/>
                <w:sz w:val="21"/>
                <w:color w:val="000000"/>
              </w:rPr>
              <w:t>: （10kHz频偏）</w:t>
            </w:r>
            <w:r>
              <w:br/>
            </w:r>
            <w:r>
              <w:rPr>
                <w:rFonts w:ascii="宋体" w:hAnsi="宋体" w:cs="宋体" w:eastAsia="宋体"/>
                <w:sz w:val="21"/>
                <w:color w:val="000000"/>
              </w:rPr>
              <w:t>≦-130dBc/Hz@10MHz</w:t>
            </w:r>
            <w:r>
              <w:br/>
            </w:r>
            <w:r>
              <w:rPr>
                <w:rFonts w:ascii="宋体" w:hAnsi="宋体" w:cs="宋体" w:eastAsia="宋体"/>
                <w:sz w:val="21"/>
                <w:color w:val="000000"/>
              </w:rPr>
              <w:t xml:space="preserve">≦-120dBc/Hz@1GHz                            </w:t>
            </w:r>
            <w:r>
              <w:br/>
            </w:r>
            <w:r>
              <w:rPr>
                <w:rFonts w:ascii="宋体" w:hAnsi="宋体" w:cs="宋体" w:eastAsia="宋体"/>
                <w:sz w:val="21"/>
                <w:color w:val="000000"/>
              </w:rPr>
              <w:t>≦-110dBc/Hz@5GHz</w:t>
            </w:r>
            <w:r>
              <w:br/>
            </w:r>
            <w:r>
              <w:rPr>
                <w:rFonts w:ascii="宋体" w:hAnsi="宋体" w:cs="宋体" w:eastAsia="宋体"/>
                <w:sz w:val="21"/>
                <w:color w:val="000000"/>
              </w:rPr>
              <w:t>≦-100dBc/Hz@20GHz</w:t>
            </w:r>
            <w:r>
              <w:br/>
            </w:r>
            <w:r>
              <w:rPr>
                <w:rFonts w:ascii="宋体" w:hAnsi="宋体" w:cs="宋体" w:eastAsia="宋体"/>
                <w:sz w:val="21"/>
                <w:color w:val="000000"/>
              </w:rPr>
              <w:t>≦-95dBc/Hz@40GHz</w:t>
            </w:r>
            <w:r>
              <w:br/>
            </w:r>
            <w:r>
              <w:rPr>
                <w:rFonts w:ascii="宋体" w:hAnsi="宋体" w:cs="宋体" w:eastAsia="宋体"/>
                <w:sz w:val="21"/>
                <w:color w:val="000000"/>
              </w:rPr>
              <w:t>≦-90dBc/Hz@50GHz</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宋体" w:hAnsi="宋体" w:cs="宋体" w:eastAsia="宋体"/>
                <w:sz w:val="21"/>
                <w:color w:val="000000"/>
              </w:rPr>
              <w:t>本底噪声</w:t>
            </w:r>
            <w:r>
              <w:rPr>
                <w:rFonts w:ascii="宋体" w:hAnsi="宋体" w:cs="宋体" w:eastAsia="宋体"/>
                <w:sz w:val="21"/>
                <w:color w:val="000000"/>
              </w:rPr>
              <w:t>: （10Hz IFBW）</w:t>
            </w:r>
            <w:r>
              <w:br/>
            </w:r>
            <w:r>
              <w:rPr>
                <w:rFonts w:ascii="宋体" w:hAnsi="宋体" w:cs="宋体" w:eastAsia="宋体"/>
                <w:sz w:val="21"/>
                <w:color w:val="000000"/>
              </w:rPr>
              <w:t>≦-70dBm/Hz@10MHz</w:t>
            </w:r>
            <w:r>
              <w:br/>
            </w:r>
            <w:r>
              <w:rPr>
                <w:rFonts w:ascii="宋体" w:hAnsi="宋体" w:cs="宋体" w:eastAsia="宋体"/>
                <w:sz w:val="21"/>
                <w:color w:val="000000"/>
              </w:rPr>
              <w:t xml:space="preserve">≦-105dBm/Hz@1GHz                            </w:t>
            </w:r>
            <w:r>
              <w:br/>
            </w:r>
            <w:r>
              <w:rPr>
                <w:rFonts w:ascii="宋体" w:hAnsi="宋体" w:cs="宋体" w:eastAsia="宋体"/>
                <w:sz w:val="21"/>
                <w:color w:val="000000"/>
              </w:rPr>
              <w:t>≦-110dBm/Hz@5GHz</w:t>
            </w:r>
            <w:r>
              <w:br/>
            </w:r>
            <w:r>
              <w:rPr>
                <w:rFonts w:ascii="宋体" w:hAnsi="宋体" w:cs="宋体" w:eastAsia="宋体"/>
                <w:sz w:val="21"/>
                <w:color w:val="000000"/>
              </w:rPr>
              <w:t>≦-110dBm/Hz@20GHz</w:t>
            </w:r>
            <w:r>
              <w:br/>
            </w:r>
            <w:r>
              <w:rPr>
                <w:rFonts w:ascii="宋体" w:hAnsi="宋体" w:cs="宋体" w:eastAsia="宋体"/>
                <w:sz w:val="21"/>
                <w:color w:val="000000"/>
              </w:rPr>
              <w:t>≦-105dBm/Hz@40GHz</w:t>
            </w:r>
            <w:r>
              <w:br/>
            </w:r>
            <w:r>
              <w:rPr>
                <w:rFonts w:ascii="宋体" w:hAnsi="宋体" w:cs="宋体" w:eastAsia="宋体"/>
                <w:sz w:val="21"/>
                <w:color w:val="000000"/>
              </w:rPr>
              <w:t>≦-105dBm/Hz@50GHz</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宋体" w:hAnsi="宋体" w:cs="宋体" w:eastAsia="宋体"/>
                <w:sz w:val="21"/>
                <w:color w:val="000000"/>
              </w:rPr>
              <w:t>幅度轨迹噪声</w:t>
            </w:r>
            <w:r>
              <w:rPr>
                <w:rFonts w:ascii="宋体" w:hAnsi="宋体" w:cs="宋体" w:eastAsia="宋体"/>
                <w:sz w:val="21"/>
                <w:color w:val="000000"/>
              </w:rPr>
              <w:t>RMS: (1kHz IFBW)</w:t>
            </w:r>
            <w:r>
              <w:br/>
            </w:r>
            <w:r>
              <w:rPr>
                <w:rFonts w:ascii="宋体" w:hAnsi="宋体" w:cs="宋体" w:eastAsia="宋体"/>
                <w:sz w:val="21"/>
                <w:color w:val="000000"/>
              </w:rPr>
              <w:t>≦0.2dB@10MHz</w:t>
            </w:r>
            <w:r>
              <w:br/>
            </w:r>
            <w:r>
              <w:rPr>
                <w:rFonts w:ascii="宋体" w:hAnsi="宋体" w:cs="宋体" w:eastAsia="宋体"/>
                <w:sz w:val="21"/>
                <w:color w:val="000000"/>
              </w:rPr>
              <w:t xml:space="preserve">≦0.003dB@1GHz                            </w:t>
            </w:r>
            <w:r>
              <w:br/>
            </w:r>
            <w:r>
              <w:rPr>
                <w:rFonts w:ascii="宋体" w:hAnsi="宋体" w:cs="宋体" w:eastAsia="宋体"/>
                <w:sz w:val="21"/>
                <w:color w:val="000000"/>
              </w:rPr>
              <w:t>≦0.003dB@5GHz</w:t>
            </w:r>
            <w:r>
              <w:br/>
            </w:r>
            <w:r>
              <w:rPr>
                <w:rFonts w:ascii="宋体" w:hAnsi="宋体" w:cs="宋体" w:eastAsia="宋体"/>
                <w:sz w:val="21"/>
                <w:color w:val="000000"/>
              </w:rPr>
              <w:t>≦0.003dB@20GHz</w:t>
            </w:r>
            <w:r>
              <w:br/>
            </w:r>
            <w:r>
              <w:rPr>
                <w:rFonts w:ascii="宋体" w:hAnsi="宋体" w:cs="宋体" w:eastAsia="宋体"/>
                <w:sz w:val="21"/>
                <w:color w:val="000000"/>
              </w:rPr>
              <w:t>≦0.004dB@40GHz</w:t>
            </w:r>
            <w:r>
              <w:br/>
            </w:r>
            <w:r>
              <w:rPr>
                <w:rFonts w:ascii="宋体" w:hAnsi="宋体" w:cs="宋体" w:eastAsia="宋体"/>
                <w:sz w:val="21"/>
                <w:color w:val="000000"/>
              </w:rPr>
              <w:t>≦0.004dB@50GHz</w:t>
            </w:r>
          </w:p>
        </w:tc>
      </w:tr>
      <w:tr>
        <w:tc>
          <w:tcPr>
            <w:tcW w:type="dxa" w:w="2769"/>
          </w:tcPr>
          <w:p>
            <w:pPr>
              <w:pStyle w:val="null3"/>
            </w:pPr>
            <w:r>
              <w:rPr/>
              <w:t>▲</w:t>
            </w:r>
          </w:p>
        </w:tc>
        <w:tc>
          <w:tcPr>
            <w:tcW w:type="dxa" w:w="2769"/>
          </w:tcPr>
          <w:p>
            <w:pPr>
              <w:pStyle w:val="null3"/>
            </w:pPr>
            <w:r>
              <w:rPr/>
              <w:t>11</w:t>
            </w:r>
          </w:p>
        </w:tc>
        <w:tc>
          <w:tcPr>
            <w:tcW w:type="dxa" w:w="2769"/>
          </w:tcPr>
          <w:p>
            <w:pPr>
              <w:pStyle w:val="null3"/>
              <w:jc w:val="both"/>
            </w:pPr>
            <w:r>
              <w:rPr>
                <w:rFonts w:ascii="宋体" w:hAnsi="宋体" w:cs="宋体" w:eastAsia="宋体"/>
                <w:sz w:val="21"/>
                <w:color w:val="000000"/>
              </w:rPr>
              <w:t>相位轨迹噪声</w:t>
            </w:r>
            <w:r>
              <w:rPr>
                <w:rFonts w:ascii="宋体" w:hAnsi="宋体" w:cs="宋体" w:eastAsia="宋体"/>
                <w:sz w:val="21"/>
                <w:color w:val="000000"/>
              </w:rPr>
              <w:t>RMS:(1kHz IFBW)</w:t>
            </w:r>
            <w:r>
              <w:br/>
            </w:r>
            <w:r>
              <w:rPr>
                <w:rFonts w:ascii="宋体" w:hAnsi="宋体" w:cs="宋体" w:eastAsia="宋体"/>
                <w:sz w:val="21"/>
                <w:color w:val="000000"/>
              </w:rPr>
              <w:t>≦1°@10MHz</w:t>
            </w:r>
            <w:r>
              <w:br/>
            </w:r>
            <w:r>
              <w:rPr>
                <w:rFonts w:ascii="宋体" w:hAnsi="宋体" w:cs="宋体" w:eastAsia="宋体"/>
                <w:sz w:val="21"/>
                <w:color w:val="000000"/>
              </w:rPr>
              <w:t xml:space="preserve">≦0.02°@1GHz                            </w:t>
            </w:r>
            <w:r>
              <w:br/>
            </w:r>
            <w:r>
              <w:rPr>
                <w:rFonts w:ascii="宋体" w:hAnsi="宋体" w:cs="宋体" w:eastAsia="宋体"/>
                <w:sz w:val="21"/>
                <w:color w:val="000000"/>
              </w:rPr>
              <w:t>≦0.02°@5GHz</w:t>
            </w:r>
            <w:r>
              <w:br/>
            </w:r>
            <w:r>
              <w:rPr>
                <w:rFonts w:ascii="宋体" w:hAnsi="宋体" w:cs="宋体" w:eastAsia="宋体"/>
                <w:sz w:val="21"/>
                <w:color w:val="000000"/>
              </w:rPr>
              <w:t>≦0.02°@20GHz</w:t>
            </w:r>
            <w:r>
              <w:br/>
            </w:r>
            <w:r>
              <w:rPr>
                <w:rFonts w:ascii="宋体" w:hAnsi="宋体" w:cs="宋体" w:eastAsia="宋体"/>
                <w:sz w:val="21"/>
                <w:color w:val="000000"/>
              </w:rPr>
              <w:t>≦0.03°@40GHz</w:t>
            </w:r>
            <w:r>
              <w:br/>
            </w:r>
            <w:r>
              <w:rPr>
                <w:rFonts w:ascii="宋体" w:hAnsi="宋体" w:cs="宋体" w:eastAsia="宋体"/>
                <w:sz w:val="21"/>
                <w:color w:val="000000"/>
              </w:rPr>
              <w:t>≦0.03°@50GHz</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宋体" w:hAnsi="宋体" w:cs="宋体" w:eastAsia="宋体"/>
                <w:sz w:val="21"/>
                <w:color w:val="000000"/>
              </w:rPr>
              <w:t>幅度稳定度</w:t>
            </w:r>
            <w:r>
              <w:br/>
            </w:r>
            <w:r>
              <w:rPr>
                <w:rFonts w:ascii="宋体" w:hAnsi="宋体" w:cs="宋体" w:eastAsia="宋体"/>
                <w:sz w:val="21"/>
                <w:color w:val="000000"/>
              </w:rPr>
              <w:t>≦0.02dB/°C@10MHz</w:t>
            </w:r>
            <w:r>
              <w:br/>
            </w:r>
            <w:r>
              <w:rPr>
                <w:rFonts w:ascii="宋体" w:hAnsi="宋体" w:cs="宋体" w:eastAsia="宋体"/>
                <w:sz w:val="21"/>
                <w:color w:val="000000"/>
              </w:rPr>
              <w:t xml:space="preserve">≦0.01dB/°C@1GHz                            </w:t>
            </w:r>
            <w:r>
              <w:br/>
            </w:r>
            <w:r>
              <w:rPr>
                <w:rFonts w:ascii="宋体" w:hAnsi="宋体" w:cs="宋体" w:eastAsia="宋体"/>
                <w:sz w:val="21"/>
                <w:color w:val="000000"/>
              </w:rPr>
              <w:t>≦0.01dB/°C@5GHz</w:t>
            </w:r>
            <w:r>
              <w:br/>
            </w:r>
            <w:r>
              <w:rPr>
                <w:rFonts w:ascii="宋体" w:hAnsi="宋体" w:cs="宋体" w:eastAsia="宋体"/>
                <w:sz w:val="21"/>
                <w:color w:val="000000"/>
              </w:rPr>
              <w:t>≦0.02dB/°C@20GHz</w:t>
            </w:r>
            <w:r>
              <w:br/>
            </w:r>
            <w:r>
              <w:rPr>
                <w:rFonts w:ascii="宋体" w:hAnsi="宋体" w:cs="宋体" w:eastAsia="宋体"/>
                <w:sz w:val="21"/>
                <w:color w:val="000000"/>
              </w:rPr>
              <w:t>≦0.02dB/°C@40GHz</w:t>
            </w:r>
            <w:r>
              <w:br/>
            </w:r>
            <w:r>
              <w:rPr>
                <w:rFonts w:ascii="宋体" w:hAnsi="宋体" w:cs="宋体" w:eastAsia="宋体"/>
                <w:sz w:val="21"/>
                <w:color w:val="000000"/>
              </w:rPr>
              <w:t>≦0.04dB/°C@50GHz</w:t>
            </w:r>
          </w:p>
        </w:tc>
      </w:tr>
      <w:tr>
        <w:tc>
          <w:tcPr>
            <w:tcW w:type="dxa" w:w="2769"/>
          </w:tcPr>
          <w:p>
            <w:pPr>
              <w:pStyle w:val="null3"/>
            </w:pPr>
            <w:r>
              <w:rPr/>
              <w:t>▲</w:t>
            </w:r>
          </w:p>
        </w:tc>
        <w:tc>
          <w:tcPr>
            <w:tcW w:type="dxa" w:w="2769"/>
          </w:tcPr>
          <w:p>
            <w:pPr>
              <w:pStyle w:val="null3"/>
            </w:pPr>
            <w:r>
              <w:rPr/>
              <w:t>13</w:t>
            </w:r>
          </w:p>
        </w:tc>
        <w:tc>
          <w:tcPr>
            <w:tcW w:type="dxa" w:w="2769"/>
          </w:tcPr>
          <w:p>
            <w:pPr>
              <w:pStyle w:val="null3"/>
              <w:jc w:val="both"/>
            </w:pPr>
            <w:r>
              <w:rPr>
                <w:rFonts w:ascii="宋体" w:hAnsi="宋体" w:cs="宋体" w:eastAsia="宋体"/>
                <w:sz w:val="21"/>
                <w:color w:val="000000"/>
              </w:rPr>
              <w:t>相位稳定度（</w:t>
            </w:r>
            <w:r>
              <w:rPr>
                <w:rFonts w:ascii="宋体" w:hAnsi="宋体" w:cs="宋体" w:eastAsia="宋体"/>
                <w:sz w:val="21"/>
                <w:color w:val="000000"/>
              </w:rPr>
              <w:t>°/°C）</w:t>
            </w:r>
            <w:r>
              <w:br/>
            </w:r>
            <w:r>
              <w:rPr>
                <w:rFonts w:ascii="宋体" w:hAnsi="宋体" w:cs="宋体" w:eastAsia="宋体"/>
                <w:sz w:val="21"/>
                <w:color w:val="000000"/>
              </w:rPr>
              <w:t>≦0.2°/°C@10MHz</w:t>
            </w:r>
            <w:r>
              <w:br/>
            </w:r>
            <w:r>
              <w:rPr>
                <w:rFonts w:ascii="宋体" w:hAnsi="宋体" w:cs="宋体" w:eastAsia="宋体"/>
                <w:sz w:val="21"/>
                <w:color w:val="000000"/>
              </w:rPr>
              <w:t xml:space="preserve">≦0.1°/°C@1GHz                            </w:t>
            </w:r>
            <w:r>
              <w:br/>
            </w:r>
            <w:r>
              <w:rPr>
                <w:rFonts w:ascii="宋体" w:hAnsi="宋体" w:cs="宋体" w:eastAsia="宋体"/>
                <w:sz w:val="21"/>
                <w:color w:val="000000"/>
              </w:rPr>
              <w:t>≦0.2°/°C@5GHz</w:t>
            </w:r>
            <w:r>
              <w:br/>
            </w:r>
            <w:r>
              <w:rPr>
                <w:rFonts w:ascii="宋体" w:hAnsi="宋体" w:cs="宋体" w:eastAsia="宋体"/>
                <w:sz w:val="21"/>
                <w:color w:val="000000"/>
              </w:rPr>
              <w:t>≦0.3°/°C@20GHz</w:t>
            </w:r>
            <w:r>
              <w:br/>
            </w:r>
            <w:r>
              <w:rPr>
                <w:rFonts w:ascii="宋体" w:hAnsi="宋体" w:cs="宋体" w:eastAsia="宋体"/>
                <w:sz w:val="21"/>
                <w:color w:val="000000"/>
              </w:rPr>
              <w:t>≦0.7°/°C@40GHz</w:t>
            </w:r>
            <w:r>
              <w:br/>
            </w:r>
            <w:r>
              <w:rPr>
                <w:rFonts w:ascii="宋体" w:hAnsi="宋体" w:cs="宋体" w:eastAsia="宋体"/>
                <w:sz w:val="21"/>
                <w:color w:val="000000"/>
              </w:rPr>
              <w:t>≦0.8°/°C@50GHz</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21"/>
                <w:color w:val="000000"/>
              </w:rPr>
              <w:t>具备脉冲调制和脉冲测量功能</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1"/>
                <w:color w:val="000000"/>
              </w:rPr>
              <w:t>最小脉冲宽度</w:t>
            </w:r>
            <w:r>
              <w:rPr>
                <w:rFonts w:ascii="宋体" w:hAnsi="宋体" w:cs="宋体" w:eastAsia="宋体"/>
                <w:sz w:val="21"/>
                <w:color w:val="000000"/>
              </w:rPr>
              <w:t>≦50nS</w:t>
            </w:r>
          </w:p>
        </w:tc>
      </w:tr>
      <w:tr>
        <w:tc>
          <w:tcPr>
            <w:tcW w:type="dxa" w:w="2769"/>
          </w:tcPr>
          <w:p/>
        </w:tc>
        <w:tc>
          <w:tcPr>
            <w:tcW w:type="dxa" w:w="2769"/>
          </w:tcPr>
          <w:p>
            <w:pPr>
              <w:pStyle w:val="null3"/>
            </w:pPr>
            <w:r>
              <w:rPr/>
              <w:t>16</w:t>
            </w:r>
          </w:p>
        </w:tc>
        <w:tc>
          <w:tcPr>
            <w:tcW w:type="dxa" w:w="2769"/>
          </w:tcPr>
          <w:p>
            <w:pPr>
              <w:pStyle w:val="null3"/>
              <w:jc w:val="both"/>
            </w:pPr>
            <w:r>
              <w:rPr>
                <w:rFonts w:ascii="宋体" w:hAnsi="宋体" w:cs="宋体" w:eastAsia="宋体"/>
                <w:sz w:val="21"/>
                <w:color w:val="000000"/>
              </w:rPr>
              <w:t>具备标量变频及矢量变频测量功能</w:t>
            </w:r>
          </w:p>
        </w:tc>
      </w:tr>
      <w:tr>
        <w:tc>
          <w:tcPr>
            <w:tcW w:type="dxa" w:w="2769"/>
          </w:tcPr>
          <w:p/>
        </w:tc>
        <w:tc>
          <w:tcPr>
            <w:tcW w:type="dxa" w:w="2769"/>
          </w:tcPr>
          <w:p>
            <w:pPr>
              <w:pStyle w:val="null3"/>
            </w:pPr>
            <w:r>
              <w:rPr/>
              <w:t>17</w:t>
            </w:r>
          </w:p>
        </w:tc>
        <w:tc>
          <w:tcPr>
            <w:tcW w:type="dxa" w:w="2769"/>
          </w:tcPr>
          <w:p>
            <w:pPr>
              <w:pStyle w:val="null3"/>
              <w:jc w:val="both"/>
            </w:pPr>
            <w:r>
              <w:rPr>
                <w:rFonts w:ascii="宋体" w:hAnsi="宋体" w:cs="宋体" w:eastAsia="宋体"/>
                <w:sz w:val="21"/>
                <w:color w:val="000000"/>
              </w:rPr>
              <w:t>具备频偏测量功能</w:t>
            </w:r>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sz w:val="21"/>
                <w:color w:val="000000"/>
              </w:rPr>
              <w:t>包含</w:t>
            </w:r>
            <w:r>
              <w:rPr>
                <w:rFonts w:ascii="宋体" w:hAnsi="宋体" w:cs="宋体" w:eastAsia="宋体"/>
                <w:sz w:val="21"/>
                <w:color w:val="000000"/>
              </w:rPr>
              <w:t>50GHz电子校准件、50GHz功率探头及主控机</w:t>
            </w:r>
          </w:p>
        </w:tc>
      </w:tr>
      <w:tr>
        <w:tc>
          <w:tcPr>
            <w:tcW w:type="dxa" w:w="2769"/>
          </w:tcPr>
          <w:p/>
        </w:tc>
        <w:tc>
          <w:tcPr>
            <w:tcW w:type="dxa" w:w="2769"/>
          </w:tcPr>
          <w:p>
            <w:pPr>
              <w:pStyle w:val="null3"/>
            </w:pPr>
            <w:r>
              <w:rPr/>
              <w:t>19</w:t>
            </w:r>
          </w:p>
        </w:tc>
        <w:tc>
          <w:tcPr>
            <w:tcW w:type="dxa" w:w="2769"/>
          </w:tcPr>
          <w:p>
            <w:pPr>
              <w:pStyle w:val="null3"/>
              <w:jc w:val="both"/>
            </w:pPr>
            <w:r>
              <w:rPr>
                <w:rFonts w:ascii="宋体" w:hAnsi="宋体" w:cs="宋体" w:eastAsia="宋体"/>
                <w:sz w:val="21"/>
                <w:color w:val="000000"/>
              </w:rPr>
              <w:t>包含测试电缆</w:t>
            </w:r>
          </w:p>
        </w:tc>
      </w:tr>
      <w:tr>
        <w:tc>
          <w:tcPr>
            <w:tcW w:type="dxa" w:w="2769"/>
          </w:tcPr>
          <w:p/>
        </w:tc>
        <w:tc>
          <w:tcPr>
            <w:tcW w:type="dxa" w:w="2769"/>
          </w:tcPr>
          <w:p>
            <w:pPr>
              <w:pStyle w:val="null3"/>
            </w:pPr>
            <w:r>
              <w:rPr/>
              <w:t>20</w:t>
            </w:r>
          </w:p>
        </w:tc>
        <w:tc>
          <w:tcPr>
            <w:tcW w:type="dxa" w:w="2769"/>
          </w:tcPr>
          <w:p>
            <w:pPr>
              <w:pStyle w:val="null3"/>
              <w:jc w:val="both"/>
            </w:pPr>
            <w:r>
              <w:rPr>
                <w:rFonts w:ascii="宋体" w:hAnsi="宋体" w:cs="宋体" w:eastAsia="宋体"/>
                <w:sz w:val="21"/>
                <w:color w:val="000000"/>
              </w:rPr>
              <w:t>支持毫米波扩频功能</w:t>
            </w:r>
          </w:p>
        </w:tc>
      </w:tr>
      <w:tr>
        <w:tc>
          <w:tcPr>
            <w:tcW w:type="dxa" w:w="2769"/>
          </w:tcPr>
          <w:p/>
        </w:tc>
        <w:tc>
          <w:tcPr>
            <w:tcW w:type="dxa" w:w="2769"/>
          </w:tcPr>
          <w:p>
            <w:pPr>
              <w:pStyle w:val="null3"/>
            </w:pPr>
            <w:r>
              <w:rPr/>
              <w:t>21</w:t>
            </w:r>
          </w:p>
        </w:tc>
        <w:tc>
          <w:tcPr>
            <w:tcW w:type="dxa" w:w="2769"/>
          </w:tcPr>
          <w:p>
            <w:pPr>
              <w:pStyle w:val="null3"/>
              <w:jc w:val="both"/>
            </w:pPr>
            <w:r>
              <w:rPr>
                <w:rFonts w:ascii="宋体" w:hAnsi="宋体" w:cs="宋体" w:eastAsia="宋体"/>
                <w:sz w:val="21"/>
                <w:color w:val="000000"/>
              </w:rPr>
              <w:t>外部控制接口：</w:t>
            </w:r>
            <w:r>
              <w:rPr>
                <w:rFonts w:ascii="宋体" w:hAnsi="宋体" w:cs="宋体" w:eastAsia="宋体"/>
                <w:sz w:val="21"/>
                <w:color w:val="000000"/>
              </w:rPr>
              <w:t>LAN，支持SCPI指令</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标的名称：功率计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color w:val="000000"/>
              </w:rPr>
              <w:t>主机通道数：</w:t>
            </w:r>
            <w:r>
              <w:rPr>
                <w:rFonts w:ascii="宋体" w:hAnsi="宋体" w:cs="宋体" w:eastAsia="宋体"/>
                <w:sz w:val="21"/>
                <w:color w:val="000000"/>
              </w:rPr>
              <w:t>2</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color w:val="000000"/>
              </w:rPr>
              <w:t>脉冲功率探头数量：</w:t>
            </w:r>
            <w:r>
              <w:rPr>
                <w:rFonts w:ascii="宋体" w:hAnsi="宋体" w:cs="宋体" w:eastAsia="宋体"/>
                <w:sz w:val="21"/>
                <w:color w:val="000000"/>
              </w:rPr>
              <w:t>2</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1"/>
                <w:color w:val="000000"/>
              </w:rPr>
              <w:t>频率范围：</w:t>
            </w:r>
            <w:r>
              <w:rPr>
                <w:rFonts w:ascii="宋体" w:hAnsi="宋体" w:cs="宋体" w:eastAsia="宋体"/>
                <w:sz w:val="21"/>
                <w:color w:val="000000"/>
              </w:rPr>
              <w:t>50MHz～40GHz</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1"/>
                <w:color w:val="000000"/>
              </w:rPr>
              <w:t>功率测量范围：</w:t>
            </w:r>
            <w:r>
              <w:rPr>
                <w:rFonts w:ascii="宋体" w:hAnsi="宋体" w:cs="宋体" w:eastAsia="宋体"/>
                <w:sz w:val="21"/>
                <w:color w:val="000000"/>
              </w:rPr>
              <w:t>-30dBm至+20dBm</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color w:val="000000"/>
              </w:rPr>
              <w:t>视频带宽：</w:t>
            </w:r>
            <w:r>
              <w:rPr>
                <w:rFonts w:ascii="宋体" w:hAnsi="宋体" w:cs="宋体" w:eastAsia="宋体"/>
                <w:sz w:val="21"/>
                <w:color w:val="000000"/>
              </w:rPr>
              <w:t>≥30MHz</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1"/>
                <w:color w:val="000000"/>
              </w:rPr>
              <w:t>上升下降时间：</w:t>
            </w:r>
            <w:r>
              <w:rPr>
                <w:rFonts w:ascii="宋体" w:hAnsi="宋体" w:cs="宋体" w:eastAsia="宋体"/>
                <w:sz w:val="21"/>
                <w:color w:val="000000"/>
              </w:rPr>
              <w:t>≦20ns</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宋体" w:hAnsi="宋体" w:cs="宋体" w:eastAsia="宋体"/>
                <w:sz w:val="21"/>
                <w:color w:val="000000"/>
              </w:rPr>
              <w:t>最小脉冲宽度：</w:t>
            </w:r>
            <w:r>
              <w:rPr>
                <w:rFonts w:ascii="宋体" w:hAnsi="宋体" w:cs="宋体" w:eastAsia="宋体"/>
                <w:sz w:val="21"/>
                <w:color w:val="000000"/>
              </w:rPr>
              <w:t>≦50ns</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1"/>
                <w:color w:val="000000"/>
              </w:rPr>
              <w:t>最大输入功率：</w:t>
            </w:r>
            <w:r>
              <w:rPr>
                <w:rFonts w:ascii="宋体" w:hAnsi="宋体" w:cs="宋体" w:eastAsia="宋体"/>
                <w:sz w:val="21"/>
                <w:color w:val="000000"/>
              </w:rPr>
              <w:t>≥+23dBm 平均功率</w:t>
            </w:r>
            <w:r>
              <w:rPr>
                <w:rFonts w:ascii="宋体" w:hAnsi="宋体" w:cs="宋体" w:eastAsia="宋体"/>
                <w:sz w:val="21"/>
                <w:color w:val="000000"/>
              </w:rPr>
              <w:t>，</w:t>
            </w:r>
            <w:r>
              <w:rPr>
                <w:rFonts w:ascii="宋体" w:hAnsi="宋体" w:cs="宋体" w:eastAsia="宋体"/>
                <w:sz w:val="21"/>
                <w:color w:val="000000"/>
              </w:rPr>
              <w:t>≥+30dBm 峰值功率</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1"/>
                <w:color w:val="000000"/>
              </w:rPr>
              <w:t>具备连续功率、脉冲功率、突发功率、迹线功率测量功能</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1"/>
                <w:color w:val="000000"/>
              </w:rPr>
              <w:t>具备脉冲宽度、脉冲上升时间、下降时间、占空比等常见脉冲参数测量功能</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1"/>
                <w:color w:val="000000"/>
              </w:rPr>
              <w:t>外部控制接口：</w:t>
            </w:r>
            <w:r>
              <w:rPr>
                <w:rFonts w:ascii="宋体" w:hAnsi="宋体" w:cs="宋体" w:eastAsia="宋体"/>
                <w:sz w:val="21"/>
                <w:color w:val="000000"/>
              </w:rPr>
              <w:t>LAN，支持SCPI指令</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标的名称：程控可调衰减器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color w:val="000000"/>
              </w:rPr>
              <w:t>频率范围：</w:t>
            </w:r>
            <w:r>
              <w:rPr>
                <w:rFonts w:ascii="宋体" w:hAnsi="宋体" w:cs="宋体" w:eastAsia="宋体"/>
                <w:sz w:val="21"/>
                <w:color w:val="000000"/>
              </w:rPr>
              <w:t>DC～26.5GHz</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color w:val="000000"/>
              </w:rPr>
              <w:t>调节范围：</w:t>
            </w:r>
            <w:r>
              <w:rPr>
                <w:rFonts w:ascii="宋体" w:hAnsi="宋体" w:cs="宋体" w:eastAsia="宋体"/>
                <w:sz w:val="21"/>
                <w:color w:val="000000"/>
              </w:rPr>
              <w:t>0～70dB</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1"/>
                <w:color w:val="000000"/>
              </w:rPr>
              <w:t>步进值：</w:t>
            </w:r>
            <w:r>
              <w:rPr>
                <w:rFonts w:ascii="宋体" w:hAnsi="宋体" w:cs="宋体" w:eastAsia="宋体"/>
                <w:sz w:val="21"/>
                <w:color w:val="000000"/>
              </w:rPr>
              <w:t>≦1dB</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1"/>
                <w:color w:val="000000"/>
              </w:rPr>
              <w:t>衰减精度：</w:t>
            </w:r>
            <w:r>
              <w:rPr>
                <w:rFonts w:ascii="宋体" w:hAnsi="宋体" w:cs="宋体" w:eastAsia="宋体"/>
                <w:sz w:val="21"/>
                <w:color w:val="000000"/>
              </w:rPr>
              <w:t>≦±1dB</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color w:val="000000"/>
              </w:rPr>
              <w:t>程控接口：</w:t>
            </w:r>
            <w:r>
              <w:rPr>
                <w:rFonts w:ascii="宋体" w:hAnsi="宋体" w:cs="宋体" w:eastAsia="宋体"/>
                <w:sz w:val="21"/>
                <w:color w:val="000000"/>
              </w:rPr>
              <w:t>LAN</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1"/>
                <w:color w:val="000000"/>
              </w:rPr>
              <w:t>使用寿命</w:t>
            </w:r>
            <w:r>
              <w:rPr>
                <w:rFonts w:ascii="宋体" w:hAnsi="宋体" w:cs="宋体" w:eastAsia="宋体"/>
                <w:sz w:val="21"/>
                <w:color w:val="000000"/>
              </w:rPr>
              <w:t>: ≥500万次</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1"/>
                <w:color w:val="000000"/>
              </w:rPr>
              <w:t>最大输入功率：平均功率</w:t>
            </w:r>
            <w:r>
              <w:rPr>
                <w:rFonts w:ascii="宋体" w:hAnsi="宋体" w:cs="宋体" w:eastAsia="宋体"/>
                <w:sz w:val="21"/>
                <w:color w:val="000000"/>
              </w:rPr>
              <w:t>: ≥1W</w:t>
            </w:r>
            <w:r>
              <w:rPr>
                <w:rFonts w:ascii="宋体" w:hAnsi="宋体" w:cs="宋体" w:eastAsia="宋体"/>
                <w:sz w:val="21"/>
                <w:color w:val="000000"/>
              </w:rPr>
              <w:t>，</w:t>
            </w:r>
            <w:r>
              <w:rPr>
                <w:rFonts w:ascii="宋体" w:hAnsi="宋体" w:cs="宋体" w:eastAsia="宋体"/>
                <w:sz w:val="21"/>
                <w:color w:val="000000"/>
              </w:rPr>
              <w:t>峰值功率</w:t>
            </w:r>
            <w:r>
              <w:rPr>
                <w:rFonts w:ascii="宋体" w:hAnsi="宋体" w:cs="宋体" w:eastAsia="宋体"/>
                <w:sz w:val="21"/>
                <w:color w:val="000000"/>
              </w:rPr>
              <w:t>: ≥50W</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1"/>
                <w:color w:val="000000"/>
              </w:rPr>
              <w:t>可重复性：</w:t>
            </w:r>
            <w:r>
              <w:rPr>
                <w:rFonts w:ascii="宋体" w:hAnsi="宋体" w:cs="宋体" w:eastAsia="宋体"/>
                <w:sz w:val="21"/>
                <w:color w:val="000000"/>
              </w:rPr>
              <w:t>≦0.03dB</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1"/>
                <w:color w:val="000000"/>
              </w:rPr>
              <w:t>切换速度</w:t>
            </w:r>
            <w:r>
              <w:rPr>
                <w:rFonts w:ascii="宋体" w:hAnsi="宋体" w:cs="宋体" w:eastAsia="宋体"/>
                <w:sz w:val="21"/>
                <w:color w:val="000000"/>
              </w:rPr>
              <w:t>:≦30ms</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交货期：合同签订之日起90天内完成交付、安装及调试</w:t>
      </w:r>
    </w:p>
    <w:p>
      <w:pPr>
        <w:pStyle w:val="null3"/>
      </w:pPr>
      <w:r>
        <w:rPr/>
        <w:t>采购包2：</w:t>
      </w:r>
    </w:p>
    <w:p>
      <w:pPr>
        <w:pStyle w:val="null3"/>
      </w:pPr>
      <w:r>
        <w:rPr/>
        <w:t>交货期：合同签订之日起90天内完成交付、安装及调试</w:t>
      </w:r>
    </w:p>
    <w:p>
      <w:pPr>
        <w:pStyle w:val="null3"/>
      </w:pPr>
      <w:r>
        <w:rPr/>
        <w:t>采购包3：</w:t>
      </w:r>
    </w:p>
    <w:p>
      <w:pPr>
        <w:pStyle w:val="null3"/>
      </w:pPr>
      <w:r>
        <w:rPr/>
        <w:t>交货期：合同签订之日起90天内完成交付、安装及调试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pPr>
      <w:r>
        <w:rPr/>
        <w:t>采购包2：</w:t>
      </w:r>
    </w:p>
    <w:p>
      <w:pPr>
        <w:pStyle w:val="null3"/>
      </w:pPr>
      <w:r>
        <w:rPr/>
        <w:t>西安工业大学指定地点</w:t>
      </w:r>
    </w:p>
    <w:p>
      <w:pPr>
        <w:pStyle w:val="null3"/>
      </w:pPr>
      <w:r>
        <w:rPr/>
        <w:t>采购包3：</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国产：设备验收合格后，提供相应发票，达到付款条件起 30 日内，支付合同总金额的 100.00%。 进口：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国产：设备验收合格后，提供相应发票，达到付款条件起 30 日内，支付合同总金额的 100.00%。 进口：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国产：设备验收合格后，提供相应发票，达到付款条件起 30 日内，支付合同总金额的 100.00%。 进口：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设备功能现场测试验证，技术指标通过第三方计量验证。 根据招标文件要求、投标文件及合同约定执行</w:t>
      </w:r>
    </w:p>
    <w:p>
      <w:pPr>
        <w:pStyle w:val="null3"/>
      </w:pPr>
      <w:r>
        <w:rPr/>
        <w:t>采购包2：</w:t>
      </w:r>
    </w:p>
    <w:p>
      <w:pPr>
        <w:pStyle w:val="null3"/>
      </w:pPr>
      <w:r>
        <w:rPr/>
        <w:t>设备功能现场测试验证，技术指标通过第三方计量验证。 根据招标文件要求、投标文件及合同约定执行</w:t>
      </w:r>
    </w:p>
    <w:p>
      <w:pPr>
        <w:pStyle w:val="null3"/>
      </w:pPr>
      <w:r>
        <w:rPr/>
        <w:t>采购包3：</w:t>
      </w:r>
    </w:p>
    <w:p>
      <w:pPr>
        <w:pStyle w:val="null3"/>
      </w:pPr>
      <w:r>
        <w:rPr/>
        <w:t>设备功能现场测试验证，技术指标通过第三方计量验证。 根据招标文件要求、投标文件及合同约定执行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质保期：验收合格通过之日起 5年。 服务期限：产品终身维修，质保期满后，仍需提供专业维修服务。 服务响应时间：接到维修电话后4小时内给予明确答复，必要时安排返厂维修，质保期内的运输费用由卖方承担。</w:t>
      </w:r>
    </w:p>
    <w:p>
      <w:pPr>
        <w:pStyle w:val="null3"/>
      </w:pPr>
      <w:r>
        <w:rPr/>
        <w:t>采购包2：</w:t>
      </w:r>
    </w:p>
    <w:p>
      <w:pPr>
        <w:pStyle w:val="null3"/>
      </w:pPr>
      <w:r>
        <w:rPr/>
        <w:t>质保期：验收合格通过之日起 5年。 服务期限：产品终身维修，质保期满后，仍需提供专业维修服务。 服务响应时间：接到维修电话后4小时内给予明确答复，必要时安排返厂维修，质保期内的运输费用由卖方承担。</w:t>
      </w:r>
    </w:p>
    <w:p>
      <w:pPr>
        <w:pStyle w:val="null3"/>
      </w:pPr>
      <w:r>
        <w:rPr/>
        <w:t>采购包3：</w:t>
      </w:r>
    </w:p>
    <w:p>
      <w:pPr>
        <w:pStyle w:val="null3"/>
      </w:pPr>
      <w:r>
        <w:rPr/>
        <w:t>质保期：验收合格通过之日起 5年。 服务期限：产品终身维修，质保期满后，仍需提供专业维修服务。 服务响应时间：接到维修电话后4小时内给予明确答复，必要时安排返厂维修，质保期内的运输费用由卖方承担。</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pPr>
      <w:r>
        <w:rPr/>
        <w:t>采购包3：</w:t>
      </w:r>
    </w:p>
    <w:p>
      <w:pPr>
        <w:pStyle w:val="null3"/>
      </w:pPr>
      <w:r>
        <w:rPr/>
        <w:t>根据招标文件要求、投标文件及合同约定执行</w:t>
      </w:r>
    </w:p>
    <w:p>
      <w:pPr>
        <w:pStyle w:val="null3"/>
        <w:jc w:val="left"/>
        <w:outlineLvl w:val="2"/>
      </w:pPr>
      <w:r>
        <w:rPr>
          <w:sz w:val="28"/>
          <w:b/>
        </w:rPr>
        <w:t>3.5其他要求</w:t>
      </w:r>
    </w:p>
    <w:p>
      <w:pPr>
        <w:pStyle w:val="null3"/>
      </w:pPr>
      <w:r>
        <w:rPr/>
        <w:t>采购包1-3： 1、必须为全新设备，不接受二手机、翻新机。 2、核心产品：矢量网络分析仪。 3、付款方式：国产：合同总金额为包含设备价格及设备运送到甲方指定地点的全部一切费用。设备验收合格后，提供相应发票；验收合格后，支付合同总金额的 100.00%。 进口：（1）、合同总金额为包含设备价格及设备运送到甲方指定地点的全部一切费用,甲方指定外贸公司的代理费由乙方承担。 （2）、甲方与外贸代理公司委托协议生效后，由丙方将本合同约定的合同款支付给甲方委托外贸公司办理相关事项，外贸代理项目一事一约定，详见双方外贸代理委托协议书。 （3）、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 （4）、货到验收无误后，最终由甲方委托的外贸代理公司向甲方开具结算发票。 4、符合教科文进口环节免税规定的可以报人民币免税价，供应商未明确人民币免税报价的，学校有权扣除报价中由学校主体减免的进口环节增值税。成交人民币报价不受结算汇率风险波动影响。 5、投标报价为完成本项目工作的全部费用。包含但不限于设备费用及设备运送并安装到使用单位指定地点前所产生的费用（含安装调试费）、保险费、商检费、售后服务费（含培训）、招标人委托进出口公司代理服务费等各项费用。 6、质保期内，设备维修需由境外厂家提供的，供应商应书面告知用户，经用户同意后做好维修事项的维保记录。 7、为顺利推进政府采购电子化交易半台应用工作，投标人需要在线提交所有通过电子化交易平台实施的政府采购项目的投标文件，同时，线下提交纸质版投标文件，正本壹份、副本贰份(标明投标人名称，密封递交)。若线上电子投标文件与纸质投标文件不一致的，以线上电子投标文件为准；若正本和副本不符，以正本为准。线下递交文件截止时间:详见本项目招标公告文件递交截止时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 不合格 投标报价未超过采购预算或 者最高限价 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投标文件的交货期、质保期</w:t>
            </w:r>
          </w:p>
        </w:tc>
        <w:tc>
          <w:tcPr>
            <w:tcW w:type="dxa" w:w="3322"/>
          </w:tcPr>
          <w:p>
            <w:pPr>
              <w:pStyle w:val="null3"/>
            </w:pPr>
            <w:r>
              <w:rPr/>
              <w:t>投标文件的交货期、质保期不满足招标文件要求 不合格 投标文件的交货期、质保期满足招标文件要求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产品技术参数表 分项报价表 投标函 商务应答表 供应商资格要求 标的清单</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开标一览表 分项报价表 标的清单</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产品技术参数表 商务应答表 供应商认为有必要说明的其他问题</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 格，存在法律、法规和招标文件规 定的其他无效情形 不合格</w:t>
            </w:r>
          </w:p>
        </w:tc>
        <w:tc>
          <w:tcPr>
            <w:tcW w:type="dxa" w:w="1661"/>
          </w:tcPr>
          <w:p>
            <w:pPr>
              <w:pStyle w:val="null3"/>
            </w:pPr>
            <w:r>
              <w:rPr/>
              <w:t>产品技术参数表 商务应答表 供应商认为有必要说明的其他问题</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 不合格 投标报价未超过采购预算或 者最高限价 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投标文件的交货期、质保期</w:t>
            </w:r>
          </w:p>
        </w:tc>
        <w:tc>
          <w:tcPr>
            <w:tcW w:type="dxa" w:w="3322"/>
          </w:tcPr>
          <w:p>
            <w:pPr>
              <w:pStyle w:val="null3"/>
            </w:pPr>
            <w:r>
              <w:rPr/>
              <w:t>投标文件的交货期、质保期不满足招标文件要求 不合格 投标文件的交货期、质保期满足招标文件要求 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产品技术参数表 分项报价表 投标函 商务应答表 供应商资格要求 标的清单</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开标一览表 分项报价表 标的清单 投标文件封面</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产品技术参数表 商务应答表 供应商认为有必要说明的其他问题</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 格，存在法律、法规和招标文件规 定的其他无效情形 不合格</w:t>
            </w:r>
          </w:p>
        </w:tc>
        <w:tc>
          <w:tcPr>
            <w:tcW w:type="dxa" w:w="1661"/>
          </w:tcPr>
          <w:p>
            <w:pPr>
              <w:pStyle w:val="null3"/>
            </w:pPr>
            <w:r>
              <w:rPr/>
              <w:t>产品技术参数表 商务应答表 供应商认为有必要说明的其他问题</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 不合格 投标报价未超过采购预算或 者最高限价 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投标文件的交货期、质保期</w:t>
            </w:r>
          </w:p>
        </w:tc>
        <w:tc>
          <w:tcPr>
            <w:tcW w:type="dxa" w:w="3322"/>
          </w:tcPr>
          <w:p>
            <w:pPr>
              <w:pStyle w:val="null3"/>
            </w:pPr>
            <w:r>
              <w:rPr/>
              <w:t>投标文件的交货期、质保期不满足招标文件要求 不合格 投标文件的交货期、质保期满足招标文件要求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产品技术参数表 分项报价表 投标函 商务应答表 供应商资格要求 标的清单</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开标一览表 分项报价表 标的清单</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产品技术参数表 商务应答表 供应商认为有必要说明的其他问题</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 格，存在法律、法规和招标文件规 定的其他无效情形 不合格</w:t>
            </w:r>
          </w:p>
        </w:tc>
        <w:tc>
          <w:tcPr>
            <w:tcW w:type="dxa" w:w="1661"/>
          </w:tcPr>
          <w:p>
            <w:pPr>
              <w:pStyle w:val="null3"/>
            </w:pPr>
            <w:r>
              <w:rPr/>
              <w:t>产品技术参数表 商务应答表 供应商认为有必要说明的其他问题</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根据供应商提供所投产品的技术偏离表及相应的证明材料（包括但不限于测试报告、功能截图等技术证明材料），经评审专家审定得分。 基本分（35分）：完全符合、响应招标文件要求，没有负偏离计35分，“▲”参数每负偏离一项扣3分，未带标识参数每负偏离一项扣1分，扣完为止。 加分（5分）：在基本分的基础上，响应产品技术指标、参数经评审专家认定优于招标文件规定的相应技术指标、参数，并且有实质性能提升的(提供证明材料)，根据响应程度进行相应加分，参数正偏离每一项加1分，最多加5分。未提供证明材料的不予加分。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①项目总体实施方案；②项目团队方案；③项目实施时间安排方案；④系统安装调试方案；⑤项目验收方案。每项最高计2分，每项未提供不得分，最高计10分。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 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根据供应商提供所投产品的技术偏离表及相应的证明材料（包括但不限于测试报告、功能截图等技术证明材料），经评审专家审定得分。 基本分（34分）：完全符合、响应招标文件要求，没有负偏离计34分，“▲”参数每负偏离一项扣5分，未带标识参数每负偏离一项扣2分，扣完为止。 加分（6分）：在基本分的基础上，响应产品技术指标、参数经评审专家认定优于招标文件规定的相应技术指标、参数，并且有实质性能提升的(提供证明材料)，根据响应程度进行相应加分，参数正偏离每一项加2分，最多加6分。未提供证明材料的不予加分。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①项目总体实施方案；②项目团队方案；③项目实施时间安排方案；④系统安装调试方案；⑤项目验收方案。每项最高计2分，每项未提供不得分，最高计10分。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 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根据供应商提供所投产品的技术偏离表及相应的证明材料（包括但不限于测试报告、功能截图等技术证明材料），经评审专家审定得分。 基本分（34分）：完全符合、响应招标文件要求，没有负偏离计34分，“▲”参数每负偏离一项扣6分，未带标识参数每负偏离一项扣2分，扣完为止。 加分（6分）：在基本分的基础上，响应产品技术指标、参数经评审专家认定优于招标文件规定的相应技术指标、参数，并且有实质性能提升的(提供证明材料)，根据响应程度进行相应加分，参数正偏离每一项加2分，最多加6分。未提供证明材料的不予加分。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①项目总体实施方案；②项目团队方案；③项目实施时间安排方案；④系统安装调试方案；⑤项目验收方案。每项最高计2分，每项未提供不得分，最高计10分。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 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