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朱鹮饲养研究场所维护</w:t>
      </w:r>
    </w:p>
    <w:p>
      <w:pPr>
        <w:pStyle w:val="null3"/>
        <w:jc w:val="center"/>
        <w:outlineLvl w:val="2"/>
      </w:pPr>
      <w:r>
        <w:rPr>
          <w:sz w:val="28"/>
          <w:b/>
        </w:rPr>
        <w:t>采购项目编号：</w:t>
      </w:r>
      <w:r>
        <w:rPr>
          <w:sz w:val="28"/>
          <w:b/>
        </w:rPr>
        <w:t>SXWK-ZFC-2024-012</w:t>
      </w:r>
      <w:r>
        <w:br/>
      </w:r>
      <w:r>
        <w:br/>
      </w:r>
      <w:r>
        <w:br/>
      </w:r>
    </w:p>
    <w:p>
      <w:pPr>
        <w:pStyle w:val="null3"/>
        <w:jc w:val="center"/>
        <w:outlineLvl w:val="2"/>
      </w:pPr>
      <w:r>
        <w:rPr>
          <w:sz w:val="28"/>
          <w:b/>
        </w:rPr>
        <w:t>陕西汉中朱鹮国家级自然保护区管理局</w:t>
      </w:r>
    </w:p>
    <w:p>
      <w:pPr>
        <w:pStyle w:val="null3"/>
        <w:jc w:val="center"/>
        <w:outlineLvl w:val="2"/>
      </w:pPr>
      <w:r>
        <w:rPr>
          <w:sz w:val="28"/>
          <w:b/>
        </w:rPr>
        <w:t>陕西万科项目管理咨询有限公司</w:t>
      </w:r>
      <w:r>
        <w:rPr>
          <w:sz w:val="28"/>
          <w:b/>
        </w:rPr>
        <w:t>共同编制</w:t>
      </w:r>
    </w:p>
    <w:p>
      <w:pPr>
        <w:pStyle w:val="null3"/>
        <w:jc w:val="center"/>
        <w:outlineLvl w:val="2"/>
      </w:pPr>
      <w:r>
        <w:rPr>
          <w:sz w:val="28"/>
          <w:b/>
        </w:rPr>
        <w:t>2024年09月23日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陕西万科项目管理咨询有限公司</w:t>
      </w:r>
      <w:r>
        <w:rPr/>
        <w:t>（以下简称“代理机构”）受</w:t>
      </w:r>
      <w:r>
        <w:rPr/>
        <w:t>陕西汉中朱鹮国家级自然保护区管理局</w:t>
      </w:r>
      <w:r>
        <w:rPr/>
        <w:t>委托，拟对</w:t>
      </w:r>
      <w:r>
        <w:rPr/>
        <w:t>朱鹮饲养研究场所维护</w:t>
      </w:r>
      <w:r>
        <w:rPr/>
        <w:t>进行国内公开招标，兹邀请符合本次招标要求的供应商参加投标。</w:t>
      </w:r>
    </w:p>
    <w:p>
      <w:pPr>
        <w:pStyle w:val="null3"/>
        <w:outlineLvl w:val="2"/>
      </w:pPr>
      <w:r>
        <w:rPr>
          <w:sz w:val="28"/>
          <w:b/>
        </w:rPr>
        <w:t>一、采购项目编号：</w:t>
      </w:r>
      <w:r>
        <w:rPr>
          <w:sz w:val="28"/>
          <w:b/>
        </w:rPr>
        <w:t>SXWK-ZFC-2024-012</w:t>
      </w:r>
    </w:p>
    <w:p>
      <w:pPr>
        <w:pStyle w:val="null3"/>
        <w:outlineLvl w:val="2"/>
      </w:pPr>
      <w:r>
        <w:rPr>
          <w:sz w:val="28"/>
          <w:b/>
        </w:rPr>
        <w:t>二、采购项目名称：</w:t>
      </w:r>
      <w:r>
        <w:rPr>
          <w:sz w:val="28"/>
          <w:b/>
        </w:rPr>
        <w:t>朱鹮饲养研究场所维护</w:t>
      </w:r>
    </w:p>
    <w:p>
      <w:pPr>
        <w:pStyle w:val="null3"/>
        <w:outlineLvl w:val="2"/>
      </w:pPr>
      <w:r>
        <w:rPr>
          <w:sz w:val="28"/>
          <w:b/>
        </w:rPr>
        <w:t>三、招标项目简介</w:t>
      </w:r>
    </w:p>
    <w:p>
      <w:pPr>
        <w:pStyle w:val="null3"/>
        <w:ind w:firstLine="480"/>
      </w:pPr>
      <w:r>
        <w:rPr/>
        <w:t>提供朱鹮野化大网笼修缮、朱鹮人工饲养笼舍维护、华阳种源基地养殖池维护改造、汉台保护站业务用房修缮改造服务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采购包1（朱鹮饲养研究场所维护）：属于专门面向中小企业采购。</w:t>
      </w:r>
    </w:p>
    <w:p>
      <w:pPr>
        <w:pStyle w:val="null3"/>
        <w:ind w:firstLine="480"/>
      </w:pPr>
      <w:r>
        <w:rPr/>
        <w:t>（三）本项目的特定资格要求：</w:t>
      </w:r>
    </w:p>
    <w:p>
      <w:pPr>
        <w:pStyle w:val="null3"/>
      </w:pPr>
      <w:r>
        <w:rPr/>
        <w:t>采购包1：</w:t>
      </w:r>
    </w:p>
    <w:p>
      <w:pPr>
        <w:pStyle w:val="null3"/>
      </w:pPr>
      <w:r>
        <w:rPr/>
        <w:t>1、营业执照：供应商为具有独立承担民事责任能力的法人或其他组织或自然人，并出具营业执照（事业法人证）或证明文件或自然人的身份证明</w:t>
      </w:r>
    </w:p>
    <w:p>
      <w:pPr>
        <w:pStyle w:val="null3"/>
      </w:pPr>
      <w:r>
        <w:rPr/>
        <w:t>2、财务状况报告：财务状况报告：提供具有财务审计资质单位出具的2023年度的财务审计报告（至少包括资产负债表和利润表，成立时间至提交投标文件截止时间不足一年的可提供成立后任意时段的资产负债表），或其基本存款账户开户银行出具的近三个月的资信证明</w:t>
      </w:r>
    </w:p>
    <w:p>
      <w:pPr>
        <w:pStyle w:val="null3"/>
      </w:pPr>
      <w:r>
        <w:rPr/>
        <w:t>3、税收缴纳证明：税收缴纳证明：提供投标文件提交截止时间前6个月内任意一个月的纳税证明（银行缴费凭证）或完税证明（依法免税的供应商应提供相关文件证明）</w:t>
      </w:r>
    </w:p>
    <w:p>
      <w:pPr>
        <w:pStyle w:val="null3"/>
      </w:pPr>
      <w:r>
        <w:rPr/>
        <w:t>4、社会保障资金缴纳证明：社会保障资金缴纳证明：提供投标文件提交截止时间前6个月内任意一个月的社会养老保障资金银行缴费单据或社保机构开具的社会养老保险参保缴费情况证明（依法不需要缴纳社会保障资金的供应商应提供相关证明）</w:t>
      </w:r>
    </w:p>
    <w:p>
      <w:pPr>
        <w:pStyle w:val="null3"/>
      </w:pPr>
      <w:r>
        <w:rPr/>
        <w:t>5、书面声明：书面声明：①参加本次政府采购活动前三年内在经营活动中没有重大违纪，②具有履行合同所必需的设备和专业技术能力</w:t>
      </w:r>
    </w:p>
    <w:p>
      <w:pPr>
        <w:pStyle w:val="null3"/>
      </w:pPr>
      <w:r>
        <w:rPr/>
        <w:t>6、信誉要求：供应商不得为“中国执行信息公开网”网站列入失信被执行人、不得为“信用中国”网站列入重大税收违法失信主体的供应商，不得为“中国政府采购网”政府采购严重违法失信行为记录名单中被财政部门禁止参加政府采购活动的供应商，截止时点为招标文件发售起至投标文件提交截止时间止（提供查询结果网页清晰截图并加盖供应商公章）</w:t>
      </w:r>
    </w:p>
    <w:p>
      <w:pPr>
        <w:pStyle w:val="null3"/>
      </w:pPr>
      <w:r>
        <w:rPr/>
        <w:t>7、单位负责人为同一人或者存在控股、管理关系的不同供应商，不得同时参加本项目采购活动：单位负责人为同一人或者存在控股、管理关系的不同供应商，不得同时参加本项目采购活动</w:t>
      </w:r>
    </w:p>
    <w:p>
      <w:pPr>
        <w:pStyle w:val="null3"/>
      </w:pPr>
      <w:r>
        <w:rPr/>
        <w:t>8、中小企业：本项目专门面向中小企业采购，投标人需提供中小企业声明函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陕西汉中朱鹮国家级自然保护区管理局</w:t>
      </w:r>
    </w:p>
    <w:p>
      <w:pPr>
        <w:pStyle w:val="null3"/>
      </w:pPr>
      <w:r>
        <w:rPr/>
        <w:t xml:space="preserve"> 地址： </w:t>
      </w:r>
      <w:r>
        <w:rPr/>
        <w:t>洋县文明东路348号</w:t>
      </w:r>
    </w:p>
    <w:p>
      <w:pPr>
        <w:pStyle w:val="null3"/>
      </w:pPr>
      <w:r>
        <w:rPr/>
        <w:t xml:space="preserve"> 邮编： </w:t>
      </w:r>
      <w:r>
        <w:rPr/>
        <w:t>723300</w:t>
      </w:r>
    </w:p>
    <w:p>
      <w:pPr>
        <w:pStyle w:val="null3"/>
      </w:pPr>
      <w:r>
        <w:rPr/>
        <w:t xml:space="preserve"> 联系人： </w:t>
      </w:r>
      <w:r>
        <w:rPr/>
        <w:t>黄先生</w:t>
      </w:r>
    </w:p>
    <w:p>
      <w:pPr>
        <w:pStyle w:val="null3"/>
      </w:pPr>
      <w:r>
        <w:rPr/>
        <w:t xml:space="preserve"> 联系电话： </w:t>
      </w:r>
      <w:r>
        <w:rPr/>
        <w:t>0916-8212853</w:t>
      </w:r>
    </w:p>
    <w:p>
      <w:pPr>
        <w:pStyle w:val="null3"/>
        <w:outlineLvl w:val="2"/>
      </w:pPr>
      <w:r>
        <w:rPr>
          <w:sz w:val="28"/>
          <w:b/>
        </w:rPr>
        <w:t>代理机构：</w:t>
      </w:r>
      <w:r>
        <w:rPr>
          <w:sz w:val="28"/>
          <w:b/>
        </w:rPr>
        <w:t>陕西万科项目管理咨询有限公司</w:t>
      </w:r>
    </w:p>
    <w:p>
      <w:pPr>
        <w:pStyle w:val="null3"/>
      </w:pPr>
      <w:r>
        <w:rPr/>
        <w:t xml:space="preserve"> 地址： </w:t>
      </w:r>
      <w:r>
        <w:rPr/>
        <w:t>陕西省汉中市汉台区北关街道办事处前进东路王观营村综合楼五楼509室</w:t>
      </w:r>
    </w:p>
    <w:p>
      <w:pPr>
        <w:pStyle w:val="null3"/>
      </w:pPr>
      <w:r>
        <w:rPr/>
        <w:t xml:space="preserve"> 邮编： </w:t>
      </w:r>
      <w:r>
        <w:rPr/>
        <w:t>723000</w:t>
      </w:r>
    </w:p>
    <w:p>
      <w:pPr>
        <w:pStyle w:val="null3"/>
      </w:pPr>
      <w:r>
        <w:rPr/>
        <w:t xml:space="preserve"> 联系人： </w:t>
      </w:r>
      <w:r>
        <w:rPr/>
        <w:t>杨女士</w:t>
      </w:r>
    </w:p>
    <w:p>
      <w:pPr>
        <w:pStyle w:val="null3"/>
      </w:pPr>
      <w:r>
        <w:rPr/>
        <w:t xml:space="preserve"> 联系电话： </w:t>
      </w:r>
      <w:r>
        <w:rPr/>
        <w:t>18240865112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采购包1：824,000.00元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文件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陕西汉中朱鹮国家级自然保护区管理局</w:t>
      </w:r>
      <w:r>
        <w:rPr/>
        <w:t>和</w:t>
      </w:r>
      <w:r>
        <w:rPr/>
        <w:t>陕西万科项目管理咨询有限公司</w:t>
      </w:r>
      <w:r>
        <w:rPr/>
        <w:t>享有。对招标文件中供应商参加本次政府采购活动应当具备的条件，招标项目技术、服务、商务及其他要求，评标细则及标准由</w:t>
      </w:r>
      <w:r>
        <w:rPr/>
        <w:t>陕西汉中朱鹮国家级自然保护区管理局</w:t>
      </w:r>
      <w:r>
        <w:rPr/>
        <w:t>负责解释。除上述招标文件内容，其他内容由</w:t>
      </w:r>
      <w:r>
        <w:rPr/>
        <w:t>陕西万科项目管理咨询有限公司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陕西汉中朱鹮国家级自然保护区管理局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陕西万科项目管理咨询有限公司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保证质量达到合同要求的质量标准，确保野化大网笼、笼舍、养殖池、业务用房的良好运行。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陕西万科项目管理咨询有限公司</w:t>
      </w:r>
      <w:r>
        <w:rPr/>
        <w:t xml:space="preserve"> 负责答复；供应商对除采购需求外的采购文件的询问、质疑由</w:t>
      </w:r>
      <w:r>
        <w:rPr/>
        <w:t>陕西万科项目管理咨询有限公司</w:t>
      </w:r>
      <w:r>
        <w:rPr/>
        <w:t xml:space="preserve"> 负责答复；供应商对采购过程、采购结果的询问、质疑由 </w:t>
      </w:r>
      <w:r>
        <w:rPr/>
        <w:t>陕西万科项目管理咨询有限公司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联系人：杨女士</w:t>
      </w:r>
    </w:p>
    <w:p>
      <w:pPr>
        <w:pStyle w:val="null3"/>
      </w:pPr>
      <w:r>
        <w:rPr/>
        <w:t>联系电话：18240865112</w:t>
      </w:r>
    </w:p>
    <w:p>
      <w:pPr>
        <w:pStyle w:val="null3"/>
      </w:pPr>
      <w:r>
        <w:rPr/>
        <w:t>地址：陕西省汉中市汉台区北关街道办事处前进东路王观营村综合楼五楼509室</w:t>
      </w:r>
    </w:p>
    <w:p>
      <w:pPr>
        <w:pStyle w:val="null3"/>
      </w:pPr>
      <w:r>
        <w:rPr/>
        <w:t>邮编：723000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提供朱鹮野化大网笼修缮、朱鹮人工饲养笼舍维护、华阳种源基地养殖池维护改造、汉台保护站业务用房修缮改造服务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824,000.00</w:t>
      </w:r>
    </w:p>
    <w:p>
      <w:pPr>
        <w:pStyle w:val="null3"/>
      </w:pPr>
      <w:r>
        <w:rPr/>
        <w:t>采购包最高限价（元）: 824,000.00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朱鹮饲养研究场所维护</w:t>
            </w:r>
          </w:p>
        </w:tc>
        <w:tc>
          <w:tcPr>
            <w:tcW w:type="dxa" w:w="831"/>
          </w:tcPr>
          <w:p>
            <w:pPr>
              <w:pStyle w:val="null3"/>
              <w:jc w:val="right"/>
            </w:pPr>
            <w:r>
              <w:rPr/>
              <w:t>4.00</w:t>
            </w:r>
          </w:p>
        </w:tc>
        <w:tc>
          <w:tcPr>
            <w:tcW w:type="dxa" w:w="831"/>
          </w:tcPr>
          <w:p>
            <w:pPr>
              <w:pStyle w:val="null3"/>
              <w:jc w:val="right"/>
            </w:pPr>
            <w:r>
              <w:rPr/>
              <w:t>824,000.00</w:t>
            </w:r>
          </w:p>
        </w:tc>
        <w:tc>
          <w:tcPr>
            <w:tcW w:type="dxa" w:w="831"/>
          </w:tcPr>
          <w:p>
            <w:pPr>
              <w:pStyle w:val="null3"/>
            </w:pPr>
            <w:r>
              <w:rPr/>
              <w:t>处</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标的名称：朱鹮饲养研究场所维护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0"/>
                <w:color w:val="000000"/>
              </w:rPr>
              <w:t>朱鹮野化大网笼修缮包含：网片60片，约180m，包含更换、除锈、刷漆等。</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朱鹮人工饲养笼舍维护包含：对120平方米的朱鹮笼舍进行修缮，包括沙石铺垫、修补等，并对原围墙修补。</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华阳种源基地的1处泥鳅养殖池维护改造服务包含修缮、防水等</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汉台保护站业务用房修缮改造服务1项包含：室内墙面修复488平方米，顶棚涂膜防水231平方米，天棚吊顶231平方米，水电线路改造服务等</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3.2.4设施设备配置要求</w:t>
      </w:r>
    </w:p>
    <w:p>
      <w:pPr>
        <w:pStyle w:val="null3"/>
      </w:pPr>
      <w:r>
        <w:rPr/>
        <w:t>采购包1：</w:t>
      </w:r>
    </w:p>
    <w:p>
      <w:pPr>
        <w:pStyle w:val="null3"/>
      </w:pPr>
      <w:r>
        <w:rPr/>
        <w:t>/</w:t>
      </w:r>
    </w:p>
    <w:p>
      <w:pPr>
        <w:pStyle w:val="null3"/>
        <w:outlineLvl w:val="3"/>
      </w:pPr>
      <w:r>
        <w:rPr>
          <w:sz w:val="24"/>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2024年10月25日至2025年6月25日</w:t>
      </w:r>
    </w:p>
    <w:p>
      <w:pPr>
        <w:pStyle w:val="null3"/>
        <w:outlineLvl w:val="3"/>
      </w:pPr>
      <w:r>
        <w:rPr>
          <w:sz w:val="24"/>
          <w:b/>
        </w:rPr>
        <w:t>3.3.2服务地点</w:t>
      </w:r>
    </w:p>
    <w:p>
      <w:pPr>
        <w:pStyle w:val="null3"/>
      </w:pPr>
      <w:r>
        <w:rPr/>
        <w:t>采购包1：</w:t>
      </w:r>
    </w:p>
    <w:p>
      <w:pPr>
        <w:pStyle w:val="null3"/>
      </w:pPr>
      <w:r>
        <w:rPr/>
        <w:t>汉台区汉台管护站，洋县纸坊办朱鹮人工繁育中心，洋县华阳朱鹮种源基地。（共3处地点）</w:t>
      </w:r>
    </w:p>
    <w:p>
      <w:pPr>
        <w:pStyle w:val="null3"/>
        <w:outlineLvl w:val="3"/>
      </w:pPr>
      <w:r>
        <w:rPr>
          <w:sz w:val="24"/>
          <w:b/>
        </w:rPr>
        <w:t>3.3.3考核（验收）标准和方法</w:t>
      </w:r>
    </w:p>
    <w:p>
      <w:pPr>
        <w:pStyle w:val="null3"/>
      </w:pPr>
      <w:r>
        <w:rPr/>
        <w:t>采购包1：</w:t>
      </w:r>
    </w:p>
    <w:p>
      <w:pPr>
        <w:pStyle w:val="null3"/>
      </w:pPr>
      <w:r>
        <w:rPr/>
        <w:t>达到行业合格标准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项目内容执行完工时</w:t>
      </w:r>
      <w:r>
        <w:rPr/>
        <w:t xml:space="preserve"> ，达到付款条件起 </w:t>
      </w:r>
      <w:r>
        <w:rPr/>
        <w:t>5</w:t>
      </w:r>
      <w:r>
        <w:rPr/>
        <w:t xml:space="preserve"> 日内，支付合同总金额的 </w:t>
      </w:r>
      <w:r>
        <w:rPr/>
        <w:t>50.00</w:t>
      </w:r>
      <w:r>
        <w:rPr/>
        <w:t>%。</w:t>
      </w:r>
    </w:p>
    <w:p>
      <w:pPr>
        <w:pStyle w:val="null3"/>
      </w:pPr>
      <w:r>
        <w:rPr/>
        <w:t>采购包1：</w:t>
      </w:r>
      <w:r>
        <w:rPr/>
        <w:t xml:space="preserve"> 付款条件说明： </w:t>
      </w:r>
      <w:r>
        <w:rPr/>
        <w:t>验收通过</w:t>
      </w:r>
      <w:r>
        <w:rPr/>
        <w:t xml:space="preserve"> ，达到付款条件起 </w:t>
      </w:r>
      <w:r>
        <w:rPr/>
        <w:t>5</w:t>
      </w:r>
      <w:r>
        <w:rPr/>
        <w:t xml:space="preserve"> 日内，支付合同总金额的 </w:t>
      </w:r>
      <w:r>
        <w:rPr/>
        <w:t>10.00</w:t>
      </w:r>
      <w:r>
        <w:rPr/>
        <w:t>%。</w:t>
      </w:r>
    </w:p>
    <w:p>
      <w:pPr>
        <w:pStyle w:val="null3"/>
        <w:outlineLvl w:val="3"/>
      </w:pPr>
      <w:r>
        <w:rPr>
          <w:sz w:val="24"/>
          <w:b/>
        </w:rPr>
        <w:t>3.3.6违约责任与解决争议的方法</w:t>
      </w:r>
    </w:p>
    <w:p>
      <w:pPr>
        <w:pStyle w:val="null3"/>
      </w:pPr>
      <w:r>
        <w:rPr/>
        <w:t>采购包1：</w:t>
      </w:r>
    </w:p>
    <w:p>
      <w:pPr>
        <w:pStyle w:val="null3"/>
      </w:pPr>
      <w:r>
        <w:rPr/>
        <w:t>1）按照《中华人民共和国民法典》中的相关条款执行。 2）成交人未按合同要求提供货物与服务或货物与服务质量不能满足采购要求，且在规定时间内未达到合同规定标准的，采购人有权终止合同，同时报请监管部门对其违约行为进行追究。</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供应商为具有独立承担民事责任能力的法人或其他组织或自然人，并出具营业执照（事业法人证）或证明文件或自然人的身份证明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2023年度的财务审计报告（至少包括资产负债表和利润表，成立时间至提交投标文件截止时间不足一年的可提供成立后任意时段的资产负债表），或其基本存款账户开户银行出具的近三个月的资信证明</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税收缴纳证明：提供投标文件提交截止时间前6个月内任意一个月的纳税证明（银行缴费凭证）或完税证明（依法免税的供应商应提供相关文件证明）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投标文件提交截止时间前6个月内任意一个月的社会养老保障资金银行缴费单据或社保机构开具的社会养老保险参保缴费情况证明（依法不需要缴纳社会保障资金的供应商应提供相关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书面声明：①参加本次政府采购活动前三年内在经营活动中没有重大违纪，②具有履行合同所必需的设备和专业技术能力</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信誉要求</w:t>
            </w:r>
          </w:p>
        </w:tc>
        <w:tc>
          <w:tcPr>
            <w:tcW w:type="dxa" w:w="3322"/>
          </w:tcPr>
          <w:p>
            <w:pPr>
              <w:pStyle w:val="null3"/>
            </w:pPr>
            <w:r>
              <w:rPr/>
              <w:t>供应商不得为“中国执行信息公开网”网站列入失信被执行人、不得为“信用中国”网站列入重大税收违法失信主体的供应商，不得为“中国政府采购网”政府采购严重违法失信行为记录名单中被财政部门禁止参加政府采购活动的供应商，截止时点为招标文件发售起至投标文件提交截止时间止（提供查询结果网页清晰截图并加盖供应商公章）</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单位负责人为同一人或者存在控股、管理关系的不同供应商，不得同时参加本项目采购活动</w:t>
            </w:r>
          </w:p>
        </w:tc>
        <w:tc>
          <w:tcPr>
            <w:tcW w:type="dxa" w:w="3322"/>
          </w:tcPr>
          <w:p>
            <w:pPr>
              <w:pStyle w:val="null3"/>
            </w:pPr>
            <w:r>
              <w:rPr/>
              <w:t>单位负责人为同一人或者存在控股、管理关系的不同供应商，不得同时参加本项目采购活动</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中小企业</w:t>
            </w:r>
          </w:p>
        </w:tc>
        <w:tc>
          <w:tcPr>
            <w:tcW w:type="dxa" w:w="3322"/>
          </w:tcPr>
          <w:p>
            <w:pPr>
              <w:pStyle w:val="null3"/>
            </w:pPr>
            <w:r>
              <w:rPr/>
              <w:t>本项目专门面向中小企业采购，投标人需提供中小企业声明函</w:t>
            </w:r>
          </w:p>
        </w:tc>
        <w:tc>
          <w:tcPr>
            <w:tcW w:type="dxa" w:w="1661"/>
          </w:tcPr>
          <w:p>
            <w:pPr>
              <w:pStyle w:val="null3"/>
            </w:pPr>
            <w:r>
              <w:rPr/>
              <w:t>中小企业声明函 残疾人福利性单位声明函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投标文件封面、投标函的投标人名称与营业执照名称一致</w:t>
            </w:r>
          </w:p>
        </w:tc>
        <w:tc>
          <w:tcPr>
            <w:tcW w:type="dxa" w:w="1661"/>
          </w:tcPr>
          <w:p>
            <w:pPr>
              <w:pStyle w:val="null3"/>
            </w:pPr>
            <w:r>
              <w:rPr/>
              <w:t>投标函 投标文件封面 投标人应提交的相关资格证明材料</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投标文件签署、盖章是否符合招标文件要求。</w:t>
            </w:r>
          </w:p>
        </w:tc>
        <w:tc>
          <w:tcPr>
            <w:tcW w:type="dxa" w:w="1661"/>
          </w:tcPr>
          <w:p>
            <w:pPr>
              <w:pStyle w:val="null3"/>
            </w:pPr>
            <w:r>
              <w:rPr/>
              <w:t>开标一览表 服务内容及服务邀请应答表 投标函 商务应答表 投标文件封面 投标人应提交的相关资格证明材料</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投标有效期是否符合招标文件的要求。</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投标报价是否符合要求。①、投标报价符合唯一性要求：②、报价表填写符合要求；③、计量单位、报价货币均符合投标文件要求；④、未超出采购预算或招标文件规定的最高限价。</w:t>
            </w:r>
          </w:p>
        </w:tc>
        <w:tc>
          <w:tcPr>
            <w:tcW w:type="dxa" w:w="1661"/>
          </w:tcPr>
          <w:p>
            <w:pPr>
              <w:pStyle w:val="null3"/>
            </w:pPr>
            <w:r>
              <w:rPr/>
              <w:t>开标一览表 投标函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根据招标文件要求制定完善、具体、可行的技术服务方案（包含：月度、年度维保方案）根据响应情况综合赋分。 1、完全满足的前提下优于招标文件维保要求的，有详细的维保制度、维保计划、操作规程且维保方案流程清晰、具体、合理，针对空调使用规律制定操作性强、安全度高的方案得35.1-45分； 2、能完全满足招标文件维保要求，有详细的维保制度、维保计划、操作规程，能针对空调使用规律制定合适方案，符合本次采购期限内的维保服务的要求，得25.1-35分； 3、能基本满足招标文件维保要求无缺项漏项，有基本的运行维保制度、维保计划、操作规程的得15.1-25分，基本满足招标文件要求无缺漏项，提供运行维保制度、维保计划、操作规程但不够完整详细得5.1-15分； 4、未提供方案或不能完全满足招标文件维保要求，存在缺项漏项且维保方案流程模糊不具体得0-5分。</w:t>
            </w:r>
          </w:p>
        </w:tc>
        <w:tc>
          <w:tcPr>
            <w:tcW w:type="dxa" w:w="831"/>
          </w:tcPr>
          <w:p>
            <w:pPr>
              <w:pStyle w:val="null3"/>
              <w:jc w:val="right"/>
            </w:pPr>
            <w:r>
              <w:rPr/>
              <w:t>45.0000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根据供应商针对本项目服务过程突发事件的预计、处理，制定完善、具体、可行的应急预案及应急演练方案进行综合评分。优的得10.1-15分，一般的得5.1-10分，差的得0-5分。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应急预案</w:t>
            </w:r>
          </w:p>
        </w:tc>
      </w:tr>
      <w:tr>
        <w:tc>
          <w:tcPr>
            <w:tcW w:type="dxa" w:w="831"/>
            <w:vMerge/>
          </w:tcPr>
          <w:p/>
        </w:tc>
        <w:tc>
          <w:tcPr>
            <w:tcW w:type="dxa" w:w="1661"/>
          </w:tcPr>
          <w:p>
            <w:pPr>
              <w:pStyle w:val="null3"/>
            </w:pPr>
            <w:r>
              <w:rPr/>
              <w:t>维保服务承诺</w:t>
            </w:r>
          </w:p>
        </w:tc>
        <w:tc>
          <w:tcPr>
            <w:tcW w:type="dxa" w:w="2492"/>
          </w:tcPr>
          <w:p>
            <w:pPr>
              <w:pStyle w:val="null3"/>
            </w:pPr>
            <w:r>
              <w:rPr/>
              <w:t>根据供应商针对设备可能出现的问题及重大故障，有具体可行的措施和解决方案，对故障响应时间、维修服务时限及特殊情况下不能及时排除故障造成损失的赔偿方案等方面有明确的承诺，进行综合评分。优的得7.1-10分，一般的得3.1-7分，差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维保服务承诺</w:t>
            </w:r>
          </w:p>
        </w:tc>
      </w:tr>
      <w:tr>
        <w:tc>
          <w:tcPr>
            <w:tcW w:type="dxa" w:w="831"/>
            <w:vMerge/>
          </w:tcPr>
          <w:p/>
        </w:tc>
        <w:tc>
          <w:tcPr>
            <w:tcW w:type="dxa" w:w="1661"/>
          </w:tcPr>
          <w:p>
            <w:pPr>
              <w:pStyle w:val="null3"/>
            </w:pPr>
            <w:r>
              <w:rPr/>
              <w:t>合理化建议</w:t>
            </w:r>
          </w:p>
        </w:tc>
        <w:tc>
          <w:tcPr>
            <w:tcW w:type="dxa" w:w="2492"/>
          </w:tcPr>
          <w:p>
            <w:pPr>
              <w:pStyle w:val="null3"/>
            </w:pPr>
            <w:r>
              <w:rPr/>
              <w:t>根据供应商针对设备的日常使用，维护保养方法，能够提出有价值的建议，且具体切实可行，可有效地延长设备使用寿命综合评分。优的得7.1-10分，一般的得3.1-7分，差的得0-3分。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合理化建议</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供应商提供自2021年1月1日至今类似项目业绩（以合同签订时间为准，需提供合同协议书），每份计5分，最高计10分。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价格分采用低价优先法计算，即满足招标文件要求且投标价格最低的投标报价为评标基准价，其价格分为满分。 其他供应商的价格分统一按照下列公式计算：投标报价得分=（评标基准价/投标报价）×价格权值（即10%）×100。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详见附件：应急预案</w:t>
      </w:r>
    </w:p>
    <w:p>
      <w:pPr>
        <w:pStyle w:val="null3"/>
        <w:ind w:firstLine="960"/>
      </w:pPr>
      <w:r>
        <w:rPr/>
        <w:t>详见附件：维保服务承诺</w:t>
      </w:r>
    </w:p>
    <w:p>
      <w:pPr>
        <w:pStyle w:val="null3"/>
        <w:ind w:firstLine="960"/>
      </w:pPr>
      <w:r>
        <w:rPr/>
        <w:t>详见附件：合理化建议</w:t>
      </w:r>
    </w:p>
    <w:p>
      <w:pPr>
        <w:pStyle w:val="null3"/>
        <w:ind w:firstLine="960"/>
      </w:pPr>
      <w:r>
        <w:rPr/>
        <w:t>详见附件：业绩</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