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C7F09B">
      <w:pPr>
        <w:pStyle w:val="3"/>
        <w:overflowPunct/>
        <w:topLinePunct w:val="0"/>
        <w:bidi w:val="0"/>
        <w:spacing w:beforeAutospacing="0" w:afterAutospacing="0" w:line="360" w:lineRule="auto"/>
        <w:rPr>
          <w:rFonts w:hint="eastAsia" w:ascii="宋体" w:hAnsi="宋体" w:eastAsia="宋体" w:cs="宋体"/>
          <w:b w:val="0"/>
          <w:bCs/>
          <w:color w:val="auto"/>
          <w:sz w:val="44"/>
          <w:szCs w:val="44"/>
          <w:highlight w:val="none"/>
        </w:rPr>
      </w:pPr>
      <w:r>
        <w:rPr>
          <w:rFonts w:hint="eastAsia" w:ascii="宋体" w:hAnsi="宋体" w:eastAsia="宋体" w:cs="宋体"/>
          <w:b/>
          <w:color w:val="auto"/>
          <w:kern w:val="0"/>
          <w:sz w:val="32"/>
          <w:szCs w:val="32"/>
          <w:highlight w:val="none"/>
          <w:lang w:val="en-US" w:eastAsia="zh-CN" w:bidi="ar-SA"/>
        </w:rPr>
        <w:t>拟签订的合同文本</w:t>
      </w:r>
    </w:p>
    <w:p w14:paraId="73F895D1">
      <w:pPr>
        <w:pStyle w:val="3"/>
        <w:numPr>
          <w:ilvl w:val="0"/>
          <w:numId w:val="0"/>
        </w:numPr>
        <w:overflowPunct/>
        <w:topLinePunct w:val="0"/>
        <w:bidi w:val="0"/>
        <w:spacing w:beforeAutospacing="0" w:afterAutospacing="0" w:line="360" w:lineRule="auto"/>
        <w:jc w:val="center"/>
        <w:rPr>
          <w:rFonts w:hint="eastAsia" w:ascii="宋体" w:hAnsi="宋体" w:eastAsia="宋体" w:cs="宋体"/>
          <w:b/>
          <w:bCs/>
          <w:color w:val="auto"/>
          <w:sz w:val="32"/>
          <w:szCs w:val="32"/>
          <w:highlight w:val="none"/>
        </w:rPr>
      </w:pPr>
      <w:bookmarkStart w:id="0" w:name="_Toc11509"/>
      <w:bookmarkStart w:id="1" w:name="_Toc14376"/>
      <w:bookmarkStart w:id="2" w:name="_Toc30319"/>
      <w:bookmarkStart w:id="3" w:name="_Toc7708"/>
      <w:r>
        <w:rPr>
          <w:rFonts w:hint="eastAsia" w:ascii="宋体" w:hAnsi="宋体" w:eastAsia="宋体" w:cs="宋体"/>
          <w:b w:val="0"/>
          <w:sz w:val="21"/>
          <w:szCs w:val="21"/>
          <w:highlight w:val="none"/>
        </w:rPr>
        <w:t>（</w:t>
      </w:r>
      <w:r>
        <w:rPr>
          <w:rFonts w:hint="eastAsia" w:ascii="宋体" w:hAnsi="宋体" w:eastAsia="宋体" w:cs="宋体"/>
          <w:b w:val="0"/>
          <w:sz w:val="21"/>
          <w:szCs w:val="21"/>
          <w:highlight w:val="none"/>
          <w:lang w:val="en-US" w:eastAsia="zh-CN"/>
        </w:rPr>
        <w:t>合同签订时采购人有权根据供应商响应文件中的内容及承诺对合同内容进行补充和完善</w:t>
      </w:r>
      <w:r>
        <w:rPr>
          <w:rFonts w:hint="eastAsia" w:ascii="宋体" w:hAnsi="宋体" w:eastAsia="宋体" w:cs="宋体"/>
          <w:b w:val="0"/>
          <w:sz w:val="21"/>
          <w:szCs w:val="21"/>
          <w:highlight w:val="none"/>
        </w:rPr>
        <w:t>）</w:t>
      </w:r>
      <w:bookmarkEnd w:id="0"/>
      <w:bookmarkEnd w:id="1"/>
      <w:bookmarkEnd w:id="2"/>
      <w:bookmarkEnd w:id="3"/>
    </w:p>
    <w:p w14:paraId="36EE9220">
      <w:pPr>
        <w:overflowPunct/>
        <w:topLinePunct w:val="0"/>
        <w:bidi w:val="0"/>
        <w:spacing w:beforeAutospacing="0" w:afterAutospacing="0" w:line="360" w:lineRule="auto"/>
        <w:jc w:val="center"/>
        <w:rPr>
          <w:rFonts w:hint="eastAsia" w:ascii="宋体" w:hAnsi="宋体" w:eastAsia="宋体" w:cs="宋体"/>
          <w:b/>
          <w:bCs/>
          <w:kern w:val="0"/>
          <w:sz w:val="24"/>
          <w:highlight w:val="none"/>
        </w:rPr>
      </w:pPr>
    </w:p>
    <w:p w14:paraId="79F8AAC7">
      <w:pPr>
        <w:pStyle w:val="3"/>
        <w:spacing w:line="360" w:lineRule="auto"/>
        <w:jc w:val="center"/>
        <w:outlineLvl w:val="9"/>
        <w:rPr>
          <w:rFonts w:hint="eastAsia" w:ascii="黑体" w:hAnsi="宋体" w:cs="Arial"/>
          <w:b/>
          <w:bCs/>
          <w:snapToGrid w:val="0"/>
          <w:color w:val="000000"/>
          <w:sz w:val="96"/>
          <w:szCs w:val="96"/>
        </w:rPr>
      </w:pPr>
    </w:p>
    <w:p w14:paraId="29B9269B">
      <w:pPr>
        <w:widowControl/>
        <w:spacing w:line="360" w:lineRule="auto"/>
        <w:jc w:val="center"/>
        <w:rPr>
          <w:rFonts w:hint="eastAsia" w:ascii="宋体" w:hAnsi="宋体" w:eastAsia="宋体" w:cs="宋体"/>
          <w:b/>
          <w:bCs/>
          <w:sz w:val="52"/>
          <w:szCs w:val="52"/>
          <w:lang w:eastAsia="zh-CN"/>
        </w:rPr>
      </w:pPr>
      <w:r>
        <w:rPr>
          <w:rFonts w:hint="eastAsia" w:ascii="宋体" w:hAnsi="宋体" w:cs="宋体"/>
          <w:b/>
          <w:bCs/>
          <w:sz w:val="52"/>
          <w:szCs w:val="52"/>
          <w:lang w:eastAsia="zh-CN"/>
        </w:rPr>
        <w:t>陕西省影视服务中心审片室及相关业务用房改造施工项目</w:t>
      </w:r>
    </w:p>
    <w:p w14:paraId="4D672BA0">
      <w:pPr>
        <w:pStyle w:val="4"/>
      </w:pPr>
    </w:p>
    <w:p w14:paraId="38E97281"/>
    <w:p w14:paraId="1C160291">
      <w:pPr>
        <w:pStyle w:val="4"/>
        <w:rPr>
          <w:rFonts w:hint="eastAsia" w:ascii="宋体" w:hAnsi="宋体" w:eastAsia="宋体" w:cs="宋体"/>
          <w:b/>
          <w:bCs/>
          <w:kern w:val="2"/>
          <w:sz w:val="52"/>
          <w:szCs w:val="52"/>
          <w:lang w:val="en-US" w:eastAsia="zh-CN" w:bidi="ar-SA"/>
        </w:rPr>
      </w:pPr>
    </w:p>
    <w:p w14:paraId="6A34C8C1">
      <w:pPr>
        <w:jc w:val="center"/>
        <w:rPr>
          <w:rFonts w:hint="eastAsia" w:ascii="宋体" w:hAnsi="宋体" w:eastAsia="宋体" w:cs="宋体"/>
          <w:b/>
          <w:bCs/>
          <w:kern w:val="2"/>
          <w:sz w:val="56"/>
          <w:szCs w:val="56"/>
          <w:lang w:val="en-US" w:eastAsia="zh-CN" w:bidi="ar-SA"/>
        </w:rPr>
      </w:pPr>
      <w:r>
        <w:rPr>
          <w:rFonts w:hint="eastAsia" w:ascii="宋体" w:hAnsi="宋体" w:eastAsia="宋体" w:cs="宋体"/>
          <w:b/>
          <w:bCs/>
          <w:kern w:val="2"/>
          <w:sz w:val="56"/>
          <w:szCs w:val="56"/>
          <w:lang w:val="en-US" w:eastAsia="zh-CN" w:bidi="ar-SA"/>
        </w:rPr>
        <w:t>合同协议书</w:t>
      </w:r>
    </w:p>
    <w:p w14:paraId="4F5C3474">
      <w:pPr>
        <w:pStyle w:val="4"/>
      </w:pPr>
    </w:p>
    <w:p w14:paraId="735DB23C">
      <w:pPr>
        <w:pStyle w:val="4"/>
      </w:pPr>
    </w:p>
    <w:p w14:paraId="56A6F6FF"/>
    <w:p w14:paraId="4DC6B8C3"/>
    <w:p w14:paraId="43EF947E">
      <w:pPr>
        <w:pStyle w:val="4"/>
      </w:pPr>
    </w:p>
    <w:p w14:paraId="4BE468FC"/>
    <w:p w14:paraId="30041BEC">
      <w:pPr>
        <w:pStyle w:val="4"/>
      </w:pPr>
    </w:p>
    <w:p w14:paraId="3F9B27CB"/>
    <w:p w14:paraId="2973D498"/>
    <w:p w14:paraId="3C219D71"/>
    <w:p w14:paraId="3BF5AD12">
      <w:pPr>
        <w:pStyle w:val="4"/>
      </w:pPr>
    </w:p>
    <w:p w14:paraId="19E4D2AB">
      <w:pPr>
        <w:rPr>
          <w:rFonts w:hint="eastAsia" w:ascii="黑体" w:hAnsi="黑体" w:eastAsia="黑体"/>
          <w:sz w:val="28"/>
          <w:szCs w:val="28"/>
        </w:rPr>
      </w:pPr>
    </w:p>
    <w:p w14:paraId="477223E1">
      <w:pPr>
        <w:pStyle w:val="9"/>
        <w:rPr>
          <w:rFonts w:hint="eastAsia"/>
        </w:rPr>
      </w:pPr>
    </w:p>
    <w:p w14:paraId="5DC43035">
      <w:pPr>
        <w:jc w:val="center"/>
        <w:rPr>
          <w:rFonts w:ascii="Arial" w:hAnsi="Arial" w:cs="Arial"/>
          <w:b/>
          <w:sz w:val="36"/>
          <w:szCs w:val="36"/>
        </w:rPr>
        <w:sectPr>
          <w:headerReference r:id="rId3" w:type="default"/>
          <w:footerReference r:id="rId4" w:type="default"/>
          <w:pgSz w:w="11906" w:h="16838"/>
          <w:pgMar w:top="1440" w:right="1800" w:bottom="1440" w:left="1800" w:header="851" w:footer="992" w:gutter="0"/>
          <w:pgNumType w:fmt="decimal" w:start="1"/>
          <w:cols w:space="720" w:num="1"/>
          <w:docGrid w:type="lines" w:linePitch="312" w:charSpace="0"/>
        </w:sectPr>
      </w:pPr>
      <w:r>
        <w:rPr>
          <w:rFonts w:hint="eastAsia" w:ascii="黑体" w:hAnsi="黑体" w:eastAsia="黑体"/>
          <w:sz w:val="36"/>
          <w:szCs w:val="36"/>
        </w:rPr>
        <w:t>签订日期：2024年   月   日</w:t>
      </w:r>
    </w:p>
    <w:p w14:paraId="4F853C91">
      <w:pPr>
        <w:pageBreakBefore w:val="0"/>
        <w:kinsoku/>
        <w:wordWrap/>
        <w:overflowPunct/>
        <w:topLinePunct w:val="0"/>
        <w:autoSpaceDE/>
        <w:autoSpaceDN/>
        <w:bidi w:val="0"/>
        <w:adjustRightInd w:val="0"/>
        <w:snapToGrid w:val="0"/>
        <w:spacing w:before="40" w:after="40" w:line="360" w:lineRule="auto"/>
        <w:jc w:val="left"/>
        <w:textAlignment w:val="auto"/>
        <w:rPr>
          <w:rFonts w:hint="eastAsia" w:ascii="宋体" w:hAnsi="宋体" w:eastAsia="宋体" w:cs="宋体"/>
          <w:b/>
          <w:color w:val="000000" w:themeColor="text1"/>
          <w:sz w:val="24"/>
          <w:szCs w:val="24"/>
          <w:u w:val="single"/>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发包人：</w:t>
      </w:r>
      <w:r>
        <w:rPr>
          <w:rFonts w:hint="eastAsia" w:ascii="宋体" w:hAnsi="宋体" w:eastAsia="宋体" w:cs="宋体"/>
          <w:b/>
          <w:color w:val="000000" w:themeColor="text1"/>
          <w:sz w:val="24"/>
          <w:szCs w:val="24"/>
          <w:u w:val="single"/>
          <w14:textFill>
            <w14:solidFill>
              <w14:schemeClr w14:val="tx1"/>
            </w14:solidFill>
          </w14:textFill>
        </w:rPr>
        <w:t xml:space="preserve">                    </w:t>
      </w:r>
    </w:p>
    <w:p w14:paraId="5AEF6E51">
      <w:pPr>
        <w:pageBreakBefore w:val="0"/>
        <w:kinsoku/>
        <w:wordWrap/>
        <w:overflowPunct/>
        <w:topLinePunct w:val="0"/>
        <w:autoSpaceDE/>
        <w:autoSpaceDN/>
        <w:bidi w:val="0"/>
        <w:adjustRightInd w:val="0"/>
        <w:snapToGrid w:val="0"/>
        <w:spacing w:before="40" w:after="40" w:line="360" w:lineRule="auto"/>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承包人：</w:t>
      </w:r>
      <w:r>
        <w:rPr>
          <w:rFonts w:hint="eastAsia" w:ascii="宋体" w:hAnsi="宋体" w:eastAsia="宋体" w:cs="宋体"/>
          <w:b/>
          <w:color w:val="000000" w:themeColor="text1"/>
          <w:sz w:val="24"/>
          <w:szCs w:val="24"/>
          <w:u w:val="single"/>
          <w14:textFill>
            <w14:solidFill>
              <w14:schemeClr w14:val="tx1"/>
            </w14:solidFill>
          </w14:textFill>
        </w:rPr>
        <w:t xml:space="preserve">                    </w:t>
      </w:r>
    </w:p>
    <w:p w14:paraId="22A568F2">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根据《中华人民共和国民法典》、《中华人民共和国建筑法》及有关法律规定，遵循平等、自愿、公平和诚实信用的原则，双方经过磋商的采购方式，就</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u w:val="single"/>
          <w:lang w:eastAsia="zh-CN"/>
          <w14:textFill>
            <w14:solidFill>
              <w14:schemeClr w14:val="tx1"/>
            </w14:solidFill>
          </w14:textFill>
        </w:rPr>
        <w:t>项目</w:t>
      </w:r>
      <w:r>
        <w:rPr>
          <w:rFonts w:hint="eastAsia" w:ascii="宋体" w:hAnsi="宋体" w:eastAsia="宋体" w:cs="宋体"/>
          <w:color w:val="000000" w:themeColor="text1"/>
          <w:sz w:val="24"/>
          <w:szCs w:val="24"/>
          <w14:textFill>
            <w14:solidFill>
              <w14:schemeClr w14:val="tx1"/>
            </w14:solidFill>
          </w14:textFill>
        </w:rPr>
        <w:t>及有关事项协商一致，共同达成如下协议：</w:t>
      </w:r>
    </w:p>
    <w:p w14:paraId="088E8546">
      <w:pPr>
        <w:keepNext/>
        <w:keepLines/>
        <w:pageBreakBefore w:val="0"/>
        <w:kinsoku/>
        <w:wordWrap/>
        <w:overflowPunct/>
        <w:topLinePunct w:val="0"/>
        <w:autoSpaceDE/>
        <w:autoSpaceDN/>
        <w:bidi w:val="0"/>
        <w:adjustRightInd w:val="0"/>
        <w:snapToGrid w:val="0"/>
        <w:spacing w:before="40" w:after="40" w:line="360" w:lineRule="auto"/>
        <w:jc w:val="left"/>
        <w:textAlignment w:val="auto"/>
        <w:outlineLvl w:val="3"/>
        <w:rPr>
          <w:rFonts w:hint="eastAsia" w:ascii="宋体" w:hAnsi="宋体" w:eastAsia="宋体" w:cs="宋体"/>
          <w:b/>
          <w:bCs/>
          <w:color w:val="000000" w:themeColor="text1"/>
          <w:sz w:val="24"/>
          <w:szCs w:val="24"/>
          <w14:textFill>
            <w14:solidFill>
              <w14:schemeClr w14:val="tx1"/>
            </w14:solidFill>
          </w14:textFill>
        </w:rPr>
      </w:pPr>
      <w:bookmarkStart w:id="4" w:name="_Toc351203481"/>
      <w:r>
        <w:rPr>
          <w:rFonts w:hint="eastAsia" w:ascii="宋体" w:hAnsi="宋体" w:eastAsia="宋体" w:cs="宋体"/>
          <w:b/>
          <w:bCs/>
          <w:color w:val="000000" w:themeColor="text1"/>
          <w:sz w:val="24"/>
          <w:szCs w:val="24"/>
          <w14:textFill>
            <w14:solidFill>
              <w14:schemeClr w14:val="tx1"/>
            </w14:solidFill>
          </w14:textFill>
        </w:rPr>
        <w:t>一、工程概况</w:t>
      </w:r>
      <w:bookmarkEnd w:id="4"/>
      <w:r>
        <w:rPr>
          <w:rFonts w:hint="eastAsia" w:ascii="宋体" w:hAnsi="宋体" w:eastAsia="宋体" w:cs="宋体"/>
          <w:b/>
          <w:bCs/>
          <w:color w:val="000000" w:themeColor="text1"/>
          <w:sz w:val="24"/>
          <w:szCs w:val="24"/>
          <w14:textFill>
            <w14:solidFill>
              <w14:schemeClr w14:val="tx1"/>
            </w14:solidFill>
          </w14:textFill>
        </w:rPr>
        <w:t>及其他说明</w:t>
      </w:r>
    </w:p>
    <w:p w14:paraId="4DB7C264">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1.工程名称：</w:t>
      </w:r>
      <w:r>
        <w:rPr>
          <w:rFonts w:hint="eastAsia" w:ascii="宋体" w:hAnsi="宋体" w:cs="宋体"/>
          <w:color w:val="000000" w:themeColor="text1"/>
          <w:sz w:val="24"/>
          <w:szCs w:val="24"/>
          <w:u w:val="single"/>
          <w:lang w:eastAsia="zh-CN"/>
          <w14:textFill>
            <w14:solidFill>
              <w14:schemeClr w14:val="tx1"/>
            </w14:solidFill>
          </w14:textFill>
        </w:rPr>
        <w:t>陕西省影视服务中心审片室及相关业务用房改造施工项目</w:t>
      </w:r>
      <w:r>
        <w:rPr>
          <w:rFonts w:hint="eastAsia" w:ascii="宋体" w:hAnsi="宋体" w:eastAsia="宋体" w:cs="宋体"/>
          <w:color w:val="000000" w:themeColor="text1"/>
          <w:sz w:val="24"/>
          <w:szCs w:val="24"/>
          <w14:textFill>
            <w14:solidFill>
              <w14:schemeClr w14:val="tx1"/>
            </w14:solidFill>
          </w14:textFill>
        </w:rPr>
        <w:t>；</w:t>
      </w:r>
    </w:p>
    <w:p w14:paraId="72EEE7F1">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2.工程地点：</w:t>
      </w:r>
      <w:r>
        <w:rPr>
          <w:rFonts w:hint="eastAsia" w:ascii="宋体" w:hAnsi="宋体" w:cs="宋体"/>
          <w:color w:val="000000" w:themeColor="text1"/>
          <w:sz w:val="24"/>
          <w:szCs w:val="24"/>
          <w:u w:val="single"/>
          <w:lang w:eastAsia="zh-CN"/>
          <w14:textFill>
            <w14:solidFill>
              <w14:schemeClr w14:val="tx1"/>
            </w14:solidFill>
          </w14:textFill>
        </w:rPr>
        <w:t>采购人</w:t>
      </w:r>
      <w:r>
        <w:rPr>
          <w:rFonts w:hint="eastAsia" w:ascii="宋体" w:hAnsi="宋体" w:eastAsia="宋体" w:cs="宋体"/>
          <w:color w:val="000000" w:themeColor="text1"/>
          <w:sz w:val="24"/>
          <w:szCs w:val="24"/>
          <w:u w:val="single"/>
          <w14:textFill>
            <w14:solidFill>
              <w14:schemeClr w14:val="tx1"/>
            </w14:solidFill>
          </w14:textFill>
        </w:rPr>
        <w:t>指定地点</w:t>
      </w:r>
      <w:r>
        <w:rPr>
          <w:rFonts w:hint="eastAsia" w:ascii="宋体" w:hAnsi="宋体" w:eastAsia="宋体" w:cs="宋体"/>
          <w:color w:val="000000" w:themeColor="text1"/>
          <w:sz w:val="24"/>
          <w:szCs w:val="24"/>
          <w14:textFill>
            <w14:solidFill>
              <w14:schemeClr w14:val="tx1"/>
            </w14:solidFill>
          </w14:textFill>
        </w:rPr>
        <w:t>；</w:t>
      </w:r>
    </w:p>
    <w:p w14:paraId="0F9C80AF">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3.资金来源： </w:t>
      </w:r>
      <w:r>
        <w:rPr>
          <w:rFonts w:hint="eastAsia" w:ascii="宋体" w:hAnsi="宋体" w:eastAsia="宋体" w:cs="宋体"/>
          <w:color w:val="000000" w:themeColor="text1"/>
          <w:sz w:val="24"/>
          <w:szCs w:val="24"/>
          <w:u w:val="single"/>
          <w14:textFill>
            <w14:solidFill>
              <w14:schemeClr w14:val="tx1"/>
            </w14:solidFill>
          </w14:textFill>
        </w:rPr>
        <w:t>已落实。</w:t>
      </w:r>
    </w:p>
    <w:p w14:paraId="62A0DE49">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4.工程内容：</w:t>
      </w:r>
      <w:r>
        <w:rPr>
          <w:rFonts w:hint="eastAsia" w:ascii="宋体" w:hAnsi="宋体" w:eastAsia="宋体" w:cs="宋体"/>
          <w:color w:val="000000" w:themeColor="text1"/>
          <w:sz w:val="24"/>
          <w:szCs w:val="24"/>
          <w:u w:val="single"/>
          <w14:textFill>
            <w14:solidFill>
              <w14:schemeClr w14:val="tx1"/>
            </w14:solidFill>
          </w14:textFill>
        </w:rPr>
        <w:t>本工程为陕西省影视服务中心审片室及相关业务用房改造施工项目，主要工程包括审片室装饰装修工程、一层影视服务大厅装饰装修工程等内容，具体工程内容详见本项目竞争性磋商文件、工程量清单、答疑文件等文件中所涵盖的全部内容。</w:t>
      </w:r>
    </w:p>
    <w:p w14:paraId="5DC531C0">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5.工程承包范围：本项目的磋商文件、</w:t>
      </w:r>
      <w:bookmarkStart w:id="34" w:name="_GoBack"/>
      <w:bookmarkEnd w:id="34"/>
      <w:r>
        <w:rPr>
          <w:rFonts w:hint="eastAsia" w:ascii="宋体" w:hAnsi="宋体" w:eastAsia="宋体" w:cs="宋体"/>
          <w:color w:val="000000" w:themeColor="text1"/>
          <w:sz w:val="24"/>
          <w:szCs w:val="24"/>
          <w14:textFill>
            <w14:solidFill>
              <w14:schemeClr w14:val="tx1"/>
            </w14:solidFill>
          </w14:textFill>
        </w:rPr>
        <w:t>图纸、工程量清单、答疑文件及其他补充说明文件等。</w:t>
      </w:r>
      <w:bookmarkStart w:id="5" w:name="_Toc351203482"/>
    </w:p>
    <w:p w14:paraId="7DA437B0">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6.适用于合同的其他规范性文件：《中华人民共和国建筑法》、《中华人民共和国民法典》《中华人民共和国安全生产法》《建筑工程质量管理条例》《建筑工程强制性标准条文》《建筑工程质量保修办法》；陕西省、西安市关于安全生产文明施工的法规、条例和规范性文件等。</w:t>
      </w:r>
    </w:p>
    <w:p w14:paraId="38F0A59A">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7.标准和规范</w:t>
      </w:r>
    </w:p>
    <w:p w14:paraId="5E42C881">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u w:val="single"/>
          <w14:textFill>
            <w14:solidFill>
              <w14:schemeClr w14:val="tx1"/>
            </w14:solidFill>
          </w14:textFill>
        </w:rPr>
        <w:t>适用于工程的标准规范包括：国家建筑工程施工及验收规范标准以及材料、设备所涉及的现行国家、省、市或行业的工程建设标准、规范的要求。</w:t>
      </w:r>
    </w:p>
    <w:p w14:paraId="2F4E92C6">
      <w:pPr>
        <w:pageBreakBefore w:val="0"/>
        <w:kinsoku/>
        <w:wordWrap/>
        <w:overflowPunct/>
        <w:topLinePunct w:val="0"/>
        <w:autoSpaceDE/>
        <w:autoSpaceDN/>
        <w:bidi w:val="0"/>
        <w:adjustRightInd w:val="0"/>
        <w:snapToGrid w:val="0"/>
        <w:spacing w:before="40" w:after="40" w:line="360" w:lineRule="auto"/>
        <w:ind w:firstLine="482" w:firstLineChars="200"/>
        <w:jc w:val="left"/>
        <w:textAlignment w:val="auto"/>
        <w:rPr>
          <w:rFonts w:hint="eastAsia" w:ascii="宋体" w:hAnsi="宋体" w:eastAsia="宋体" w:cs="宋体"/>
          <w:b/>
          <w:bCs/>
          <w:color w:val="000000" w:themeColor="text1"/>
          <w:sz w:val="24"/>
          <w:szCs w:val="24"/>
          <w:u w:val="single"/>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以上技术规范由承包人自备，如有不足之处或未能达到国家最新标准时，承包人应使施工及选用的材料符合最新版本的国家标准、规范。</w:t>
      </w:r>
    </w:p>
    <w:p w14:paraId="3BEDCB7E">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8.交通运输</w:t>
      </w:r>
    </w:p>
    <w:p w14:paraId="5834DBD6">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bookmarkStart w:id="6" w:name="_Toc303539100"/>
      <w:bookmarkStart w:id="7" w:name="_Toc300934943"/>
      <w:bookmarkStart w:id="8" w:name="_Toc312677986"/>
      <w:bookmarkStart w:id="9" w:name="_Toc318581155"/>
      <w:bookmarkStart w:id="10" w:name="_Toc304295521"/>
      <w:r>
        <w:rPr>
          <w:rFonts w:hint="eastAsia" w:ascii="宋体" w:hAnsi="宋体" w:eastAsia="宋体" w:cs="宋体"/>
          <w:color w:val="000000" w:themeColor="text1"/>
          <w:sz w:val="24"/>
          <w:szCs w:val="24"/>
          <w14:textFill>
            <w14:solidFill>
              <w14:schemeClr w14:val="tx1"/>
            </w14:solidFill>
          </w14:textFill>
        </w:rPr>
        <w:t>关于出入现场的权利的约定：</w:t>
      </w:r>
      <w:r>
        <w:rPr>
          <w:rFonts w:hint="eastAsia" w:ascii="宋体" w:hAnsi="宋体" w:eastAsia="宋体" w:cs="宋体"/>
          <w:color w:val="000000" w:themeColor="text1"/>
          <w:sz w:val="24"/>
          <w:szCs w:val="24"/>
          <w:u w:val="single"/>
          <w14:textFill>
            <w14:solidFill>
              <w14:schemeClr w14:val="tx1"/>
            </w14:solidFill>
          </w14:textFill>
        </w:rPr>
        <w:t xml:space="preserve"> 承包人负责现场管理，发包人遵守承包人现场管理的规定。</w:t>
      </w:r>
      <w:bookmarkEnd w:id="6"/>
      <w:bookmarkEnd w:id="7"/>
      <w:bookmarkEnd w:id="8"/>
      <w:bookmarkEnd w:id="9"/>
      <w:bookmarkEnd w:id="10"/>
      <w:bookmarkStart w:id="11" w:name="_Toc304295522"/>
      <w:bookmarkStart w:id="12" w:name="_Toc318581156"/>
      <w:bookmarkStart w:id="13" w:name="_Toc303539101"/>
      <w:bookmarkStart w:id="14" w:name="_Toc300934944"/>
      <w:bookmarkStart w:id="15" w:name="_Toc312677987"/>
    </w:p>
    <w:p w14:paraId="3E285677">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关于场外交通和场内交通的边界的约定：</w:t>
      </w:r>
      <w:r>
        <w:rPr>
          <w:rFonts w:hint="eastAsia" w:ascii="宋体" w:hAnsi="宋体" w:eastAsia="宋体" w:cs="宋体"/>
          <w:color w:val="000000" w:themeColor="text1"/>
          <w:sz w:val="24"/>
          <w:szCs w:val="24"/>
          <w:u w:val="single"/>
          <w14:textFill>
            <w14:solidFill>
              <w14:schemeClr w14:val="tx1"/>
            </w14:solidFill>
          </w14:textFill>
        </w:rPr>
        <w:t xml:space="preserve"> 根据现场情况，双方另行约定 </w:t>
      </w:r>
      <w:r>
        <w:rPr>
          <w:rFonts w:hint="eastAsia" w:ascii="宋体" w:hAnsi="宋体" w:eastAsia="宋体" w:cs="宋体"/>
          <w:color w:val="000000" w:themeColor="text1"/>
          <w:sz w:val="24"/>
          <w:szCs w:val="24"/>
          <w14:textFill>
            <w14:solidFill>
              <w14:schemeClr w14:val="tx1"/>
            </w14:solidFill>
          </w14:textFill>
        </w:rPr>
        <w:t>。</w:t>
      </w:r>
    </w:p>
    <w:p w14:paraId="29D9DDCF">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关于发包人向承包人免费提供满足工程施工需要的场内道路和交通设施的约定：</w:t>
      </w:r>
      <w:r>
        <w:rPr>
          <w:rFonts w:hint="eastAsia" w:ascii="宋体" w:hAnsi="宋体" w:eastAsia="宋体" w:cs="宋体"/>
          <w:color w:val="000000" w:themeColor="text1"/>
          <w:sz w:val="24"/>
          <w:szCs w:val="24"/>
          <w:u w:val="single"/>
          <w14:textFill>
            <w14:solidFill>
              <w14:schemeClr w14:val="tx1"/>
            </w14:solidFill>
          </w14:textFill>
        </w:rPr>
        <w:t xml:space="preserve"> 以场地现状为准，发包人不提供除现状外的其他道路</w:t>
      </w:r>
      <w:r>
        <w:rPr>
          <w:rFonts w:hint="eastAsia" w:ascii="宋体" w:hAnsi="宋体" w:eastAsia="宋体" w:cs="宋体"/>
          <w:color w:val="000000" w:themeColor="text1"/>
          <w:sz w:val="24"/>
          <w:szCs w:val="24"/>
          <w14:textFill>
            <w14:solidFill>
              <w14:schemeClr w14:val="tx1"/>
            </w14:solidFill>
          </w14:textFill>
        </w:rPr>
        <w:t>。</w:t>
      </w:r>
      <w:bookmarkEnd w:id="11"/>
      <w:bookmarkEnd w:id="12"/>
      <w:bookmarkEnd w:id="13"/>
      <w:bookmarkEnd w:id="14"/>
      <w:bookmarkEnd w:id="15"/>
      <w:r>
        <w:rPr>
          <w:rFonts w:hint="eastAsia" w:ascii="宋体" w:hAnsi="宋体" w:eastAsia="宋体" w:cs="宋体"/>
          <w:color w:val="000000" w:themeColor="text1"/>
          <w:sz w:val="24"/>
          <w:szCs w:val="24"/>
          <w14:textFill>
            <w14:solidFill>
              <w14:schemeClr w14:val="tx1"/>
            </w14:solidFill>
          </w14:textFill>
        </w:rPr>
        <w:t xml:space="preserve">  </w:t>
      </w:r>
      <w:bookmarkStart w:id="16" w:name="_Toc318581157"/>
    </w:p>
    <w:p w14:paraId="2F113320">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u w:val="single"/>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超大件和超重件的运输：运输超大件或超重件所需的道路和桥梁临时加固改造费用和其他有关费用由承包人承担。</w:t>
      </w:r>
    </w:p>
    <w:bookmarkEnd w:id="16"/>
    <w:p w14:paraId="61E7D7B0">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9.知识产权</w:t>
      </w:r>
    </w:p>
    <w:p w14:paraId="55670769">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关于发包人提供给承包人的资料、发包人为实施工程自行编制或委托编制的技术规范以及反映发包人关于合同要求或其他类似性质的文件的著作权的归属：</w:t>
      </w:r>
      <w:r>
        <w:rPr>
          <w:rFonts w:hint="eastAsia" w:ascii="宋体" w:hAnsi="宋体" w:eastAsia="宋体" w:cs="宋体"/>
          <w:color w:val="000000" w:themeColor="text1"/>
          <w:sz w:val="24"/>
          <w:szCs w:val="24"/>
          <w:u w:val="single"/>
          <w14:textFill>
            <w14:solidFill>
              <w14:schemeClr w14:val="tx1"/>
            </w14:solidFill>
          </w14:textFill>
        </w:rPr>
        <w:t xml:space="preserve">归属于发包人 </w:t>
      </w:r>
      <w:r>
        <w:rPr>
          <w:rFonts w:hint="eastAsia" w:ascii="宋体" w:hAnsi="宋体" w:eastAsia="宋体" w:cs="宋体"/>
          <w:color w:val="000000" w:themeColor="text1"/>
          <w:sz w:val="24"/>
          <w:szCs w:val="24"/>
          <w14:textFill>
            <w14:solidFill>
              <w14:schemeClr w14:val="tx1"/>
            </w14:solidFill>
          </w14:textFill>
        </w:rPr>
        <w:t>。</w:t>
      </w:r>
    </w:p>
    <w:p w14:paraId="2D8F7682">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u w:val="single"/>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关于发包人提供的上述文件的使用限制的要求：</w:t>
      </w:r>
      <w:r>
        <w:rPr>
          <w:rFonts w:hint="eastAsia" w:ascii="宋体" w:hAnsi="宋体" w:eastAsia="宋体" w:cs="宋体"/>
          <w:color w:val="000000" w:themeColor="text1"/>
          <w:sz w:val="24"/>
          <w:szCs w:val="24"/>
          <w:u w:val="single"/>
          <w14:textFill>
            <w14:solidFill>
              <w14:schemeClr w14:val="tx1"/>
            </w14:solidFill>
          </w14:textFill>
        </w:rPr>
        <w:t xml:space="preserve"> 承包人对上述文件复制应经发包人同意并记录，按受控文件要求进行管理，不得外传、外借。</w:t>
      </w:r>
    </w:p>
    <w:p w14:paraId="12C959E6">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关于承包人为实施工程所编制文件的著作权的归属：</w:t>
      </w:r>
      <w:r>
        <w:rPr>
          <w:rFonts w:hint="eastAsia" w:ascii="宋体" w:hAnsi="宋体" w:eastAsia="宋体" w:cs="宋体"/>
          <w:color w:val="000000" w:themeColor="text1"/>
          <w:sz w:val="24"/>
          <w:szCs w:val="24"/>
          <w:u w:val="single"/>
          <w14:textFill>
            <w14:solidFill>
              <w14:schemeClr w14:val="tx1"/>
            </w14:solidFill>
          </w14:textFill>
        </w:rPr>
        <w:t xml:space="preserve"> 除署名权以外的著作权属于发包人 </w:t>
      </w:r>
      <w:r>
        <w:rPr>
          <w:rFonts w:hint="eastAsia" w:ascii="宋体" w:hAnsi="宋体" w:eastAsia="宋体" w:cs="宋体"/>
          <w:color w:val="000000" w:themeColor="text1"/>
          <w:sz w:val="24"/>
          <w:szCs w:val="24"/>
          <w14:textFill>
            <w14:solidFill>
              <w14:schemeClr w14:val="tx1"/>
            </w14:solidFill>
          </w14:textFill>
        </w:rPr>
        <w:t>。</w:t>
      </w:r>
    </w:p>
    <w:p w14:paraId="32B6A518">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u w:val="single"/>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关于承包人提供的上述文件的使用限制的要求：</w:t>
      </w:r>
      <w:r>
        <w:rPr>
          <w:rFonts w:hint="eastAsia" w:ascii="宋体" w:hAnsi="宋体" w:eastAsia="宋体" w:cs="宋体"/>
          <w:color w:val="000000" w:themeColor="text1"/>
          <w:sz w:val="24"/>
          <w:szCs w:val="24"/>
          <w:u w:val="single"/>
          <w14:textFill>
            <w14:solidFill>
              <w14:schemeClr w14:val="tx1"/>
            </w14:solidFill>
          </w14:textFill>
        </w:rPr>
        <w:t xml:space="preserve">承包人对上述文件复制应经发包人同意并记录，按受控文件要求进行管理，不得外传、外借 </w:t>
      </w:r>
      <w:r>
        <w:rPr>
          <w:rFonts w:hint="eastAsia" w:ascii="宋体" w:hAnsi="宋体" w:eastAsia="宋体" w:cs="宋体"/>
          <w:color w:val="000000" w:themeColor="text1"/>
          <w:sz w:val="24"/>
          <w:szCs w:val="24"/>
          <w14:textFill>
            <w14:solidFill>
              <w14:schemeClr w14:val="tx1"/>
            </w14:solidFill>
          </w14:textFill>
        </w:rPr>
        <w:t>。</w:t>
      </w:r>
    </w:p>
    <w:p w14:paraId="74B65711">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承包人在施工过程中所采用的专利、专有技术、技术秘密的使用费的承担方式：</w:t>
      </w:r>
      <w:r>
        <w:rPr>
          <w:rFonts w:hint="eastAsia" w:ascii="宋体" w:hAnsi="宋体" w:eastAsia="宋体" w:cs="宋体"/>
          <w:color w:val="000000" w:themeColor="text1"/>
          <w:sz w:val="24"/>
          <w:szCs w:val="24"/>
          <w:u w:val="single"/>
          <w14:textFill>
            <w14:solidFill>
              <w14:schemeClr w14:val="tx1"/>
            </w14:solidFill>
          </w14:textFill>
        </w:rPr>
        <w:t xml:space="preserve"> 已包含在磋商报价中，发包人不再另行支付费用 </w:t>
      </w:r>
      <w:r>
        <w:rPr>
          <w:rFonts w:hint="eastAsia" w:ascii="宋体" w:hAnsi="宋体" w:eastAsia="宋体" w:cs="宋体"/>
          <w:color w:val="000000" w:themeColor="text1"/>
          <w:sz w:val="24"/>
          <w:szCs w:val="24"/>
          <w14:textFill>
            <w14:solidFill>
              <w14:schemeClr w14:val="tx1"/>
            </w14:solidFill>
          </w14:textFill>
        </w:rPr>
        <w:t>。</w:t>
      </w:r>
    </w:p>
    <w:p w14:paraId="6AA328AA">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10.分包：除发包人指定分包的内容外一律不允许分包。</w:t>
      </w:r>
    </w:p>
    <w:p w14:paraId="7299B275">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11. 工程照管与成品、半成品保护均由承包人负责并不另外记取任何费用。</w:t>
      </w:r>
    </w:p>
    <w:p w14:paraId="5C4B5047">
      <w:pPr>
        <w:keepNext/>
        <w:keepLines/>
        <w:pageBreakBefore w:val="0"/>
        <w:kinsoku/>
        <w:wordWrap/>
        <w:overflowPunct/>
        <w:topLinePunct w:val="0"/>
        <w:autoSpaceDE/>
        <w:autoSpaceDN/>
        <w:bidi w:val="0"/>
        <w:adjustRightInd w:val="0"/>
        <w:snapToGrid w:val="0"/>
        <w:spacing w:before="40" w:after="40" w:line="360" w:lineRule="auto"/>
        <w:jc w:val="left"/>
        <w:textAlignment w:val="auto"/>
        <w:outlineLvl w:val="3"/>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二、合同工期</w:t>
      </w:r>
      <w:bookmarkEnd w:id="5"/>
    </w:p>
    <w:p w14:paraId="1B6F513C">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工期：</w:t>
      </w:r>
      <w:r>
        <w:rPr>
          <w:rFonts w:hint="eastAsia" w:ascii="宋体" w:hAnsi="宋体" w:eastAsia="宋体" w:cs="宋体"/>
          <w:color w:val="000000" w:themeColor="text1"/>
          <w:sz w:val="24"/>
          <w:szCs w:val="24"/>
          <w:u w:val="single"/>
          <w14:textFill>
            <w14:solidFill>
              <w14:schemeClr w14:val="tx1"/>
            </w14:solidFill>
          </w14:textFill>
        </w:rPr>
        <w:t></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sz w:val="24"/>
          <w:szCs w:val="24"/>
          <w:highlight w:val="none"/>
          <w:lang w:val="en-US" w:eastAsia="zh-CN"/>
        </w:rPr>
        <w:t>日历天内完工</w:t>
      </w:r>
      <w:r>
        <w:rPr>
          <w:rFonts w:hint="eastAsia" w:ascii="宋体" w:hAnsi="宋体" w:eastAsia="宋体" w:cs="宋体"/>
          <w:color w:val="000000" w:themeColor="text1"/>
          <w:sz w:val="24"/>
          <w:szCs w:val="24"/>
          <w:lang w:eastAsia="zh-CN"/>
          <w14:textFill>
            <w14:solidFill>
              <w14:schemeClr w14:val="tx1"/>
            </w14:solidFill>
          </w14:textFill>
        </w:rPr>
        <w:t>。</w:t>
      </w:r>
    </w:p>
    <w:p w14:paraId="7A996E9F">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计划开工日期：</w:t>
      </w:r>
      <w:r>
        <w:rPr>
          <w:rFonts w:hint="eastAsia" w:ascii="宋体" w:hAnsi="宋体" w:eastAsia="宋体" w:cs="宋体"/>
          <w:color w:val="000000" w:themeColor="text1"/>
          <w:sz w:val="24"/>
          <w:szCs w:val="24"/>
          <w:u w:val="single"/>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年</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月</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日，具体以发包人签发的开工令为准。</w:t>
      </w:r>
    </w:p>
    <w:p w14:paraId="40C94B02">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计划竣工日期：</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年</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月</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日。</w:t>
      </w:r>
    </w:p>
    <w:p w14:paraId="2A87A7D4">
      <w:pPr>
        <w:keepNext/>
        <w:keepLines/>
        <w:pageBreakBefore w:val="0"/>
        <w:kinsoku/>
        <w:wordWrap/>
        <w:overflowPunct/>
        <w:topLinePunct w:val="0"/>
        <w:autoSpaceDE/>
        <w:autoSpaceDN/>
        <w:bidi w:val="0"/>
        <w:adjustRightInd w:val="0"/>
        <w:snapToGrid w:val="0"/>
        <w:spacing w:before="40" w:after="40" w:line="360" w:lineRule="auto"/>
        <w:jc w:val="left"/>
        <w:textAlignment w:val="auto"/>
        <w:outlineLvl w:val="3"/>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三、项目经理</w:t>
      </w:r>
    </w:p>
    <w:p w14:paraId="09F00CE0">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承包人项目经理：</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。项目经理无正当理由不得更换，否则发包人有权解除本合同并由承包人承担由此带来的全部损失。</w:t>
      </w:r>
    </w:p>
    <w:p w14:paraId="37BABE92">
      <w:pPr>
        <w:keepNext/>
        <w:keepLines/>
        <w:pageBreakBefore w:val="0"/>
        <w:kinsoku/>
        <w:wordWrap/>
        <w:overflowPunct/>
        <w:topLinePunct w:val="0"/>
        <w:autoSpaceDE/>
        <w:autoSpaceDN/>
        <w:bidi w:val="0"/>
        <w:adjustRightInd w:val="0"/>
        <w:snapToGrid w:val="0"/>
        <w:spacing w:before="40" w:after="40" w:line="360" w:lineRule="auto"/>
        <w:jc w:val="left"/>
        <w:textAlignment w:val="auto"/>
        <w:outlineLvl w:val="3"/>
        <w:rPr>
          <w:rFonts w:hint="eastAsia" w:ascii="宋体" w:hAnsi="宋体" w:eastAsia="宋体" w:cs="宋体"/>
          <w:b/>
          <w:bCs/>
          <w:color w:val="000000" w:themeColor="text1"/>
          <w:sz w:val="24"/>
          <w:szCs w:val="24"/>
          <w14:textFill>
            <w14:solidFill>
              <w14:schemeClr w14:val="tx1"/>
            </w14:solidFill>
          </w14:textFill>
        </w:rPr>
      </w:pPr>
      <w:bookmarkStart w:id="17" w:name="_Toc351203483"/>
      <w:r>
        <w:rPr>
          <w:rFonts w:hint="eastAsia" w:ascii="宋体" w:hAnsi="宋体" w:eastAsia="宋体" w:cs="宋体"/>
          <w:b/>
          <w:bCs/>
          <w:color w:val="000000" w:themeColor="text1"/>
          <w:sz w:val="24"/>
          <w:szCs w:val="24"/>
          <w14:textFill>
            <w14:solidFill>
              <w14:schemeClr w14:val="tx1"/>
            </w14:solidFill>
          </w14:textFill>
        </w:rPr>
        <w:t>四、质量标准</w:t>
      </w:r>
      <w:bookmarkEnd w:id="17"/>
    </w:p>
    <w:p w14:paraId="36939C7B">
      <w:pPr>
        <w:pageBreakBefore w:val="0"/>
        <w:kinsoku/>
        <w:wordWrap/>
        <w:overflowPunct/>
        <w:topLinePunct w:val="0"/>
        <w:autoSpaceDE/>
        <w:autoSpaceDN/>
        <w:bidi w:val="0"/>
        <w:adjustRightInd w:val="0"/>
        <w:snapToGrid w:val="0"/>
        <w:spacing w:before="40" w:after="40" w:line="360" w:lineRule="auto"/>
        <w:ind w:firstLine="464" w:firstLineChars="200"/>
        <w:jc w:val="left"/>
        <w:textAlignment w:val="auto"/>
        <w:rPr>
          <w:rFonts w:hint="eastAsia" w:ascii="宋体" w:hAnsi="宋体" w:eastAsia="宋体" w:cs="宋体"/>
          <w:color w:val="000000" w:themeColor="text1"/>
          <w:spacing w:val="-4"/>
          <w:sz w:val="24"/>
          <w:szCs w:val="24"/>
          <w14:textFill>
            <w14:solidFill>
              <w14:schemeClr w14:val="tx1"/>
            </w14:solidFill>
          </w14:textFill>
        </w:rPr>
      </w:pPr>
      <w:bookmarkStart w:id="18" w:name="_Toc351203484"/>
      <w:r>
        <w:rPr>
          <w:rFonts w:hint="eastAsia" w:ascii="宋体" w:hAnsi="宋体" w:eastAsia="宋体" w:cs="宋体"/>
          <w:color w:val="000000" w:themeColor="text1"/>
          <w:spacing w:val="-4"/>
          <w:sz w:val="24"/>
          <w:szCs w:val="24"/>
          <w14:textFill>
            <w14:solidFill>
              <w14:schemeClr w14:val="tx1"/>
            </w14:solidFill>
          </w14:textFill>
        </w:rPr>
        <w:t>1．本工程质量</w:t>
      </w:r>
      <w:r>
        <w:rPr>
          <w:rFonts w:hint="eastAsia" w:ascii="宋体" w:hAnsi="宋体" w:eastAsia="宋体" w:cs="宋体"/>
          <w:color w:val="000000" w:themeColor="text1"/>
          <w:spacing w:val="-4"/>
          <w:sz w:val="24"/>
          <w:szCs w:val="24"/>
          <w:u w:val="single"/>
          <w14:textFill>
            <w14:solidFill>
              <w14:schemeClr w14:val="tx1"/>
            </w14:solidFill>
          </w14:textFill>
        </w:rPr>
        <w:t xml:space="preserve"> 合格（达到国家强制性合格标准）</w:t>
      </w:r>
      <w:r>
        <w:rPr>
          <w:rFonts w:hint="eastAsia" w:ascii="宋体" w:hAnsi="宋体" w:eastAsia="宋体" w:cs="宋体"/>
          <w:color w:val="000000" w:themeColor="text1"/>
          <w:spacing w:val="-4"/>
          <w:sz w:val="24"/>
          <w:szCs w:val="24"/>
          <w14:textFill>
            <w14:solidFill>
              <w14:schemeClr w14:val="tx1"/>
            </w14:solidFill>
          </w14:textFill>
        </w:rPr>
        <w:t>。</w:t>
      </w:r>
    </w:p>
    <w:p w14:paraId="149697F2">
      <w:pPr>
        <w:pageBreakBefore w:val="0"/>
        <w:kinsoku/>
        <w:wordWrap/>
        <w:overflowPunct/>
        <w:topLinePunct w:val="0"/>
        <w:autoSpaceDE/>
        <w:autoSpaceDN/>
        <w:bidi w:val="0"/>
        <w:adjustRightInd w:val="0"/>
        <w:snapToGrid w:val="0"/>
        <w:spacing w:before="40" w:after="40" w:line="360" w:lineRule="auto"/>
        <w:ind w:firstLine="464" w:firstLineChars="200"/>
        <w:jc w:val="left"/>
        <w:textAlignment w:val="auto"/>
        <w:rPr>
          <w:rFonts w:hint="eastAsia" w:ascii="宋体" w:hAnsi="宋体" w:eastAsia="宋体" w:cs="宋体"/>
          <w:color w:val="000000" w:themeColor="text1"/>
          <w:spacing w:val="-4"/>
          <w:sz w:val="24"/>
          <w:szCs w:val="24"/>
          <w14:textFill>
            <w14:solidFill>
              <w14:schemeClr w14:val="tx1"/>
            </w14:solidFill>
          </w14:textFill>
        </w:rPr>
      </w:pPr>
      <w:r>
        <w:rPr>
          <w:rFonts w:hint="eastAsia" w:ascii="宋体" w:hAnsi="宋体" w:eastAsia="宋体" w:cs="宋体"/>
          <w:color w:val="000000" w:themeColor="text1"/>
          <w:spacing w:val="-4"/>
          <w:sz w:val="24"/>
          <w:szCs w:val="24"/>
          <w14:textFill>
            <w14:solidFill>
              <w14:schemeClr w14:val="tx1"/>
            </w14:solidFill>
          </w14:textFill>
        </w:rPr>
        <w:t>2．承包人必须严格按照磋商文件和建筑工程规范、规程和标准进行施工，并接受发包人代表的管理和监督。</w:t>
      </w:r>
    </w:p>
    <w:p w14:paraId="0E793559">
      <w:pPr>
        <w:pageBreakBefore w:val="0"/>
        <w:kinsoku/>
        <w:wordWrap/>
        <w:overflowPunct/>
        <w:topLinePunct w:val="0"/>
        <w:autoSpaceDE/>
        <w:autoSpaceDN/>
        <w:bidi w:val="0"/>
        <w:adjustRightInd w:val="0"/>
        <w:snapToGrid w:val="0"/>
        <w:spacing w:before="40" w:after="40" w:line="360" w:lineRule="auto"/>
        <w:ind w:firstLine="464" w:firstLineChars="200"/>
        <w:jc w:val="left"/>
        <w:textAlignment w:val="auto"/>
        <w:rPr>
          <w:rFonts w:hint="eastAsia" w:ascii="宋体" w:hAnsi="宋体" w:eastAsia="宋体" w:cs="宋体"/>
          <w:color w:val="000000" w:themeColor="text1"/>
          <w:spacing w:val="-4"/>
          <w:sz w:val="24"/>
          <w:szCs w:val="24"/>
          <w14:textFill>
            <w14:solidFill>
              <w14:schemeClr w14:val="tx1"/>
            </w14:solidFill>
          </w14:textFill>
        </w:rPr>
      </w:pPr>
      <w:r>
        <w:rPr>
          <w:rFonts w:hint="eastAsia" w:ascii="宋体" w:hAnsi="宋体" w:eastAsia="宋体" w:cs="宋体"/>
          <w:color w:val="000000" w:themeColor="text1"/>
          <w:spacing w:val="-4"/>
          <w:sz w:val="24"/>
          <w:szCs w:val="24"/>
          <w14:textFill>
            <w14:solidFill>
              <w14:schemeClr w14:val="tx1"/>
            </w14:solidFill>
          </w14:textFill>
        </w:rPr>
        <w:t>3．承包人应严格按照质量验收标准对工程组织施工。工程完工应会同发包人进行验收。竣工资料（一式三份），逾期未提交，每天按总造价万分之三向发包人支付违约金。</w:t>
      </w:r>
    </w:p>
    <w:p w14:paraId="42383B3F">
      <w:pPr>
        <w:pageBreakBefore w:val="0"/>
        <w:kinsoku/>
        <w:wordWrap/>
        <w:overflowPunct/>
        <w:topLinePunct w:val="0"/>
        <w:autoSpaceDE/>
        <w:autoSpaceDN/>
        <w:bidi w:val="0"/>
        <w:adjustRightInd w:val="0"/>
        <w:snapToGrid w:val="0"/>
        <w:spacing w:before="40" w:after="40" w:line="360" w:lineRule="auto"/>
        <w:ind w:firstLine="464" w:firstLineChars="200"/>
        <w:jc w:val="left"/>
        <w:textAlignment w:val="auto"/>
        <w:rPr>
          <w:rFonts w:hint="eastAsia" w:ascii="宋体" w:hAnsi="宋体" w:eastAsia="宋体" w:cs="宋体"/>
          <w:color w:val="002BFF"/>
          <w:spacing w:val="-4"/>
          <w:sz w:val="24"/>
          <w:szCs w:val="24"/>
        </w:rPr>
      </w:pPr>
      <w:r>
        <w:rPr>
          <w:rFonts w:hint="eastAsia" w:ascii="宋体" w:hAnsi="宋体" w:eastAsia="宋体" w:cs="宋体"/>
          <w:color w:val="000000" w:themeColor="text1"/>
          <w:spacing w:val="-4"/>
          <w:sz w:val="24"/>
          <w:szCs w:val="24"/>
          <w14:textFill>
            <w14:solidFill>
              <w14:schemeClr w14:val="tx1"/>
            </w14:solidFill>
          </w14:textFill>
        </w:rPr>
        <w:t>4．</w:t>
      </w:r>
      <w:r>
        <w:rPr>
          <w:rFonts w:hint="eastAsia" w:ascii="宋体" w:hAnsi="宋体" w:eastAsia="宋体" w:cs="宋体"/>
          <w:spacing w:val="-4"/>
          <w:sz w:val="24"/>
          <w:szCs w:val="24"/>
        </w:rPr>
        <w:t>工程竣工后，承包人应按规定对工程进行保修，保修日期自交工验收之日算起，质量保修期2年。</w:t>
      </w:r>
    </w:p>
    <w:p w14:paraId="48ED69C3">
      <w:pPr>
        <w:keepNext/>
        <w:keepLines/>
        <w:pageBreakBefore w:val="0"/>
        <w:kinsoku/>
        <w:wordWrap/>
        <w:overflowPunct/>
        <w:topLinePunct w:val="0"/>
        <w:autoSpaceDE/>
        <w:autoSpaceDN/>
        <w:bidi w:val="0"/>
        <w:adjustRightInd w:val="0"/>
        <w:snapToGrid w:val="0"/>
        <w:spacing w:before="40" w:after="40" w:line="360" w:lineRule="auto"/>
        <w:jc w:val="left"/>
        <w:textAlignment w:val="auto"/>
        <w:outlineLvl w:val="3"/>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五、签约合同价与合同价格形式</w:t>
      </w:r>
      <w:bookmarkEnd w:id="18"/>
      <w:r>
        <w:rPr>
          <w:rFonts w:hint="eastAsia" w:ascii="宋体" w:hAnsi="宋体" w:eastAsia="宋体" w:cs="宋体"/>
          <w:b/>
          <w:bCs/>
          <w:color w:val="000000" w:themeColor="text1"/>
          <w:sz w:val="24"/>
          <w:szCs w:val="24"/>
          <w14:textFill>
            <w14:solidFill>
              <w14:schemeClr w14:val="tx1"/>
            </w14:solidFill>
          </w14:textFill>
        </w:rPr>
        <w:tab/>
      </w:r>
    </w:p>
    <w:p w14:paraId="45CD136D">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1.签约合同价为：</w:t>
      </w:r>
    </w:p>
    <w:p w14:paraId="263B86B6">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人民币（大写）</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元) （详见后附清单明细）</w:t>
      </w:r>
      <w:r>
        <w:rPr>
          <w:rFonts w:hint="eastAsia" w:ascii="宋体" w:hAnsi="宋体" w:eastAsia="宋体" w:cs="宋体"/>
          <w:b/>
          <w:color w:val="000000" w:themeColor="text1"/>
          <w:sz w:val="24"/>
          <w:szCs w:val="24"/>
          <w14:textFill>
            <w14:solidFill>
              <w14:schemeClr w14:val="tx1"/>
            </w14:solidFill>
          </w14:textFill>
        </w:rPr>
        <w:t>。</w:t>
      </w:r>
    </w:p>
    <w:p w14:paraId="0E6D38D9">
      <w:pPr>
        <w:pageBreakBefore w:val="0"/>
        <w:kinsoku/>
        <w:wordWrap/>
        <w:overflowPunct/>
        <w:topLinePunct w:val="0"/>
        <w:autoSpaceDE/>
        <w:autoSpaceDN/>
        <w:bidi w:val="0"/>
        <w:adjustRightInd w:val="0"/>
        <w:snapToGrid w:val="0"/>
        <w:spacing w:before="40" w:after="40" w:line="360" w:lineRule="auto"/>
        <w:ind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2.合同价格形式：</w:t>
      </w:r>
      <w:r>
        <w:rPr>
          <w:rFonts w:hint="eastAsia" w:ascii="宋体" w:hAnsi="宋体" w:eastAsia="宋体" w:cs="宋体"/>
          <w:b/>
          <w:bCs/>
          <w:sz w:val="24"/>
          <w:szCs w:val="24"/>
          <w:u w:val="single"/>
        </w:rPr>
        <w:t>固定总价合同</w:t>
      </w:r>
      <w:r>
        <w:rPr>
          <w:rFonts w:hint="eastAsia" w:ascii="宋体" w:hAnsi="宋体" w:eastAsia="宋体" w:cs="宋体"/>
          <w:b/>
          <w:bCs/>
          <w:sz w:val="24"/>
          <w:szCs w:val="24"/>
        </w:rPr>
        <w:t>。</w:t>
      </w:r>
      <w:r>
        <w:rPr>
          <w:rFonts w:hint="eastAsia" w:ascii="宋体" w:hAnsi="宋体" w:eastAsia="宋体" w:cs="宋体"/>
          <w:color w:val="000000" w:themeColor="text1"/>
          <w:sz w:val="24"/>
          <w:szCs w:val="24"/>
          <w14:textFill>
            <w14:solidFill>
              <w14:schemeClr w14:val="tx1"/>
            </w14:solidFill>
          </w14:textFill>
        </w:rPr>
        <w:t>以上费用为包工包料、包工期、包质量、包安全、包文明施工等所有完成本工程的所有费用；给定清单中未包含的子项目，视为已包含在我方清单中；除发包人原因需要调整的，不以任何原因予以调整，最终完成的工程量不得少于清单中的工程量，工程发包采用固定总价合同，固定总价在约定的范围内不变。</w:t>
      </w:r>
      <w:r>
        <w:rPr>
          <w:rFonts w:hint="eastAsia" w:ascii="宋体" w:hAnsi="宋体" w:eastAsia="宋体" w:cs="宋体"/>
          <w:color w:val="000000" w:themeColor="text1"/>
          <w:sz w:val="24"/>
          <w:szCs w:val="24"/>
          <w14:textFill>
            <w14:solidFill>
              <w14:schemeClr w14:val="tx1"/>
            </w14:solidFill>
          </w14:textFill>
        </w:rPr>
        <w:br w:type="textWrapping"/>
      </w:r>
      <w:r>
        <w:rPr>
          <w:rFonts w:hint="eastAsia" w:ascii="宋体" w:hAnsi="宋体" w:eastAsia="宋体" w:cs="宋体"/>
          <w:b/>
          <w:bCs/>
          <w:sz w:val="24"/>
          <w:szCs w:val="24"/>
        </w:rPr>
        <w:t>六、履约保证金：</w:t>
      </w:r>
    </w:p>
    <w:p w14:paraId="35BCEE12">
      <w:pPr>
        <w:pageBreakBefore w:val="0"/>
        <w:kinsoku/>
        <w:wordWrap/>
        <w:overflowPunct/>
        <w:topLinePunct w:val="0"/>
        <w:autoSpaceDE/>
        <w:autoSpaceDN/>
        <w:bidi w:val="0"/>
        <w:adjustRightInd w:val="0"/>
        <w:snapToGrid w:val="0"/>
        <w:spacing w:before="40" w:after="40" w:line="360" w:lineRule="auto"/>
        <w:ind w:firstLine="464" w:firstLineChars="200"/>
        <w:jc w:val="left"/>
        <w:textAlignment w:val="auto"/>
        <w:rPr>
          <w:rFonts w:hint="eastAsia" w:ascii="宋体" w:hAnsi="宋体" w:eastAsia="宋体" w:cs="宋体"/>
          <w:sz w:val="24"/>
          <w:szCs w:val="24"/>
        </w:rPr>
      </w:pPr>
      <w:r>
        <w:rPr>
          <w:rFonts w:hint="eastAsia" w:ascii="宋体" w:hAnsi="宋体" w:eastAsia="宋体" w:cs="宋体"/>
          <w:spacing w:val="-4"/>
          <w:sz w:val="24"/>
          <w:szCs w:val="24"/>
        </w:rPr>
        <w:t>承包人是否提供履约担保：</w:t>
      </w:r>
      <w:r>
        <w:rPr>
          <w:rFonts w:hint="eastAsia" w:ascii="宋体" w:hAnsi="宋体" w:eastAsia="宋体" w:cs="宋体"/>
          <w:spacing w:val="-4"/>
          <w:sz w:val="24"/>
          <w:szCs w:val="24"/>
          <w:u w:val="single"/>
        </w:rPr>
        <w:t xml:space="preserve">  否  </w:t>
      </w:r>
      <w:r>
        <w:rPr>
          <w:rFonts w:hint="eastAsia" w:ascii="宋体" w:hAnsi="宋体" w:eastAsia="宋体" w:cs="宋体"/>
          <w:spacing w:val="-4"/>
          <w:sz w:val="24"/>
          <w:szCs w:val="24"/>
        </w:rPr>
        <w:t>。</w:t>
      </w:r>
    </w:p>
    <w:p w14:paraId="426B36CB">
      <w:pPr>
        <w:keepNext/>
        <w:keepLines/>
        <w:pageBreakBefore w:val="0"/>
        <w:kinsoku/>
        <w:wordWrap/>
        <w:overflowPunct/>
        <w:topLinePunct w:val="0"/>
        <w:autoSpaceDE/>
        <w:autoSpaceDN/>
        <w:bidi w:val="0"/>
        <w:adjustRightInd w:val="0"/>
        <w:snapToGrid w:val="0"/>
        <w:spacing w:before="40" w:after="40" w:line="360" w:lineRule="auto"/>
        <w:jc w:val="left"/>
        <w:textAlignment w:val="auto"/>
        <w:outlineLvl w:val="3"/>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七、固定总价包含的风险范围：</w:t>
      </w:r>
    </w:p>
    <w:p w14:paraId="56B5D062">
      <w:pPr>
        <w:pageBreakBefore w:val="0"/>
        <w:kinsoku/>
        <w:wordWrap/>
        <w:overflowPunct/>
        <w:topLinePunct w:val="0"/>
        <w:autoSpaceDE/>
        <w:autoSpaceDN/>
        <w:bidi w:val="0"/>
        <w:adjustRightInd w:val="0"/>
        <w:snapToGrid w:val="0"/>
        <w:spacing w:before="40" w:after="40" w:line="360" w:lineRule="auto"/>
        <w:ind w:firstLine="464" w:firstLineChars="200"/>
        <w:jc w:val="left"/>
        <w:textAlignment w:val="auto"/>
        <w:rPr>
          <w:rFonts w:hint="eastAsia" w:ascii="宋体" w:hAnsi="宋体" w:eastAsia="宋体" w:cs="宋体"/>
          <w:color w:val="000000" w:themeColor="text1"/>
          <w:spacing w:val="-4"/>
          <w:sz w:val="24"/>
          <w:szCs w:val="24"/>
          <w14:textFill>
            <w14:solidFill>
              <w14:schemeClr w14:val="tx1"/>
            </w14:solidFill>
          </w14:textFill>
        </w:rPr>
      </w:pPr>
      <w:r>
        <w:rPr>
          <w:rFonts w:hint="eastAsia" w:ascii="宋体" w:hAnsi="宋体" w:eastAsia="宋体" w:cs="宋体"/>
          <w:color w:val="000000" w:themeColor="text1"/>
          <w:spacing w:val="-4"/>
          <w:sz w:val="24"/>
          <w:szCs w:val="24"/>
          <w14:textFill>
            <w14:solidFill>
              <w14:schemeClr w14:val="tx1"/>
            </w14:solidFill>
          </w14:textFill>
        </w:rPr>
        <w:t>1.本协议书中规定承包范围的所有工作内容的风险；</w:t>
      </w:r>
    </w:p>
    <w:p w14:paraId="56AD9FF2">
      <w:pPr>
        <w:pageBreakBefore w:val="0"/>
        <w:kinsoku/>
        <w:wordWrap/>
        <w:overflowPunct/>
        <w:topLinePunct w:val="0"/>
        <w:autoSpaceDE/>
        <w:autoSpaceDN/>
        <w:bidi w:val="0"/>
        <w:adjustRightInd w:val="0"/>
        <w:snapToGrid w:val="0"/>
        <w:spacing w:before="40" w:after="40" w:line="360" w:lineRule="auto"/>
        <w:ind w:firstLine="464" w:firstLineChars="200"/>
        <w:jc w:val="left"/>
        <w:textAlignment w:val="auto"/>
        <w:rPr>
          <w:rFonts w:hint="eastAsia" w:ascii="宋体" w:hAnsi="宋体" w:eastAsia="宋体" w:cs="宋体"/>
          <w:color w:val="000000" w:themeColor="text1"/>
          <w:spacing w:val="-4"/>
          <w:sz w:val="24"/>
          <w:szCs w:val="24"/>
          <w14:textFill>
            <w14:solidFill>
              <w14:schemeClr w14:val="tx1"/>
            </w14:solidFill>
          </w14:textFill>
        </w:rPr>
      </w:pPr>
      <w:r>
        <w:rPr>
          <w:rFonts w:hint="eastAsia" w:ascii="宋体" w:hAnsi="宋体" w:eastAsia="宋体" w:cs="宋体"/>
          <w:color w:val="000000" w:themeColor="text1"/>
          <w:spacing w:val="-4"/>
          <w:sz w:val="24"/>
          <w:szCs w:val="24"/>
          <w14:textFill>
            <w14:solidFill>
              <w14:schemeClr w14:val="tx1"/>
            </w14:solidFill>
          </w14:textFill>
        </w:rPr>
        <w:t>2.合同执行期间磋商响应文件自主报价内容的市场价格变化，应</w:t>
      </w:r>
      <w:r>
        <w:rPr>
          <w:rFonts w:hint="eastAsia" w:ascii="宋体" w:hAnsi="宋体" w:eastAsia="宋体" w:cs="宋体"/>
          <w:color w:val="000000" w:themeColor="text1"/>
          <w:sz w:val="24"/>
          <w:szCs w:val="24"/>
          <w14:textFill>
            <w14:solidFill>
              <w14:schemeClr w14:val="tx1"/>
            </w14:solidFill>
          </w14:textFill>
        </w:rPr>
        <w:t>包含一切与本项目相关的政策性收费和非政策性收费等内容</w:t>
      </w:r>
      <w:r>
        <w:rPr>
          <w:rFonts w:hint="eastAsia" w:ascii="宋体" w:hAnsi="宋体" w:eastAsia="宋体" w:cs="宋体"/>
          <w:color w:val="000000" w:themeColor="text1"/>
          <w:spacing w:val="-4"/>
          <w:sz w:val="24"/>
          <w:szCs w:val="24"/>
          <w14:textFill>
            <w14:solidFill>
              <w14:schemeClr w14:val="tx1"/>
            </w14:solidFill>
          </w14:textFill>
        </w:rPr>
        <w:t>；</w:t>
      </w:r>
    </w:p>
    <w:p w14:paraId="0FBD949B">
      <w:pPr>
        <w:pageBreakBefore w:val="0"/>
        <w:kinsoku/>
        <w:wordWrap/>
        <w:overflowPunct/>
        <w:topLinePunct w:val="0"/>
        <w:autoSpaceDE/>
        <w:autoSpaceDN/>
        <w:bidi w:val="0"/>
        <w:adjustRightInd w:val="0"/>
        <w:snapToGrid w:val="0"/>
        <w:spacing w:before="40" w:after="40" w:line="360" w:lineRule="auto"/>
        <w:ind w:firstLine="464" w:firstLineChars="200"/>
        <w:jc w:val="left"/>
        <w:textAlignment w:val="auto"/>
        <w:rPr>
          <w:rFonts w:hint="eastAsia" w:ascii="宋体" w:hAnsi="宋体" w:eastAsia="宋体" w:cs="宋体"/>
          <w:color w:val="000000" w:themeColor="text1"/>
          <w:spacing w:val="-4"/>
          <w:sz w:val="24"/>
          <w:szCs w:val="24"/>
          <w14:textFill>
            <w14:solidFill>
              <w14:schemeClr w14:val="tx1"/>
            </w14:solidFill>
          </w14:textFill>
        </w:rPr>
      </w:pPr>
      <w:r>
        <w:rPr>
          <w:rFonts w:hint="eastAsia" w:ascii="宋体" w:hAnsi="宋体" w:eastAsia="宋体" w:cs="宋体"/>
          <w:color w:val="000000" w:themeColor="text1"/>
          <w:spacing w:val="-4"/>
          <w:sz w:val="24"/>
          <w:szCs w:val="24"/>
          <w14:textFill>
            <w14:solidFill>
              <w14:schemeClr w14:val="tx1"/>
            </w14:solidFill>
          </w14:textFill>
        </w:rPr>
        <w:t>3.材料费（除约定材料）、机械费的社会价格浮动，除不可抗力因素规定以外发生的自然灾害、雨季施工的防御措施费、停水、停电的费用及国家政策调整、金融汇率变化、银行存贷款利率调整、承包人在响应前及合同明示或暗示的所有风险、责任和义务等均视为固定总价的风险；</w:t>
      </w:r>
    </w:p>
    <w:p w14:paraId="3DA5C9D4">
      <w:pPr>
        <w:pageBreakBefore w:val="0"/>
        <w:kinsoku/>
        <w:wordWrap/>
        <w:overflowPunct/>
        <w:topLinePunct w:val="0"/>
        <w:autoSpaceDE/>
        <w:autoSpaceDN/>
        <w:bidi w:val="0"/>
        <w:adjustRightInd w:val="0"/>
        <w:snapToGrid w:val="0"/>
        <w:spacing w:before="40" w:after="40" w:line="360" w:lineRule="auto"/>
        <w:ind w:firstLine="464" w:firstLineChars="200"/>
        <w:jc w:val="left"/>
        <w:textAlignment w:val="auto"/>
        <w:rPr>
          <w:rFonts w:hint="eastAsia" w:ascii="宋体" w:hAnsi="宋体" w:eastAsia="宋体" w:cs="宋体"/>
          <w:color w:val="000000" w:themeColor="text1"/>
          <w:spacing w:val="-4"/>
          <w:sz w:val="24"/>
          <w:szCs w:val="24"/>
          <w14:textFill>
            <w14:solidFill>
              <w14:schemeClr w14:val="tx1"/>
            </w14:solidFill>
          </w14:textFill>
        </w:rPr>
      </w:pPr>
      <w:r>
        <w:rPr>
          <w:rFonts w:hint="eastAsia" w:ascii="宋体" w:hAnsi="宋体" w:eastAsia="宋体" w:cs="宋体"/>
          <w:color w:val="000000" w:themeColor="text1"/>
          <w:spacing w:val="-4"/>
          <w:sz w:val="24"/>
          <w:szCs w:val="24"/>
          <w14:textFill>
            <w14:solidFill>
              <w14:schemeClr w14:val="tx1"/>
            </w14:solidFill>
          </w14:textFill>
        </w:rPr>
        <w:t>4.采购工程量清单包含的由于承包人漏报、未报的项目，发包人视同承包人优惠，不予调整，并认为此项费用已包括在工程量清单的其它综合单价和合价中。</w:t>
      </w:r>
    </w:p>
    <w:p w14:paraId="78094FAB">
      <w:pPr>
        <w:pageBreakBefore w:val="0"/>
        <w:kinsoku/>
        <w:wordWrap/>
        <w:overflowPunct/>
        <w:topLinePunct w:val="0"/>
        <w:autoSpaceDE/>
        <w:autoSpaceDN/>
        <w:bidi w:val="0"/>
        <w:adjustRightInd w:val="0"/>
        <w:snapToGrid w:val="0"/>
        <w:spacing w:before="40" w:after="40" w:line="360" w:lineRule="auto"/>
        <w:ind w:firstLine="464" w:firstLineChars="200"/>
        <w:jc w:val="left"/>
        <w:textAlignment w:val="auto"/>
        <w:rPr>
          <w:rFonts w:hint="eastAsia" w:ascii="宋体" w:hAnsi="宋体" w:eastAsia="宋体" w:cs="宋体"/>
          <w:color w:val="000000" w:themeColor="text1"/>
          <w:spacing w:val="-4"/>
          <w:sz w:val="24"/>
          <w:szCs w:val="24"/>
          <w14:textFill>
            <w14:solidFill>
              <w14:schemeClr w14:val="tx1"/>
            </w14:solidFill>
          </w14:textFill>
        </w:rPr>
      </w:pPr>
      <w:r>
        <w:rPr>
          <w:rFonts w:hint="eastAsia" w:ascii="宋体" w:hAnsi="宋体" w:eastAsia="宋体" w:cs="宋体"/>
          <w:color w:val="000000" w:themeColor="text1"/>
          <w:spacing w:val="-4"/>
          <w:sz w:val="24"/>
          <w:szCs w:val="24"/>
          <w14:textFill>
            <w14:solidFill>
              <w14:schemeClr w14:val="tx1"/>
            </w14:solidFill>
          </w14:textFill>
        </w:rPr>
        <w:t>5.风险费用的计算方法：应由承包人承担的风险费用已由承包人根据自身经验作了充分估计并已计入合同协议确定的合同价款中，风险费用未单独计列的，应认为已经包含在合同价款中。</w:t>
      </w:r>
      <w:bookmarkStart w:id="19" w:name="_Toc351203485"/>
    </w:p>
    <w:p w14:paraId="72359053">
      <w:pPr>
        <w:pageBreakBefore w:val="0"/>
        <w:kinsoku/>
        <w:wordWrap/>
        <w:overflowPunct/>
        <w:topLinePunct w:val="0"/>
        <w:autoSpaceDE/>
        <w:autoSpaceDN/>
        <w:bidi w:val="0"/>
        <w:adjustRightInd w:val="0"/>
        <w:snapToGrid w:val="0"/>
        <w:spacing w:before="40" w:after="40" w:line="360" w:lineRule="auto"/>
        <w:jc w:val="left"/>
        <w:textAlignment w:val="auto"/>
        <w:outlineLvl w:val="3"/>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八、工程款的支付与决算</w:t>
      </w:r>
    </w:p>
    <w:p w14:paraId="649D843D">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1.工程进度款结算与支付</w:t>
      </w:r>
    </w:p>
    <w:p w14:paraId="27350E94">
      <w:pPr>
        <w:pageBreakBefore w:val="0"/>
        <w:kinsoku/>
        <w:wordWrap/>
        <w:overflowPunct/>
        <w:topLinePunct w:val="0"/>
        <w:autoSpaceDE/>
        <w:autoSpaceDN/>
        <w:bidi w:val="0"/>
        <w:adjustRightInd w:val="0"/>
        <w:snapToGrid w:val="0"/>
        <w:spacing w:before="40" w:after="40" w:line="360" w:lineRule="auto"/>
        <w:ind w:firstLine="464" w:firstLineChars="200"/>
        <w:jc w:val="left"/>
        <w:textAlignment w:val="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（1）合同签订后10个工作日内采购人向成交供应商支付合同总价款的40%，作为预付款；</w:t>
      </w:r>
    </w:p>
    <w:p w14:paraId="67FA67D9">
      <w:pPr>
        <w:pageBreakBefore w:val="0"/>
        <w:kinsoku/>
        <w:wordWrap/>
        <w:overflowPunct/>
        <w:topLinePunct w:val="0"/>
        <w:autoSpaceDE/>
        <w:autoSpaceDN/>
        <w:bidi w:val="0"/>
        <w:adjustRightInd w:val="0"/>
        <w:snapToGrid w:val="0"/>
        <w:spacing w:before="40" w:after="40" w:line="360" w:lineRule="auto"/>
        <w:ind w:firstLine="464" w:firstLineChars="200"/>
        <w:jc w:val="left"/>
        <w:textAlignment w:val="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（2）工程按时完工验收合格并备齐所有竣工资料后十个工作日内，采购人向成交供应商支付至结算价款的100%。</w:t>
      </w:r>
    </w:p>
    <w:p w14:paraId="56537A62">
      <w:pPr>
        <w:pageBreakBefore w:val="0"/>
        <w:kinsoku/>
        <w:wordWrap/>
        <w:overflowPunct/>
        <w:topLinePunct w:val="0"/>
        <w:autoSpaceDE/>
        <w:autoSpaceDN/>
        <w:bidi w:val="0"/>
        <w:adjustRightInd w:val="0"/>
        <w:snapToGrid w:val="0"/>
        <w:spacing w:before="40" w:after="40" w:line="360" w:lineRule="auto"/>
        <w:jc w:val="left"/>
        <w:textAlignment w:val="auto"/>
        <w:outlineLvl w:val="3"/>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九、安全文明施工与环境保护</w:t>
      </w:r>
    </w:p>
    <w:p w14:paraId="35F44AA0">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承包人应遵守工程建设安全生产有关管理规定，严格按现行安全标准组织施工，并随时接受行业安全检查人员依法实施的监督检查，采取必要的安全防护措施，消除事故隐患。其安全施工防护费用已经含在合同价款内。</w:t>
      </w:r>
    </w:p>
    <w:p w14:paraId="2B0B69B1">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关于编制施工场地治安管理计划的约定：</w:t>
      </w:r>
      <w:r>
        <w:rPr>
          <w:rFonts w:hint="eastAsia" w:ascii="宋体" w:hAnsi="宋体" w:eastAsia="宋体" w:cs="宋体"/>
          <w:color w:val="000000" w:themeColor="text1"/>
          <w:sz w:val="24"/>
          <w:szCs w:val="24"/>
          <w:u w:val="single"/>
          <w14:textFill>
            <w14:solidFill>
              <w14:schemeClr w14:val="tx1"/>
            </w14:solidFill>
          </w14:textFill>
        </w:rPr>
        <w:t>由承包人编制，开工前提供</w:t>
      </w:r>
      <w:r>
        <w:rPr>
          <w:rFonts w:hint="eastAsia" w:ascii="宋体" w:hAnsi="宋体" w:eastAsia="宋体" w:cs="宋体"/>
          <w:color w:val="000000" w:themeColor="text1"/>
          <w:sz w:val="24"/>
          <w:szCs w:val="24"/>
          <w14:textFill>
            <w14:solidFill>
              <w14:schemeClr w14:val="tx1"/>
            </w14:solidFill>
          </w14:textFill>
        </w:rPr>
        <w:t>。</w:t>
      </w:r>
    </w:p>
    <w:p w14:paraId="4690FC26">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u w:val="single"/>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合同当事人对文明施工的要求：</w:t>
      </w:r>
      <w:r>
        <w:rPr>
          <w:rFonts w:hint="eastAsia" w:ascii="宋体" w:hAnsi="宋体" w:eastAsia="宋体" w:cs="宋体"/>
          <w:color w:val="000000" w:themeColor="text1"/>
          <w:sz w:val="24"/>
          <w:szCs w:val="24"/>
          <w:u w:val="single"/>
          <w14:textFill>
            <w14:solidFill>
              <w14:schemeClr w14:val="tx1"/>
            </w14:solidFill>
          </w14:textFill>
        </w:rPr>
        <w:t>满足陕西省对文明工地的要求。</w:t>
      </w:r>
    </w:p>
    <w:p w14:paraId="33B3FCCD">
      <w:pPr>
        <w:pageBreakBefore w:val="0"/>
        <w:kinsoku/>
        <w:wordWrap/>
        <w:overflowPunct/>
        <w:topLinePunct w:val="0"/>
        <w:autoSpaceDE/>
        <w:autoSpaceDN/>
        <w:bidi w:val="0"/>
        <w:adjustRightInd w:val="0"/>
        <w:snapToGrid w:val="0"/>
        <w:spacing w:before="40" w:after="40" w:line="360" w:lineRule="auto"/>
        <w:jc w:val="left"/>
        <w:textAlignment w:val="auto"/>
        <w:outlineLvl w:val="3"/>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十、工程验收</w:t>
      </w:r>
    </w:p>
    <w:p w14:paraId="0EC479D7">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pacing w:val="-6"/>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w:t>
      </w:r>
      <w:r>
        <w:rPr>
          <w:rFonts w:hint="eastAsia" w:ascii="宋体" w:hAnsi="宋体" w:eastAsia="宋体" w:cs="宋体"/>
          <w:color w:val="000000" w:themeColor="text1"/>
          <w:spacing w:val="-6"/>
          <w:sz w:val="24"/>
          <w:szCs w:val="24"/>
          <w14:textFill>
            <w14:solidFill>
              <w14:schemeClr w14:val="tx1"/>
            </w14:solidFill>
          </w14:textFill>
        </w:rPr>
        <w:t>工程竣工验收。以国家颁发的《关于基本建设项目竣工验收暂行规定》、《工程施工及验收规范》等文件及施工技术文件为依据组织总体验收。</w:t>
      </w:r>
    </w:p>
    <w:p w14:paraId="41DE1C5F">
      <w:pPr>
        <w:pageBreakBefore w:val="0"/>
        <w:kinsoku/>
        <w:wordWrap/>
        <w:overflowPunct/>
        <w:topLinePunct w:val="0"/>
        <w:autoSpaceDE/>
        <w:autoSpaceDN/>
        <w:bidi w:val="0"/>
        <w:adjustRightInd w:val="0"/>
        <w:snapToGrid w:val="0"/>
        <w:spacing w:before="40" w:after="40" w:line="360" w:lineRule="auto"/>
        <w:ind w:firstLine="456"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6"/>
          <w:sz w:val="24"/>
          <w:szCs w:val="24"/>
          <w14:textFill>
            <w14:solidFill>
              <w14:schemeClr w14:val="tx1"/>
            </w14:solidFill>
          </w14:textFill>
        </w:rPr>
        <w:t>2.施工材料到达现场后由发包人、承包人共同验收，验收合格后方能使用。</w:t>
      </w:r>
    </w:p>
    <w:p w14:paraId="4C1C79DC">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3.项目验收：由甲方组织相关职能部门验收。</w:t>
      </w:r>
    </w:p>
    <w:p w14:paraId="48F657DC">
      <w:pPr>
        <w:keepNext/>
        <w:keepLines/>
        <w:pageBreakBefore w:val="0"/>
        <w:kinsoku/>
        <w:wordWrap/>
        <w:overflowPunct/>
        <w:topLinePunct w:val="0"/>
        <w:autoSpaceDE/>
        <w:autoSpaceDN/>
        <w:bidi w:val="0"/>
        <w:adjustRightInd w:val="0"/>
        <w:snapToGrid w:val="0"/>
        <w:spacing w:before="40" w:after="40" w:line="360" w:lineRule="auto"/>
        <w:jc w:val="left"/>
        <w:textAlignment w:val="auto"/>
        <w:outlineLvl w:val="3"/>
        <w:rPr>
          <w:rFonts w:hint="eastAsia" w:ascii="宋体" w:hAnsi="宋体" w:eastAsia="宋体" w:cs="宋体"/>
          <w:b/>
          <w:bCs/>
          <w:color w:val="000000" w:themeColor="text1"/>
          <w:sz w:val="24"/>
          <w:szCs w:val="24"/>
          <w14:textFill>
            <w14:solidFill>
              <w14:schemeClr w14:val="tx1"/>
            </w14:solidFill>
          </w14:textFill>
        </w:rPr>
      </w:pPr>
      <w:bookmarkStart w:id="20" w:name="_Toc351203647"/>
      <w:bookmarkStart w:id="21" w:name="_Toc267251483"/>
      <w:bookmarkStart w:id="22" w:name="_Toc267251482"/>
      <w:bookmarkStart w:id="23" w:name="_Toc267251484"/>
      <w:bookmarkStart w:id="24" w:name="_Toc267251485"/>
      <w:bookmarkStart w:id="25" w:name="_Toc267251486"/>
      <w:bookmarkStart w:id="26" w:name="_Toc267251489"/>
      <w:bookmarkStart w:id="27" w:name="_Toc267251490"/>
      <w:bookmarkStart w:id="28" w:name="_Toc267251488"/>
      <w:r>
        <w:rPr>
          <w:rFonts w:hint="eastAsia" w:ascii="宋体" w:hAnsi="宋体" w:eastAsia="宋体" w:cs="宋体"/>
          <w:b/>
          <w:bCs/>
          <w:color w:val="000000" w:themeColor="text1"/>
          <w:sz w:val="24"/>
          <w:szCs w:val="24"/>
          <w14:textFill>
            <w14:solidFill>
              <w14:schemeClr w14:val="tx1"/>
            </w14:solidFill>
          </w14:textFill>
        </w:rPr>
        <w:t>十一、 缺陷责任期与保修</w:t>
      </w:r>
      <w:bookmarkEnd w:id="20"/>
    </w:p>
    <w:p w14:paraId="3337F6C9">
      <w:pPr>
        <w:pageBreakBefore w:val="0"/>
        <w:kinsoku/>
        <w:wordWrap/>
        <w:overflowPunct/>
        <w:topLinePunct w:val="0"/>
        <w:autoSpaceDE/>
        <w:autoSpaceDN/>
        <w:bidi w:val="0"/>
        <w:spacing w:before="40" w:after="4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1.缺陷责任期</w:t>
      </w:r>
      <w:bookmarkEnd w:id="21"/>
    </w:p>
    <w:p w14:paraId="551D77C9">
      <w:pPr>
        <w:pageBreakBefore w:val="0"/>
        <w:kinsoku/>
        <w:wordWrap/>
        <w:overflowPunct/>
        <w:topLinePunct w:val="0"/>
        <w:autoSpaceDE/>
        <w:autoSpaceDN/>
        <w:bidi w:val="0"/>
        <w:spacing w:before="40" w:after="4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缺陷责任期的具体期限：本项目缺陷责任期为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个月；</w:t>
      </w:r>
    </w:p>
    <w:p w14:paraId="4F241C1F">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sz w:val="24"/>
          <w:szCs w:val="24"/>
        </w:rPr>
        <w:t>2.</w:t>
      </w:r>
      <w:bookmarkEnd w:id="22"/>
      <w:bookmarkEnd w:id="23"/>
      <w:bookmarkEnd w:id="24"/>
      <w:r>
        <w:rPr>
          <w:rFonts w:hint="eastAsia" w:ascii="宋体" w:hAnsi="宋体" w:eastAsia="宋体" w:cs="宋体"/>
          <w:color w:val="000000" w:themeColor="text1"/>
          <w:sz w:val="24"/>
          <w:szCs w:val="24"/>
          <w14:textFill>
            <w14:solidFill>
              <w14:schemeClr w14:val="tx1"/>
            </w14:solidFill>
          </w14:textFill>
        </w:rPr>
        <w:t>保修责任</w:t>
      </w:r>
    </w:p>
    <w:p w14:paraId="7CFDFD08">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质量保修期为：</w:t>
      </w:r>
      <w:r>
        <w:rPr>
          <w:rFonts w:hint="eastAsia" w:ascii="宋体" w:hAnsi="宋体" w:eastAsia="宋体" w:cs="宋体"/>
          <w:color w:val="000000" w:themeColor="text1"/>
          <w:sz w:val="24"/>
          <w:szCs w:val="24"/>
          <w:u w:val="single"/>
          <w14:textFill>
            <w14:solidFill>
              <w14:schemeClr w14:val="tx1"/>
            </w14:solidFill>
          </w14:textFill>
        </w:rPr>
        <w:t>自工程竣工验收合格之日进入工程保修期，质量保修期2年（其中屋面防水工程、有防水要求的卫生间、房间和外墙面的防渗漏，为5年；供热与供冷系统，为2个采暖期、供冷期；电气管线、给排水管道、设备安装和装修工程，为2年）。</w:t>
      </w:r>
    </w:p>
    <w:p w14:paraId="2E52F75D">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w:t>
      </w:r>
      <w:r>
        <w:rPr>
          <w:rFonts w:hint="eastAsia" w:ascii="宋体" w:hAnsi="宋体" w:eastAsia="宋体" w:cs="宋体"/>
          <w:color w:val="000000" w:themeColor="text1"/>
          <w:sz w:val="24"/>
          <w:szCs w:val="24"/>
          <w14:textFill>
            <w14:solidFill>
              <w14:schemeClr w14:val="tx1"/>
            </w14:solidFill>
          </w14:textFill>
        </w:rPr>
        <w:t>. 修复通知</w:t>
      </w:r>
    </w:p>
    <w:p w14:paraId="2521B3E0">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承包人收到保修通知并到达工程现场的合理时间：</w:t>
      </w:r>
      <w:r>
        <w:rPr>
          <w:rFonts w:hint="eastAsia" w:ascii="宋体" w:hAnsi="宋体" w:eastAsia="宋体" w:cs="宋体"/>
          <w:color w:val="000000" w:themeColor="text1"/>
          <w:sz w:val="24"/>
          <w:szCs w:val="24"/>
          <w:u w:val="single"/>
          <w14:textFill>
            <w14:solidFill>
              <w14:schemeClr w14:val="tx1"/>
            </w14:solidFill>
          </w14:textFill>
        </w:rPr>
        <w:t>响应时间为正常工作日二小时内答复，十二小时内到现场处理。节假日及法定休息日六小时内答复，二十四小时内到现场处理</w:t>
      </w:r>
      <w:r>
        <w:rPr>
          <w:rFonts w:hint="eastAsia" w:ascii="宋体" w:hAnsi="宋体" w:eastAsia="宋体" w:cs="宋体"/>
          <w:color w:val="000000" w:themeColor="text1"/>
          <w:sz w:val="24"/>
          <w:szCs w:val="24"/>
          <w14:textFill>
            <w14:solidFill>
              <w14:schemeClr w14:val="tx1"/>
            </w14:solidFill>
          </w14:textFill>
        </w:rPr>
        <w:t>。</w:t>
      </w:r>
      <w:bookmarkEnd w:id="25"/>
      <w:bookmarkEnd w:id="26"/>
      <w:bookmarkEnd w:id="27"/>
      <w:bookmarkEnd w:id="28"/>
    </w:p>
    <w:p w14:paraId="2451A739">
      <w:pPr>
        <w:keepNext/>
        <w:keepLines/>
        <w:pageBreakBefore w:val="0"/>
        <w:kinsoku/>
        <w:wordWrap/>
        <w:overflowPunct/>
        <w:topLinePunct w:val="0"/>
        <w:autoSpaceDE/>
        <w:autoSpaceDN/>
        <w:bidi w:val="0"/>
        <w:adjustRightInd w:val="0"/>
        <w:snapToGrid w:val="0"/>
        <w:spacing w:before="40" w:after="40" w:line="360" w:lineRule="auto"/>
        <w:jc w:val="left"/>
        <w:textAlignment w:val="auto"/>
        <w:outlineLvl w:val="3"/>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十二、</w:t>
      </w:r>
      <w:bookmarkEnd w:id="19"/>
      <w:bookmarkStart w:id="29" w:name="_Toc351203486"/>
      <w:r>
        <w:rPr>
          <w:rFonts w:hint="eastAsia" w:ascii="宋体" w:hAnsi="宋体" w:eastAsia="宋体" w:cs="宋体"/>
          <w:b/>
          <w:bCs/>
          <w:color w:val="000000" w:themeColor="text1"/>
          <w:sz w:val="24"/>
          <w:szCs w:val="24"/>
          <w14:textFill>
            <w14:solidFill>
              <w14:schemeClr w14:val="tx1"/>
            </w14:solidFill>
          </w14:textFill>
        </w:rPr>
        <w:t>违约责任</w:t>
      </w:r>
    </w:p>
    <w:p w14:paraId="0D2FF71A">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ascii="宋体" w:hAnsi="宋体" w:cs="宋体"/>
          <w:color w:val="000000"/>
          <w:sz w:val="24"/>
          <w:szCs w:val="24"/>
        </w:rPr>
      </w:pPr>
      <w:r>
        <w:rPr>
          <w:rFonts w:hint="eastAsia" w:ascii="宋体" w:hAnsi="宋体" w:cs="宋体"/>
          <w:color w:val="000000"/>
          <w:sz w:val="24"/>
          <w:szCs w:val="24"/>
        </w:rPr>
        <w:t>1</w:t>
      </w:r>
      <w:r>
        <w:rPr>
          <w:rFonts w:hint="eastAsia" w:ascii="宋体" w:hAnsi="宋体" w:cs="宋体"/>
          <w:color w:val="000000"/>
          <w:sz w:val="24"/>
          <w:szCs w:val="24"/>
          <w:lang w:eastAsia="zh-CN"/>
        </w:rPr>
        <w:t>.</w:t>
      </w:r>
      <w:r>
        <w:rPr>
          <w:rFonts w:hint="eastAsia" w:ascii="宋体" w:hAnsi="宋体" w:cs="宋体"/>
          <w:color w:val="000000"/>
          <w:sz w:val="24"/>
          <w:szCs w:val="24"/>
        </w:rPr>
        <w:t>发包人违约</w:t>
      </w:r>
    </w:p>
    <w:p w14:paraId="6E7C9CAB">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ascii="宋体" w:hAnsi="宋体" w:cs="宋体"/>
          <w:color w:val="000000"/>
          <w:sz w:val="24"/>
          <w:szCs w:val="24"/>
        </w:rPr>
      </w:pPr>
      <w:r>
        <w:rPr>
          <w:rFonts w:hint="eastAsia" w:ascii="宋体" w:hAnsi="宋体" w:cs="宋体"/>
          <w:color w:val="000000"/>
          <w:sz w:val="24"/>
          <w:szCs w:val="24"/>
        </w:rPr>
        <w:t>（1）因发包人原因未能在计划开工日期前7天内下达开工通知的违约责任：工期顺延。</w:t>
      </w:r>
    </w:p>
    <w:p w14:paraId="3EBC6235">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ascii="宋体" w:hAnsi="宋体" w:cs="宋体"/>
          <w:color w:val="000000"/>
          <w:sz w:val="24"/>
          <w:szCs w:val="24"/>
        </w:rPr>
      </w:pPr>
      <w:r>
        <w:rPr>
          <w:rFonts w:hint="eastAsia" w:ascii="宋体" w:hAnsi="宋体" w:cs="宋体"/>
          <w:color w:val="000000"/>
          <w:sz w:val="24"/>
          <w:szCs w:val="24"/>
        </w:rPr>
        <w:t>（2）因发包人原因未能按合同约定支付合同价款的违约责任双方另行协商。</w:t>
      </w:r>
    </w:p>
    <w:p w14:paraId="165B3615">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ascii="宋体" w:hAnsi="宋体" w:cs="宋体"/>
          <w:color w:val="000000"/>
          <w:sz w:val="24"/>
          <w:szCs w:val="24"/>
        </w:rPr>
      </w:pPr>
      <w:r>
        <w:rPr>
          <w:rFonts w:hint="eastAsia" w:ascii="宋体" w:hAnsi="宋体" w:cs="宋体"/>
          <w:color w:val="000000"/>
          <w:sz w:val="24"/>
          <w:szCs w:val="24"/>
        </w:rPr>
        <w:t>（3）因发包人违反合同约定造成暂停施工的违约责任：若影响工期的，工期予以顺延。</w:t>
      </w:r>
    </w:p>
    <w:p w14:paraId="281A36FC">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ascii="宋体" w:hAnsi="宋体" w:cs="宋体"/>
          <w:color w:val="000000"/>
          <w:sz w:val="24"/>
          <w:szCs w:val="24"/>
        </w:rPr>
      </w:pPr>
      <w:r>
        <w:rPr>
          <w:rFonts w:hint="eastAsia" w:ascii="宋体" w:hAnsi="宋体" w:cs="宋体"/>
          <w:color w:val="000000"/>
          <w:sz w:val="24"/>
          <w:szCs w:val="24"/>
        </w:rPr>
        <w:t>（4）发包人无正当理由没有在约定期限内发出复工指示，导致承包人无法复工的违约责任：若影响工期的，工期予以顺延。</w:t>
      </w:r>
    </w:p>
    <w:p w14:paraId="1B740E1A">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ascii="宋体" w:hAnsi="宋体" w:cs="宋体"/>
          <w:color w:val="000000"/>
          <w:sz w:val="24"/>
          <w:szCs w:val="24"/>
        </w:rPr>
      </w:pPr>
      <w:r>
        <w:rPr>
          <w:rFonts w:hint="eastAsia" w:ascii="宋体" w:hAnsi="宋体" w:cs="宋体"/>
          <w:color w:val="000000"/>
          <w:sz w:val="24"/>
          <w:szCs w:val="24"/>
        </w:rPr>
        <w:t>（5）其他：双方协商解决。</w:t>
      </w:r>
    </w:p>
    <w:p w14:paraId="4FDB67C0">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ascii="宋体" w:hAnsi="宋体" w:cs="宋体"/>
          <w:color w:val="000000"/>
          <w:sz w:val="24"/>
          <w:szCs w:val="24"/>
        </w:rPr>
      </w:pPr>
      <w:r>
        <w:rPr>
          <w:rFonts w:hint="eastAsia" w:ascii="宋体" w:hAnsi="宋体" w:cs="宋体"/>
          <w:color w:val="000000"/>
          <w:sz w:val="24"/>
          <w:szCs w:val="24"/>
        </w:rPr>
        <w:t>2</w:t>
      </w:r>
      <w:r>
        <w:rPr>
          <w:rFonts w:hint="eastAsia" w:ascii="宋体" w:hAnsi="宋体" w:cs="宋体"/>
          <w:color w:val="000000"/>
          <w:sz w:val="24"/>
          <w:szCs w:val="24"/>
          <w:lang w:eastAsia="zh-CN"/>
        </w:rPr>
        <w:t>.</w:t>
      </w:r>
      <w:r>
        <w:rPr>
          <w:rFonts w:hint="eastAsia" w:ascii="宋体" w:hAnsi="宋体" w:cs="宋体"/>
          <w:color w:val="000000"/>
          <w:sz w:val="24"/>
          <w:szCs w:val="24"/>
        </w:rPr>
        <w:t>承包人违约</w:t>
      </w:r>
    </w:p>
    <w:p w14:paraId="1C4205E0">
      <w:pPr>
        <w:pageBreakBefore w:val="0"/>
        <w:kinsoku/>
        <w:wordWrap/>
        <w:overflowPunct/>
        <w:topLinePunct w:val="0"/>
        <w:autoSpaceDE/>
        <w:autoSpaceDN/>
        <w:bidi w:val="0"/>
        <w:spacing w:before="40" w:after="40" w:line="360" w:lineRule="auto"/>
        <w:ind w:firstLine="480" w:firstLineChars="200"/>
        <w:textAlignment w:val="auto"/>
        <w:rPr>
          <w:rFonts w:ascii="宋体" w:hAnsi="宋体" w:cs="宋体"/>
          <w:color w:val="000000"/>
          <w:sz w:val="24"/>
          <w:szCs w:val="24"/>
          <w:highlight w:val="yellow"/>
          <w:u w:val="none"/>
        </w:rPr>
      </w:pPr>
      <w:r>
        <w:rPr>
          <w:rFonts w:hint="eastAsia" w:ascii="宋体" w:hAnsi="宋体" w:cs="宋体"/>
          <w:color w:val="000000"/>
          <w:sz w:val="24"/>
          <w:szCs w:val="24"/>
        </w:rPr>
        <w:t>（1）承包人不得更换经发包人认定的项目经理。</w:t>
      </w:r>
    </w:p>
    <w:p w14:paraId="2DA6D5AD">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ascii="宋体" w:hAnsi="宋体" w:cs="宋体"/>
          <w:color w:val="000000"/>
          <w:sz w:val="24"/>
          <w:szCs w:val="24"/>
          <w:highlight w:val="none"/>
        </w:rPr>
      </w:pPr>
      <w:r>
        <w:rPr>
          <w:rFonts w:hint="eastAsia" w:ascii="宋体" w:hAnsi="宋体" w:cs="宋体"/>
          <w:color w:val="000000"/>
          <w:sz w:val="24"/>
          <w:szCs w:val="24"/>
          <w:highlight w:val="none"/>
        </w:rPr>
        <w:t>（2）</w:t>
      </w:r>
      <w:r>
        <w:rPr>
          <w:rFonts w:hint="eastAsia" w:ascii="宋体" w:hAnsi="宋体" w:cs="宋体"/>
          <w:color w:val="000000"/>
          <w:sz w:val="24"/>
          <w:szCs w:val="24"/>
        </w:rPr>
        <w:t>承包人项目经理和技术负责人无特殊情况坚守工地时间不得少于</w:t>
      </w:r>
      <w:r>
        <w:rPr>
          <w:rFonts w:hint="eastAsia" w:ascii="宋体" w:hAnsi="宋体" w:cs="宋体"/>
          <w:color w:val="000000"/>
          <w:sz w:val="24"/>
          <w:szCs w:val="24"/>
          <w:lang w:val="en-US" w:eastAsia="zh-CN"/>
        </w:rPr>
        <w:t>20</w:t>
      </w:r>
      <w:r>
        <w:rPr>
          <w:rFonts w:hint="eastAsia" w:ascii="宋体" w:hAnsi="宋体" w:cs="宋体"/>
          <w:color w:val="000000"/>
          <w:sz w:val="24"/>
          <w:szCs w:val="24"/>
        </w:rPr>
        <w:t>天，项目经理在工程施工期间，要暂时离开工地现场2天以上，应事先征得</w:t>
      </w:r>
      <w:r>
        <w:rPr>
          <w:rFonts w:hint="eastAsia" w:ascii="宋体" w:hAnsi="宋体" w:cs="宋体"/>
          <w:color w:val="000000"/>
          <w:sz w:val="24"/>
          <w:szCs w:val="24"/>
          <w:lang w:val="en-US" w:eastAsia="zh-CN"/>
        </w:rPr>
        <w:t>承包人</w:t>
      </w:r>
      <w:r>
        <w:rPr>
          <w:rFonts w:hint="eastAsia" w:ascii="宋体" w:hAnsi="宋体" w:cs="宋体"/>
          <w:color w:val="000000"/>
          <w:sz w:val="24"/>
          <w:szCs w:val="24"/>
        </w:rPr>
        <w:t>的同意。项目经理每次请假时间不超过</w:t>
      </w:r>
      <w:r>
        <w:rPr>
          <w:rFonts w:hint="eastAsia" w:ascii="宋体" w:hAnsi="宋体" w:cs="宋体"/>
          <w:color w:val="000000"/>
          <w:sz w:val="24"/>
          <w:szCs w:val="24"/>
          <w:lang w:val="en-US" w:eastAsia="zh-CN"/>
        </w:rPr>
        <w:t>3</w:t>
      </w:r>
      <w:r>
        <w:rPr>
          <w:rFonts w:hint="eastAsia" w:ascii="宋体" w:hAnsi="宋体" w:cs="宋体"/>
          <w:color w:val="000000"/>
          <w:sz w:val="24"/>
          <w:szCs w:val="24"/>
        </w:rPr>
        <w:t>天，</w:t>
      </w:r>
      <w:r>
        <w:rPr>
          <w:rFonts w:hint="eastAsia" w:ascii="宋体" w:hAnsi="宋体" w:cs="宋体"/>
          <w:color w:val="000000"/>
          <w:sz w:val="24"/>
          <w:szCs w:val="24"/>
          <w:lang w:val="en-US" w:eastAsia="zh-CN"/>
        </w:rPr>
        <w:t>两周</w:t>
      </w:r>
      <w:r>
        <w:rPr>
          <w:rFonts w:hint="eastAsia" w:ascii="宋体" w:hAnsi="宋体" w:cs="宋体"/>
          <w:color w:val="000000"/>
          <w:sz w:val="24"/>
          <w:szCs w:val="24"/>
        </w:rPr>
        <w:t>累计离场时间不得超过</w:t>
      </w:r>
      <w:r>
        <w:rPr>
          <w:rFonts w:hint="eastAsia" w:ascii="宋体" w:hAnsi="宋体" w:cs="宋体"/>
          <w:color w:val="000000"/>
          <w:sz w:val="24"/>
          <w:szCs w:val="24"/>
          <w:lang w:val="en-US" w:eastAsia="zh-CN"/>
        </w:rPr>
        <w:t>7</w:t>
      </w:r>
      <w:r>
        <w:rPr>
          <w:rFonts w:hint="eastAsia" w:ascii="宋体" w:hAnsi="宋体" w:cs="宋体"/>
          <w:color w:val="000000"/>
          <w:sz w:val="24"/>
          <w:szCs w:val="24"/>
        </w:rPr>
        <w:t>天。随意离开工地，承包人向发包人支付</w:t>
      </w:r>
      <w:r>
        <w:rPr>
          <w:rFonts w:hint="eastAsia" w:ascii="宋体" w:hAnsi="宋体" w:cs="宋体"/>
          <w:color w:val="000000"/>
          <w:sz w:val="24"/>
          <w:szCs w:val="24"/>
          <w:lang w:val="en-US" w:eastAsia="zh-CN"/>
        </w:rPr>
        <w:t>10</w:t>
      </w:r>
      <w:r>
        <w:rPr>
          <w:rFonts w:hint="eastAsia" w:ascii="宋体" w:hAnsi="宋体" w:cs="宋体"/>
          <w:color w:val="000000"/>
          <w:sz w:val="24"/>
          <w:szCs w:val="24"/>
        </w:rPr>
        <w:t>000元/天的违约金。项目经理和技术负责人需要离开工地时必须提前一天书面向发包人请假，获批准后方可离开工地，否则按缺勤处理</w:t>
      </w:r>
      <w:r>
        <w:rPr>
          <w:rFonts w:hint="eastAsia" w:ascii="宋体" w:hAnsi="宋体" w:cs="宋体"/>
          <w:color w:val="000000"/>
          <w:sz w:val="24"/>
          <w:szCs w:val="24"/>
          <w:highlight w:val="none"/>
        </w:rPr>
        <w:t>。</w:t>
      </w:r>
    </w:p>
    <w:p w14:paraId="77F15D66">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ascii="宋体" w:hAnsi="宋体" w:cs="宋体"/>
          <w:color w:val="000000"/>
          <w:sz w:val="24"/>
          <w:szCs w:val="24"/>
          <w:highlight w:val="none"/>
        </w:rPr>
      </w:pPr>
      <w:r>
        <w:rPr>
          <w:rFonts w:hint="eastAsia" w:ascii="宋体" w:hAnsi="宋体" w:cs="宋体"/>
          <w:color w:val="000000"/>
          <w:sz w:val="24"/>
          <w:szCs w:val="24"/>
          <w:highlight w:val="none"/>
        </w:rPr>
        <w:t>（3）项目经理不胜任本职工作，发包人和工程师可提前7天以书面形式通知承包人更换合格的项目经理，如更换后的项目经理仍旧不能胜任本职工作，发包人有解除合同的权利。项目技术负责人及其他专业工程师不称职，发包人和工程师也可提前5天以书面形式通知承包人更换合格的人员。上述人员更换，承包人应在3日内更换完毕。</w:t>
      </w:r>
    </w:p>
    <w:p w14:paraId="315B170F">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ascii="宋体" w:hAnsi="宋体" w:cs="宋体"/>
          <w:color w:val="000000"/>
          <w:sz w:val="24"/>
          <w:szCs w:val="24"/>
          <w:highlight w:val="none"/>
        </w:rPr>
      </w:pPr>
      <w:r>
        <w:rPr>
          <w:rFonts w:hint="eastAsia" w:ascii="宋体" w:hAnsi="宋体" w:cs="宋体"/>
          <w:color w:val="000000"/>
          <w:sz w:val="24"/>
          <w:szCs w:val="24"/>
          <w:highlight w:val="none"/>
        </w:rPr>
        <w:t>（4）承包人主要机械设备未能按工程计划及时到场或到场设备不能正常运转以及擅自调走已进场的机械设备，应按</w:t>
      </w:r>
      <w:r>
        <w:rPr>
          <w:rFonts w:hint="eastAsia" w:ascii="宋体" w:hAnsi="宋体" w:cs="宋体"/>
          <w:color w:val="000000"/>
          <w:sz w:val="24"/>
          <w:szCs w:val="24"/>
          <w:highlight w:val="none"/>
          <w:lang w:val="en-US" w:eastAsia="zh-CN"/>
        </w:rPr>
        <w:t>5000</w:t>
      </w:r>
      <w:r>
        <w:rPr>
          <w:rFonts w:hint="eastAsia" w:ascii="宋体" w:hAnsi="宋体" w:cs="宋体"/>
          <w:color w:val="000000"/>
          <w:sz w:val="24"/>
          <w:szCs w:val="24"/>
          <w:highlight w:val="none"/>
        </w:rPr>
        <w:t>元/天·台（套）标准向发包人支付违约金；迟到或调离超过10天时，发包人可自行组织采购，费用直接在向承包人支付工程款时予以扣除，同时对到场时限的延迟仍旧计算违约金</w:t>
      </w:r>
    </w:p>
    <w:p w14:paraId="54FC0042">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ascii="宋体" w:hAnsi="宋体" w:cs="宋体"/>
          <w:color w:val="000000"/>
          <w:sz w:val="24"/>
          <w:szCs w:val="24"/>
        </w:rPr>
      </w:pPr>
      <w:r>
        <w:rPr>
          <w:rFonts w:hint="eastAsia" w:ascii="宋体" w:hAnsi="宋体" w:cs="宋体"/>
          <w:color w:val="000000"/>
          <w:sz w:val="24"/>
          <w:szCs w:val="24"/>
        </w:rPr>
        <w:t>（5）同时出现以下问题：</w:t>
      </w:r>
    </w:p>
    <w:p w14:paraId="43642092">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ascii="宋体" w:hAnsi="宋体" w:cs="宋体"/>
          <w:color w:val="000000"/>
          <w:sz w:val="24"/>
          <w:szCs w:val="24"/>
        </w:rPr>
      </w:pPr>
      <w:r>
        <w:rPr>
          <w:rFonts w:hint="eastAsia" w:ascii="宋体" w:hAnsi="宋体" w:cs="宋体"/>
          <w:color w:val="000000"/>
          <w:sz w:val="24"/>
          <w:szCs w:val="24"/>
        </w:rPr>
        <w:t>a.出现重大质量问题，经发包人提出，没有采取有效措施进行补救。</w:t>
      </w:r>
    </w:p>
    <w:p w14:paraId="3B23B85F">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ascii="宋体" w:hAnsi="宋体" w:cs="宋体"/>
          <w:color w:val="000000"/>
          <w:sz w:val="24"/>
          <w:szCs w:val="24"/>
        </w:rPr>
      </w:pPr>
      <w:r>
        <w:rPr>
          <w:rFonts w:hint="eastAsia" w:ascii="宋体" w:hAnsi="宋体" w:cs="宋体"/>
          <w:color w:val="000000"/>
          <w:sz w:val="24"/>
          <w:szCs w:val="24"/>
        </w:rPr>
        <w:t>b.被建设行政主管部门因为质量问题通报两次者。</w:t>
      </w:r>
    </w:p>
    <w:p w14:paraId="504AF501">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ascii="宋体" w:hAnsi="宋体" w:cs="宋体"/>
          <w:color w:val="000000"/>
          <w:sz w:val="24"/>
          <w:szCs w:val="24"/>
        </w:rPr>
      </w:pPr>
      <w:r>
        <w:rPr>
          <w:rFonts w:hint="eastAsia" w:ascii="宋体" w:hAnsi="宋体" w:cs="宋体"/>
          <w:color w:val="000000"/>
          <w:sz w:val="24"/>
          <w:szCs w:val="24"/>
        </w:rPr>
        <w:t>c.出现重大安全隐患，经</w:t>
      </w:r>
      <w:r>
        <w:rPr>
          <w:rFonts w:hint="eastAsia" w:ascii="宋体" w:hAnsi="宋体" w:cs="宋体"/>
          <w:color w:val="000000"/>
          <w:sz w:val="24"/>
          <w:szCs w:val="24"/>
          <w:lang w:eastAsia="zh-CN"/>
        </w:rPr>
        <w:t>发包人</w:t>
      </w:r>
      <w:r>
        <w:rPr>
          <w:rFonts w:hint="eastAsia" w:ascii="宋体" w:hAnsi="宋体" w:cs="宋体"/>
          <w:color w:val="000000"/>
          <w:sz w:val="24"/>
          <w:szCs w:val="24"/>
        </w:rPr>
        <w:t>提出，在限期内没有得到整改。</w:t>
      </w:r>
    </w:p>
    <w:p w14:paraId="730BAF1A">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ascii="宋体" w:hAnsi="宋体" w:cs="宋体"/>
          <w:color w:val="000000"/>
          <w:sz w:val="24"/>
          <w:szCs w:val="24"/>
        </w:rPr>
      </w:pPr>
      <w:r>
        <w:rPr>
          <w:rFonts w:hint="eastAsia" w:ascii="宋体" w:hAnsi="宋体" w:cs="宋体"/>
          <w:color w:val="000000"/>
          <w:sz w:val="24"/>
          <w:szCs w:val="24"/>
        </w:rPr>
        <w:t>d.被建设行政主管部门因为安全问题通报两次者。</w:t>
      </w:r>
    </w:p>
    <w:p w14:paraId="7565FEFA">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ascii="宋体" w:hAnsi="宋体" w:cs="宋体"/>
          <w:color w:val="000000"/>
          <w:sz w:val="24"/>
          <w:szCs w:val="24"/>
        </w:rPr>
      </w:pPr>
      <w:r>
        <w:rPr>
          <w:rFonts w:hint="eastAsia" w:ascii="宋体" w:hAnsi="宋体" w:cs="宋体"/>
          <w:color w:val="000000"/>
          <w:sz w:val="24"/>
          <w:szCs w:val="24"/>
        </w:rPr>
        <w:t>e.或发生其它使合同无法履行的行为。发包人可单方解除合同。</w:t>
      </w:r>
    </w:p>
    <w:p w14:paraId="640E1B7E">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cs="宋体"/>
          <w:color w:val="000000"/>
          <w:sz w:val="24"/>
          <w:szCs w:val="24"/>
        </w:rPr>
        <w:t>因以上原因终止施工合同，承包人应支付合同价款3%的违约金，另由于终止合同对发包人造成的损失由承包人承担。</w:t>
      </w:r>
    </w:p>
    <w:p w14:paraId="0F7E99AE">
      <w:pPr>
        <w:keepNext/>
        <w:keepLines/>
        <w:pageBreakBefore w:val="0"/>
        <w:kinsoku/>
        <w:wordWrap/>
        <w:overflowPunct/>
        <w:topLinePunct w:val="0"/>
        <w:autoSpaceDE/>
        <w:autoSpaceDN/>
        <w:bidi w:val="0"/>
        <w:adjustRightInd w:val="0"/>
        <w:snapToGrid w:val="0"/>
        <w:spacing w:before="40" w:after="40" w:line="360" w:lineRule="auto"/>
        <w:jc w:val="left"/>
        <w:textAlignment w:val="auto"/>
        <w:outlineLvl w:val="3"/>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十三、不可抗力</w:t>
      </w:r>
    </w:p>
    <w:p w14:paraId="6A04164D">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正常年份的风、雨、雪、雾天气不属于不可抗力；一个有经验的承包商应当能够估计到的自然气候、环境（制约）变化的影响，合理安排施工；高考、中考、运动会以及政府部门发出的有碍于施工的临时性指令均不做为不可抗力事件对待。由于发生30年以上一遇的降雨引起的洪水灾害、雪灾造成对工程的影响，经国家有关部门鉴定后可按不可抗力对待；发生破坏性地震的属于不可抗力事件。</w:t>
      </w:r>
    </w:p>
    <w:p w14:paraId="1E0000F3">
      <w:pPr>
        <w:keepNext/>
        <w:keepLines/>
        <w:pageBreakBefore w:val="0"/>
        <w:kinsoku/>
        <w:wordWrap/>
        <w:overflowPunct/>
        <w:topLinePunct w:val="0"/>
        <w:autoSpaceDE/>
        <w:autoSpaceDN/>
        <w:bidi w:val="0"/>
        <w:adjustRightInd w:val="0"/>
        <w:snapToGrid w:val="0"/>
        <w:spacing w:before="40" w:after="40" w:line="360" w:lineRule="auto"/>
        <w:jc w:val="left"/>
        <w:textAlignment w:val="auto"/>
        <w:outlineLvl w:val="3"/>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十四、保险</w:t>
      </w:r>
    </w:p>
    <w:p w14:paraId="62A5E8D8">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关于工程保险、承包人员相关保险、设备设施保险等已包含在合同价款中，</w:t>
      </w:r>
    </w:p>
    <w:p w14:paraId="76EBC83C">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保险费用由承包人承担，未购买的承包人承担全部责任。</w:t>
      </w:r>
    </w:p>
    <w:p w14:paraId="0F9F62C9">
      <w:pPr>
        <w:keepNext/>
        <w:keepLines/>
        <w:pageBreakBefore w:val="0"/>
        <w:kinsoku/>
        <w:wordWrap/>
        <w:overflowPunct/>
        <w:topLinePunct w:val="0"/>
        <w:autoSpaceDE/>
        <w:autoSpaceDN/>
        <w:bidi w:val="0"/>
        <w:adjustRightInd w:val="0"/>
        <w:snapToGrid w:val="0"/>
        <w:spacing w:before="40" w:after="40" w:line="360" w:lineRule="auto"/>
        <w:jc w:val="left"/>
        <w:textAlignment w:val="auto"/>
        <w:outlineLvl w:val="3"/>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十五、其他</w:t>
      </w:r>
    </w:p>
    <w:p w14:paraId="31B8F4EC">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在合同要求许可的范围内，在施工、完成工程及保修过程中，承包人所必需的一切操作均不应对公众的便利及公用道路，以及通往属于发包人和他人财产的人行道的进入、使用或占有，产生不必要及不适当的干扰；</w:t>
      </w:r>
    </w:p>
    <w:p w14:paraId="27A04322">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2.承包人的施工管理区及施工现场应设有临时的污水处理设施和施工排水设施，生活、施工垃圾等处置应妥当；</w:t>
      </w:r>
    </w:p>
    <w:p w14:paraId="7EBA0758">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竣工验收合格后，承包人应立即从签发了移交证书的那部分工地上将所有有关承包人的设备、多余材料、垃圾及各种临时工程清除、移走，恢复损坏的原有公共设施，并使这一部分工程及工地保持清洁，使发包人满意。在质量保修期结束之前，未完成保修期内的义务，将其需要的材料、承包人的和设备、临时设施保留在发包人指定的位置；</w:t>
      </w:r>
    </w:p>
    <w:p w14:paraId="2C5C21D3">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承包人应全权负责其劳务及资源的雇佣、工资的支付、房屋、膳食及运输的安排。承包人在任何时候应采取一切合理的预防措施，以防止其职员发生任何违法的、妨碍治安的行为，并维护治安和保护工程附近的个人或财产免遭上述行为的破坏；</w:t>
      </w:r>
    </w:p>
    <w:p w14:paraId="1FC01618">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5.承包人应按安全施工管理有关规定，配备安全管理机构，配备合格的安全管理人员，负责处理全体工作人员和劳务人员的安全保护和防止事故等问题。在施工中发生的任何机械及人身伤害事故均由承包方承担赔偿责任；</w:t>
      </w:r>
    </w:p>
    <w:p w14:paraId="5FE8D0C1">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6.承包人应以迅速而有序的方式将所采购的材料运至工地现场，并按工程规范要求做相应的试验、试样和检测工作，当这些工作不符合现行有关规定（包括不及时开展相关工作）时，发包人有权直接指定由相关资质的检测单位进行试验、试样、检测工作，由此发生的所有费用由承包人承担；</w:t>
      </w:r>
    </w:p>
    <w:p w14:paraId="22E8ACF1">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7.承包人应负责各分包人在施工过程的之前、之中、之后协调工作，包括工序、场地、材料堆放、人员食宿、水、电供应等，所发生的费用由承包人自行解决；</w:t>
      </w:r>
    </w:p>
    <w:p w14:paraId="3269A564">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8.承包人必须服从发包人对总平面管理和现场平面管理的要求，现场设施搭建必须按发包人批准的搭建方案实施，严禁擅自乱建或扩大面积；</w:t>
      </w:r>
    </w:p>
    <w:p w14:paraId="56F586B0">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9.承包人负责处理当地农民对施工的干扰（非采购人原因），自行处理与当地农民的关系。</w:t>
      </w:r>
    </w:p>
    <w:p w14:paraId="1D470227">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10.承包人自行解决临时用房。</w:t>
      </w:r>
    </w:p>
    <w:p w14:paraId="6442ABD2">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11.本项目成交人成交之后，最高拦标限价与最终成交价格之差作为本项目的暂列金。</w:t>
      </w:r>
    </w:p>
    <w:p w14:paraId="5AA4910C">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12.如涉及签证、变更的，已审计后的金额为准。</w:t>
      </w:r>
    </w:p>
    <w:bookmarkEnd w:id="29"/>
    <w:p w14:paraId="231034F9">
      <w:pPr>
        <w:keepNext/>
        <w:keepLines/>
        <w:pageBreakBefore w:val="0"/>
        <w:kinsoku/>
        <w:wordWrap/>
        <w:overflowPunct/>
        <w:topLinePunct w:val="0"/>
        <w:autoSpaceDE/>
        <w:autoSpaceDN/>
        <w:bidi w:val="0"/>
        <w:adjustRightInd w:val="0"/>
        <w:snapToGrid w:val="0"/>
        <w:spacing w:before="40" w:after="40" w:line="360" w:lineRule="auto"/>
        <w:jc w:val="left"/>
        <w:textAlignment w:val="auto"/>
        <w:outlineLvl w:val="3"/>
        <w:rPr>
          <w:rFonts w:hint="eastAsia" w:ascii="宋体" w:hAnsi="宋体" w:eastAsia="宋体" w:cs="宋体"/>
          <w:b/>
          <w:bCs/>
          <w:color w:val="000000" w:themeColor="text1"/>
          <w:sz w:val="24"/>
          <w:szCs w:val="24"/>
          <w14:textFill>
            <w14:solidFill>
              <w14:schemeClr w14:val="tx1"/>
            </w14:solidFill>
          </w14:textFill>
        </w:rPr>
      </w:pPr>
      <w:bookmarkStart w:id="30" w:name="_Toc351203487"/>
      <w:r>
        <w:rPr>
          <w:rFonts w:hint="eastAsia" w:ascii="宋体" w:hAnsi="宋体" w:eastAsia="宋体" w:cs="宋体"/>
          <w:b/>
          <w:bCs/>
          <w:color w:val="000000" w:themeColor="text1"/>
          <w:sz w:val="24"/>
          <w:szCs w:val="24"/>
          <w14:textFill>
            <w14:solidFill>
              <w14:schemeClr w14:val="tx1"/>
            </w14:solidFill>
          </w14:textFill>
        </w:rPr>
        <w:t>十六、合同文件构成</w:t>
      </w:r>
    </w:p>
    <w:p w14:paraId="4489987E">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组成本合同的文件包括：</w:t>
      </w:r>
    </w:p>
    <w:p w14:paraId="3F3876F5">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响应文件、工程报价单或预算书及其附件、磋商文件、答疑纪要及工程量清单、标准、规范及有关技术文件。</w:t>
      </w:r>
    </w:p>
    <w:p w14:paraId="7857FF83">
      <w:pPr>
        <w:pageBreakBefore w:val="0"/>
        <w:widowControl/>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双方为履行本合同的有关洽商、变更等书面协议、文件，视为本合同的组成部分。</w:t>
      </w:r>
    </w:p>
    <w:p w14:paraId="3BAEC7A6">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上述各项合同文件包括合同当事人就该项合同文件所作出的补充和修改，属于同一类内容的文件，应以最新签署的为准。专用合同条款及其附件须经合同当事人签字或盖章。</w:t>
      </w:r>
    </w:p>
    <w:p w14:paraId="64BE7D5A">
      <w:pPr>
        <w:keepNext/>
        <w:keepLines/>
        <w:pageBreakBefore w:val="0"/>
        <w:kinsoku/>
        <w:wordWrap/>
        <w:overflowPunct/>
        <w:topLinePunct w:val="0"/>
        <w:autoSpaceDE/>
        <w:autoSpaceDN/>
        <w:bidi w:val="0"/>
        <w:adjustRightInd w:val="0"/>
        <w:snapToGrid w:val="0"/>
        <w:spacing w:before="40" w:after="40" w:line="360" w:lineRule="auto"/>
        <w:jc w:val="left"/>
        <w:textAlignment w:val="auto"/>
        <w:outlineLvl w:val="3"/>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十七、承包人承诺</w:t>
      </w:r>
      <w:bookmarkEnd w:id="30"/>
    </w:p>
    <w:p w14:paraId="0017D0E9">
      <w:pPr>
        <w:pageBreakBefore w:val="0"/>
        <w:widowControl/>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承包人承诺按</w:t>
      </w:r>
      <w:r>
        <w:rPr>
          <w:rFonts w:hint="eastAsia" w:ascii="宋体" w:hAnsi="宋体" w:eastAsia="宋体" w:cs="宋体"/>
          <w:bCs/>
          <w:color w:val="000000" w:themeColor="text1"/>
          <w:sz w:val="24"/>
          <w:szCs w:val="24"/>
          <w14:textFill>
            <w14:solidFill>
              <w14:schemeClr w14:val="tx1"/>
            </w14:solidFill>
          </w14:textFill>
        </w:rPr>
        <w:t>照法律规定及合同约定组织完成工程施工，确保工程质量和安全，不进行转包及违法分包，并在缺陷责任期及质量保修期内承担相应的工程维修责</w:t>
      </w:r>
      <w:r>
        <w:rPr>
          <w:rFonts w:hint="eastAsia" w:ascii="宋体" w:hAnsi="宋体" w:eastAsia="宋体" w:cs="宋体"/>
          <w:color w:val="000000" w:themeColor="text1"/>
          <w:sz w:val="24"/>
          <w:szCs w:val="24"/>
          <w14:textFill>
            <w14:solidFill>
              <w14:schemeClr w14:val="tx1"/>
            </w14:solidFill>
          </w14:textFill>
        </w:rPr>
        <w:t xml:space="preserve">任。    </w:t>
      </w:r>
      <w:bookmarkStart w:id="31" w:name="_Toc351203489"/>
    </w:p>
    <w:p w14:paraId="406B77F1">
      <w:pPr>
        <w:keepNext/>
        <w:keepLines/>
        <w:pageBreakBefore w:val="0"/>
        <w:kinsoku/>
        <w:wordWrap/>
        <w:overflowPunct/>
        <w:topLinePunct w:val="0"/>
        <w:autoSpaceDE/>
        <w:autoSpaceDN/>
        <w:bidi w:val="0"/>
        <w:adjustRightInd w:val="0"/>
        <w:snapToGrid w:val="0"/>
        <w:spacing w:before="40" w:after="40" w:line="360" w:lineRule="auto"/>
        <w:jc w:val="left"/>
        <w:textAlignment w:val="auto"/>
        <w:outlineLvl w:val="3"/>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十八、签订时间</w:t>
      </w:r>
      <w:bookmarkEnd w:id="31"/>
      <w:r>
        <w:rPr>
          <w:rFonts w:hint="eastAsia" w:ascii="宋体" w:hAnsi="宋体" w:eastAsia="宋体" w:cs="宋体"/>
          <w:b/>
          <w:bCs/>
          <w:color w:val="000000" w:themeColor="text1"/>
          <w:sz w:val="24"/>
          <w:szCs w:val="24"/>
          <w14:textFill>
            <w14:solidFill>
              <w14:schemeClr w14:val="tx1"/>
            </w14:solidFill>
          </w14:textFill>
        </w:rPr>
        <w:t>及地点</w:t>
      </w:r>
    </w:p>
    <w:p w14:paraId="575A6838">
      <w:pPr>
        <w:pageBreakBefore w:val="0"/>
        <w:widowControl/>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本合同于</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年</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月</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xml:space="preserve">日签订。  </w:t>
      </w:r>
      <w:bookmarkStart w:id="32" w:name="_Toc351203490"/>
    </w:p>
    <w:bookmarkEnd w:id="32"/>
    <w:p w14:paraId="1A8A65E9">
      <w:pPr>
        <w:pageBreakBefore w:val="0"/>
        <w:widowControl/>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本合同签订地点：在</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xml:space="preserve">签订。  </w:t>
      </w:r>
      <w:bookmarkStart w:id="33" w:name="_Toc351203492"/>
    </w:p>
    <w:p w14:paraId="205A062A">
      <w:pPr>
        <w:keepNext/>
        <w:keepLines/>
        <w:pageBreakBefore w:val="0"/>
        <w:kinsoku/>
        <w:wordWrap/>
        <w:overflowPunct/>
        <w:topLinePunct w:val="0"/>
        <w:autoSpaceDE/>
        <w:autoSpaceDN/>
        <w:bidi w:val="0"/>
        <w:adjustRightInd w:val="0"/>
        <w:snapToGrid w:val="0"/>
        <w:spacing w:before="40" w:after="40" w:line="360" w:lineRule="auto"/>
        <w:jc w:val="left"/>
        <w:textAlignment w:val="auto"/>
        <w:outlineLvl w:val="3"/>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十九、</w:t>
      </w:r>
      <w:bookmarkEnd w:id="33"/>
      <w:r>
        <w:rPr>
          <w:rFonts w:hint="eastAsia" w:ascii="宋体" w:hAnsi="宋体" w:eastAsia="宋体" w:cs="宋体"/>
          <w:b/>
          <w:bCs/>
          <w:color w:val="000000" w:themeColor="text1"/>
          <w:sz w:val="24"/>
          <w:szCs w:val="24"/>
          <w14:textFill>
            <w14:solidFill>
              <w14:schemeClr w14:val="tx1"/>
            </w14:solidFill>
          </w14:textFill>
        </w:rPr>
        <w:t>附则</w:t>
      </w:r>
    </w:p>
    <w:p w14:paraId="737DD541">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本合同一式捌份，甲乙双方各执肆份，本合同双方签字盖章后生效。</w:t>
      </w:r>
    </w:p>
    <w:p w14:paraId="7CF3C3E8">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本合同中的通讯地址为双方互发函件确认能够接收的地址，若有变更应在变更后3个工作日内书面通知对方，否则对方按此地址送达的任何文件在发出3日后即视为送达。以电子邮件、微信、信息等形式发送的，一经发出即视为送达。已经若发生纠纷的，该地址作为法院或仲裁机构寄发相应法律文件的送达地址，因一方预留地址有误或变更通讯地址而未通知对方的，对方、法院或仲裁机构按原地址发出通知或文件3日后，视为已送达。</w:t>
      </w:r>
    </w:p>
    <w:p w14:paraId="4E130999">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bCs/>
          <w:color w:val="000000" w:themeColor="text1"/>
          <w:kern w:val="2"/>
          <w:sz w:val="24"/>
          <w:szCs w:val="24"/>
          <w14:textFill>
            <w14:solidFill>
              <w14:schemeClr w14:val="tx1"/>
            </w14:solidFill>
          </w14:textFill>
        </w:rPr>
      </w:pPr>
      <w:r>
        <w:rPr>
          <w:rFonts w:hint="eastAsia" w:ascii="宋体" w:hAnsi="宋体" w:eastAsia="宋体" w:cs="宋体"/>
          <w:bCs/>
          <w:color w:val="000000" w:themeColor="text1"/>
          <w:kern w:val="2"/>
          <w:sz w:val="24"/>
          <w:szCs w:val="24"/>
          <w14:textFill>
            <w14:solidFill>
              <w14:schemeClr w14:val="tx1"/>
            </w14:solidFill>
          </w14:textFill>
        </w:rPr>
        <w:t>本合同所有条款均为打印文本，对任何手写修改，应在修改处盖章后生效。本合同所有附件，均为本合同不可分割的组成部分，与本合同具有同等的法律效力。本合同履行过程中所有有关甲方确认意思表示、甲方义务增加部分，均需甲方盖章确认生效。否则所产生的一切不利后果及费用增加均由乙方自行承担。</w:t>
      </w:r>
    </w:p>
    <w:p w14:paraId="0795422B">
      <w:pPr>
        <w:pageBreakBefore w:val="0"/>
        <w:kinsoku/>
        <w:wordWrap/>
        <w:overflowPunct/>
        <w:topLinePunct w:val="0"/>
        <w:autoSpaceDE/>
        <w:autoSpaceDN/>
        <w:bidi w:val="0"/>
        <w:adjustRightInd/>
        <w:snapToGrid/>
        <w:spacing w:before="40" w:after="40" w:line="360" w:lineRule="auto"/>
        <w:ind w:firstLine="0" w:firstLineChars="0"/>
        <w:jc w:val="both"/>
        <w:textAlignment w:val="auto"/>
        <w:rPr>
          <w:rFonts w:hint="eastAsia" w:ascii="宋体" w:hAnsi="宋体" w:eastAsia="宋体" w:cs="宋体"/>
          <w:color w:val="auto"/>
          <w:sz w:val="24"/>
          <w:szCs w:val="24"/>
        </w:rPr>
      </w:pPr>
    </w:p>
    <w:p w14:paraId="7C588398">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u w:val="single"/>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发包人：  (公章)                     承包人：  (公章)                            </w:t>
      </w:r>
    </w:p>
    <w:p w14:paraId="2B1B7F3D">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法定代表人或                         法定代表人或</w:t>
      </w:r>
    </w:p>
    <w:p w14:paraId="517FF35C">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其委托代理人：（签字）               其委托代理人：（签字） </w:t>
      </w:r>
    </w:p>
    <w:p w14:paraId="157D2EC1">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u w:val="single"/>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组织机构代码：</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xml:space="preserve">         组织机构代码：</w:t>
      </w:r>
      <w:r>
        <w:rPr>
          <w:rFonts w:hint="eastAsia" w:ascii="宋体" w:hAnsi="宋体" w:eastAsia="宋体" w:cs="宋体"/>
          <w:color w:val="000000" w:themeColor="text1"/>
          <w:sz w:val="24"/>
          <w:szCs w:val="24"/>
          <w:u w:val="single"/>
          <w14:textFill>
            <w14:solidFill>
              <w14:schemeClr w14:val="tx1"/>
            </w14:solidFill>
          </w14:textFill>
        </w:rPr>
        <w:t xml:space="preserve">                </w:t>
      </w:r>
    </w:p>
    <w:p w14:paraId="4885D07E">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u w:val="single"/>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地址：</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xml:space="preserve">         地址：</w:t>
      </w:r>
      <w:r>
        <w:rPr>
          <w:rFonts w:hint="eastAsia" w:ascii="宋体" w:hAnsi="宋体" w:eastAsia="宋体" w:cs="宋体"/>
          <w:color w:val="000000" w:themeColor="text1"/>
          <w:sz w:val="24"/>
          <w:szCs w:val="24"/>
          <w:u w:val="single"/>
          <w14:textFill>
            <w14:solidFill>
              <w14:schemeClr w14:val="tx1"/>
            </w14:solidFill>
          </w14:textFill>
        </w:rPr>
        <w:t xml:space="preserve">                           </w:t>
      </w:r>
    </w:p>
    <w:p w14:paraId="7F775E76">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u w:val="single"/>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法定代表人：</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xml:space="preserve">         法定代表人：</w:t>
      </w:r>
      <w:r>
        <w:rPr>
          <w:rFonts w:hint="eastAsia" w:ascii="宋体" w:hAnsi="宋体" w:eastAsia="宋体" w:cs="宋体"/>
          <w:color w:val="000000" w:themeColor="text1"/>
          <w:sz w:val="24"/>
          <w:szCs w:val="24"/>
          <w:u w:val="single"/>
          <w14:textFill>
            <w14:solidFill>
              <w14:schemeClr w14:val="tx1"/>
            </w14:solidFill>
          </w14:textFill>
        </w:rPr>
        <w:t xml:space="preserve">                     </w:t>
      </w:r>
    </w:p>
    <w:p w14:paraId="2B580568">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u w:val="single"/>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委托代理人：</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xml:space="preserve">         委托代理人：</w:t>
      </w:r>
      <w:r>
        <w:rPr>
          <w:rFonts w:hint="eastAsia" w:ascii="宋体" w:hAnsi="宋体" w:eastAsia="宋体" w:cs="宋体"/>
          <w:color w:val="000000" w:themeColor="text1"/>
          <w:sz w:val="24"/>
          <w:szCs w:val="24"/>
          <w:u w:val="single"/>
          <w14:textFill>
            <w14:solidFill>
              <w14:schemeClr w14:val="tx1"/>
            </w14:solidFill>
          </w14:textFill>
        </w:rPr>
        <w:t xml:space="preserve">                     </w:t>
      </w:r>
    </w:p>
    <w:p w14:paraId="746E5BBD">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u w:val="single"/>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电话：</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xml:space="preserve">         电话：</w:t>
      </w:r>
      <w:r>
        <w:rPr>
          <w:rFonts w:hint="eastAsia" w:ascii="宋体" w:hAnsi="宋体" w:eastAsia="宋体" w:cs="宋体"/>
          <w:color w:val="000000" w:themeColor="text1"/>
          <w:sz w:val="24"/>
          <w:szCs w:val="24"/>
          <w:u w:val="single"/>
          <w14:textFill>
            <w14:solidFill>
              <w14:schemeClr w14:val="tx1"/>
            </w14:solidFill>
          </w14:textFill>
        </w:rPr>
        <w:t xml:space="preserve">                         </w:t>
      </w:r>
    </w:p>
    <w:p w14:paraId="78548974">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开户银行：</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xml:space="preserve">         开户银行：</w:t>
      </w:r>
      <w:r>
        <w:rPr>
          <w:rFonts w:hint="eastAsia" w:ascii="宋体" w:hAnsi="宋体" w:eastAsia="宋体" w:cs="宋体"/>
          <w:color w:val="000000" w:themeColor="text1"/>
          <w:sz w:val="24"/>
          <w:szCs w:val="24"/>
          <w:u w:val="single"/>
          <w14:textFill>
            <w14:solidFill>
              <w14:schemeClr w14:val="tx1"/>
            </w14:solidFill>
          </w14:textFill>
        </w:rPr>
        <w:t xml:space="preserve">                     </w:t>
      </w:r>
    </w:p>
    <w:p w14:paraId="40B5E114">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帐号：</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xml:space="preserve">         帐号：</w:t>
      </w:r>
      <w:r>
        <w:rPr>
          <w:rFonts w:hint="eastAsia" w:ascii="宋体" w:hAnsi="宋体" w:eastAsia="宋体" w:cs="宋体"/>
          <w:color w:val="000000" w:themeColor="text1"/>
          <w:sz w:val="24"/>
          <w:szCs w:val="24"/>
          <w:u w:val="single"/>
          <w14:textFill>
            <w14:solidFill>
              <w14:schemeClr w14:val="tx1"/>
            </w14:solidFill>
          </w14:textFill>
        </w:rPr>
        <w:t xml:space="preserve">                     </w:t>
      </w:r>
    </w:p>
    <w:p w14:paraId="41E6A402">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附件1：材料、设备品牌清单</w:t>
      </w:r>
    </w:p>
    <w:p w14:paraId="131CAE60">
      <w:pPr>
        <w:pageBreakBefore w:val="0"/>
        <w:kinsoku/>
        <w:wordWrap/>
        <w:overflowPunct/>
        <w:topLinePunct w:val="0"/>
        <w:autoSpaceDE/>
        <w:autoSpaceDN/>
        <w:bidi w:val="0"/>
        <w:adjustRightInd w:val="0"/>
        <w:snapToGrid w:val="0"/>
        <w:spacing w:before="40" w:after="40"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附件2：工程质量保修书</w:t>
      </w:r>
    </w:p>
    <w:p w14:paraId="305C892D">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p w14:paraId="6CB9242C">
      <w:pPr>
        <w:adjustRightInd w:val="0"/>
        <w:snapToGrid w:val="0"/>
        <w:spacing w:line="360" w:lineRule="auto"/>
        <w:jc w:val="left"/>
        <w:rPr>
          <w:rFonts w:ascii="宋体" w:hAnsi="宋体" w:cs="宋体"/>
          <w:b/>
          <w:color w:val="000000" w:themeColor="text1"/>
          <w:sz w:val="24"/>
          <w:szCs w:val="24"/>
          <w14:textFill>
            <w14:solidFill>
              <w14:schemeClr w14:val="tx1"/>
            </w14:solidFill>
          </w14:textFill>
        </w:rPr>
      </w:pPr>
    </w:p>
    <w:p w14:paraId="46187A47">
      <w:pPr>
        <w:adjustRightInd w:val="0"/>
        <w:snapToGrid w:val="0"/>
        <w:spacing w:line="360" w:lineRule="auto"/>
        <w:jc w:val="left"/>
        <w:rPr>
          <w:rFonts w:ascii="宋体" w:hAnsi="宋体" w:cs="宋体"/>
          <w:b/>
          <w:color w:val="000000" w:themeColor="text1"/>
          <w:sz w:val="24"/>
          <w:szCs w:val="24"/>
          <w14:textFill>
            <w14:solidFill>
              <w14:schemeClr w14:val="tx1"/>
            </w14:solidFill>
          </w14:textFill>
        </w:rPr>
      </w:pPr>
    </w:p>
    <w:p w14:paraId="331EAF8B">
      <w:pPr>
        <w:adjustRightInd w:val="0"/>
        <w:snapToGrid w:val="0"/>
        <w:spacing w:line="360" w:lineRule="auto"/>
        <w:jc w:val="left"/>
        <w:rPr>
          <w:rFonts w:ascii="宋体" w:hAnsi="宋体" w:cs="宋体"/>
          <w:b/>
          <w:color w:val="000000" w:themeColor="text1"/>
          <w:sz w:val="24"/>
          <w:szCs w:val="24"/>
          <w14:textFill>
            <w14:solidFill>
              <w14:schemeClr w14:val="tx1"/>
            </w14:solidFill>
          </w14:textFill>
        </w:rPr>
        <w:sectPr>
          <w:footerReference r:id="rId5" w:type="default"/>
          <w:pgSz w:w="11906" w:h="16838"/>
          <w:pgMar w:top="1440" w:right="1800" w:bottom="1440" w:left="1800" w:header="1185" w:footer="1191" w:gutter="0"/>
          <w:cols w:space="720" w:num="1"/>
          <w:docGrid w:type="lines" w:linePitch="312" w:charSpace="0"/>
        </w:sectPr>
      </w:pPr>
    </w:p>
    <w:p w14:paraId="351442DD">
      <w:pPr>
        <w:adjustRightInd w:val="0"/>
        <w:snapToGrid w:val="0"/>
        <w:spacing w:line="360" w:lineRule="auto"/>
        <w:jc w:val="left"/>
        <w:rPr>
          <w:rFonts w:ascii="宋体" w:hAnsi="宋体" w:cs="宋体"/>
          <w:b/>
          <w:color w:val="000000" w:themeColor="text1"/>
          <w:sz w:val="24"/>
          <w:szCs w:val="24"/>
          <w14:textFill>
            <w14:solidFill>
              <w14:schemeClr w14:val="tx1"/>
            </w14:solidFill>
          </w14:textFill>
        </w:rPr>
      </w:pPr>
      <w:r>
        <w:rPr>
          <w:rFonts w:hint="eastAsia" w:ascii="宋体" w:hAnsi="宋体" w:cs="宋体"/>
          <w:b/>
          <w:color w:val="000000" w:themeColor="text1"/>
          <w:sz w:val="24"/>
          <w:szCs w:val="24"/>
          <w14:textFill>
            <w14:solidFill>
              <w14:schemeClr w14:val="tx1"/>
            </w14:solidFill>
          </w14:textFill>
        </w:rPr>
        <w:t>附件</w:t>
      </w:r>
      <w:r>
        <w:rPr>
          <w:rFonts w:ascii="宋体" w:hAnsi="宋体" w:cs="宋体"/>
          <w:b/>
          <w:color w:val="000000" w:themeColor="text1"/>
          <w:sz w:val="24"/>
          <w:szCs w:val="24"/>
          <w14:textFill>
            <w14:solidFill>
              <w14:schemeClr w14:val="tx1"/>
            </w14:solidFill>
          </w14:textFill>
        </w:rPr>
        <w:t>1</w:t>
      </w:r>
      <w:r>
        <w:rPr>
          <w:rFonts w:hint="eastAsia" w:ascii="宋体" w:hAnsi="宋体" w:cs="宋体"/>
          <w:b/>
          <w:color w:val="000000" w:themeColor="text1"/>
          <w:sz w:val="24"/>
          <w:szCs w:val="24"/>
          <w14:textFill>
            <w14:solidFill>
              <w14:schemeClr w14:val="tx1"/>
            </w14:solidFill>
          </w14:textFill>
        </w:rPr>
        <w:t>：</w:t>
      </w:r>
    </w:p>
    <w:tbl>
      <w:tblPr>
        <w:tblStyle w:val="7"/>
        <w:tblW w:w="9232" w:type="dxa"/>
        <w:jc w:val="right"/>
        <w:tblLayout w:type="fixed"/>
        <w:tblCellMar>
          <w:top w:w="0" w:type="dxa"/>
          <w:left w:w="108" w:type="dxa"/>
          <w:bottom w:w="0" w:type="dxa"/>
          <w:right w:w="108" w:type="dxa"/>
        </w:tblCellMar>
      </w:tblPr>
      <w:tblGrid>
        <w:gridCol w:w="852"/>
        <w:gridCol w:w="1962"/>
        <w:gridCol w:w="2436"/>
        <w:gridCol w:w="1782"/>
        <w:gridCol w:w="2200"/>
      </w:tblGrid>
      <w:tr w14:paraId="68512D40">
        <w:tblPrEx>
          <w:tblCellMar>
            <w:top w:w="0" w:type="dxa"/>
            <w:left w:w="108" w:type="dxa"/>
            <w:bottom w:w="0" w:type="dxa"/>
            <w:right w:w="108" w:type="dxa"/>
          </w:tblCellMar>
        </w:tblPrEx>
        <w:trPr>
          <w:trHeight w:val="585" w:hRule="atLeast"/>
          <w:jc w:val="right"/>
        </w:trPr>
        <w:tc>
          <w:tcPr>
            <w:tcW w:w="9232" w:type="dxa"/>
            <w:gridSpan w:val="5"/>
            <w:tcBorders>
              <w:top w:val="nil"/>
              <w:left w:val="nil"/>
              <w:bottom w:val="single" w:color="auto" w:sz="4" w:space="0"/>
              <w:right w:val="nil"/>
            </w:tcBorders>
            <w:vAlign w:val="center"/>
          </w:tcPr>
          <w:p w14:paraId="7149A661">
            <w:pPr>
              <w:adjustRightInd w:val="0"/>
              <w:snapToGrid w:val="0"/>
              <w:spacing w:line="360" w:lineRule="auto"/>
              <w:ind w:firstLine="562" w:firstLineChars="200"/>
              <w:jc w:val="center"/>
              <w:rPr>
                <w:rFonts w:ascii="宋体" w:hAnsi="宋体" w:cs="宋体"/>
                <w:b/>
                <w:bCs/>
                <w:color w:val="000000" w:themeColor="text1"/>
                <w:sz w:val="24"/>
                <w:szCs w:val="24"/>
                <w14:textFill>
                  <w14:solidFill>
                    <w14:schemeClr w14:val="tx1"/>
                  </w14:solidFill>
                </w14:textFill>
              </w:rPr>
            </w:pPr>
            <w:r>
              <w:rPr>
                <w:rFonts w:hint="eastAsia" w:ascii="宋体" w:hAnsi="宋体" w:cs="宋体"/>
                <w:b/>
                <w:color w:val="000000" w:themeColor="text1"/>
                <w:sz w:val="28"/>
                <w:szCs w:val="28"/>
                <w14:textFill>
                  <w14:solidFill>
                    <w14:schemeClr w14:val="tx1"/>
                  </w14:solidFill>
                </w14:textFill>
              </w:rPr>
              <w:t>主要材料、设备品牌清单</w:t>
            </w:r>
          </w:p>
        </w:tc>
      </w:tr>
      <w:tr w14:paraId="2D5ED962">
        <w:tblPrEx>
          <w:tblCellMar>
            <w:top w:w="0" w:type="dxa"/>
            <w:left w:w="108" w:type="dxa"/>
            <w:bottom w:w="0" w:type="dxa"/>
            <w:right w:w="108" w:type="dxa"/>
          </w:tblCellMar>
        </w:tblPrEx>
        <w:trPr>
          <w:trHeight w:val="585" w:hRule="atLeast"/>
          <w:jc w:val="right"/>
        </w:trPr>
        <w:tc>
          <w:tcPr>
            <w:tcW w:w="852" w:type="dxa"/>
            <w:tcBorders>
              <w:top w:val="nil"/>
              <w:left w:val="single" w:color="auto" w:sz="4" w:space="0"/>
              <w:bottom w:val="single" w:color="auto" w:sz="4" w:space="0"/>
              <w:right w:val="single" w:color="auto" w:sz="4" w:space="0"/>
            </w:tcBorders>
            <w:vAlign w:val="center"/>
          </w:tcPr>
          <w:p w14:paraId="38C68106">
            <w:pPr>
              <w:adjustRightInd w:val="0"/>
              <w:snapToGrid w:val="0"/>
              <w:spacing w:line="360" w:lineRule="auto"/>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序号</w:t>
            </w:r>
          </w:p>
        </w:tc>
        <w:tc>
          <w:tcPr>
            <w:tcW w:w="1962" w:type="dxa"/>
            <w:tcBorders>
              <w:top w:val="nil"/>
              <w:left w:val="nil"/>
              <w:bottom w:val="single" w:color="auto" w:sz="4" w:space="0"/>
              <w:right w:val="single" w:color="auto" w:sz="4" w:space="0"/>
            </w:tcBorders>
            <w:vAlign w:val="center"/>
          </w:tcPr>
          <w:p w14:paraId="359074A7">
            <w:pPr>
              <w:adjustRightInd w:val="0"/>
              <w:snapToGrid w:val="0"/>
              <w:spacing w:line="360" w:lineRule="auto"/>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材料设备名称</w:t>
            </w:r>
          </w:p>
        </w:tc>
        <w:tc>
          <w:tcPr>
            <w:tcW w:w="2436" w:type="dxa"/>
            <w:tcBorders>
              <w:top w:val="nil"/>
              <w:left w:val="nil"/>
              <w:bottom w:val="single" w:color="auto" w:sz="4" w:space="0"/>
              <w:right w:val="single" w:color="auto" w:sz="4" w:space="0"/>
            </w:tcBorders>
            <w:vAlign w:val="center"/>
          </w:tcPr>
          <w:p w14:paraId="2C55ACFB">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规格型号</w:t>
            </w:r>
          </w:p>
        </w:tc>
        <w:tc>
          <w:tcPr>
            <w:tcW w:w="1782" w:type="dxa"/>
            <w:tcBorders>
              <w:top w:val="nil"/>
              <w:left w:val="nil"/>
              <w:bottom w:val="single" w:color="auto" w:sz="4" w:space="0"/>
              <w:right w:val="single" w:color="auto" w:sz="4" w:space="0"/>
            </w:tcBorders>
            <w:vAlign w:val="center"/>
          </w:tcPr>
          <w:p w14:paraId="360CE86C">
            <w:pPr>
              <w:adjustRightInd w:val="0"/>
              <w:snapToGrid w:val="0"/>
              <w:spacing w:line="360" w:lineRule="auto"/>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厂家/品牌名称</w:t>
            </w:r>
          </w:p>
        </w:tc>
        <w:tc>
          <w:tcPr>
            <w:tcW w:w="2200" w:type="dxa"/>
            <w:tcBorders>
              <w:top w:val="nil"/>
              <w:left w:val="nil"/>
              <w:bottom w:val="single" w:color="auto" w:sz="4" w:space="0"/>
              <w:right w:val="single" w:color="auto" w:sz="4" w:space="0"/>
            </w:tcBorders>
            <w:vAlign w:val="center"/>
          </w:tcPr>
          <w:p w14:paraId="2C9F51C9">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备注</w:t>
            </w:r>
          </w:p>
        </w:tc>
      </w:tr>
      <w:tr w14:paraId="6681D47D">
        <w:tblPrEx>
          <w:tblCellMar>
            <w:top w:w="0" w:type="dxa"/>
            <w:left w:w="108" w:type="dxa"/>
            <w:bottom w:w="0" w:type="dxa"/>
            <w:right w:w="108" w:type="dxa"/>
          </w:tblCellMar>
        </w:tblPrEx>
        <w:trPr>
          <w:trHeight w:val="585" w:hRule="atLeast"/>
          <w:jc w:val="right"/>
        </w:trPr>
        <w:tc>
          <w:tcPr>
            <w:tcW w:w="852" w:type="dxa"/>
            <w:tcBorders>
              <w:top w:val="nil"/>
              <w:left w:val="single" w:color="auto" w:sz="4" w:space="0"/>
              <w:bottom w:val="single" w:color="auto" w:sz="4" w:space="0"/>
              <w:right w:val="single" w:color="auto" w:sz="4" w:space="0"/>
            </w:tcBorders>
            <w:vAlign w:val="center"/>
          </w:tcPr>
          <w:p w14:paraId="2FFA9F85">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1962" w:type="dxa"/>
            <w:tcBorders>
              <w:top w:val="nil"/>
              <w:left w:val="nil"/>
              <w:bottom w:val="single" w:color="auto" w:sz="4" w:space="0"/>
              <w:right w:val="single" w:color="auto" w:sz="4" w:space="0"/>
            </w:tcBorders>
            <w:vAlign w:val="center"/>
          </w:tcPr>
          <w:p w14:paraId="718FA1C7">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2436" w:type="dxa"/>
            <w:tcBorders>
              <w:top w:val="nil"/>
              <w:left w:val="nil"/>
              <w:bottom w:val="single" w:color="auto" w:sz="4" w:space="0"/>
              <w:right w:val="single" w:color="auto" w:sz="4" w:space="0"/>
            </w:tcBorders>
            <w:vAlign w:val="center"/>
          </w:tcPr>
          <w:p w14:paraId="5F31DBFE">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1782" w:type="dxa"/>
            <w:tcBorders>
              <w:top w:val="nil"/>
              <w:left w:val="nil"/>
              <w:bottom w:val="single" w:color="auto" w:sz="4" w:space="0"/>
              <w:right w:val="single" w:color="auto" w:sz="4" w:space="0"/>
            </w:tcBorders>
            <w:vAlign w:val="center"/>
          </w:tcPr>
          <w:p w14:paraId="79841148">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2200" w:type="dxa"/>
            <w:tcBorders>
              <w:top w:val="nil"/>
              <w:left w:val="nil"/>
              <w:bottom w:val="single" w:color="auto" w:sz="4" w:space="0"/>
              <w:right w:val="single" w:color="auto" w:sz="4" w:space="0"/>
            </w:tcBorders>
            <w:vAlign w:val="center"/>
          </w:tcPr>
          <w:p w14:paraId="16DB9766">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r>
      <w:tr w14:paraId="06E4DFF3">
        <w:tblPrEx>
          <w:tblCellMar>
            <w:top w:w="0" w:type="dxa"/>
            <w:left w:w="108" w:type="dxa"/>
            <w:bottom w:w="0" w:type="dxa"/>
            <w:right w:w="108" w:type="dxa"/>
          </w:tblCellMar>
        </w:tblPrEx>
        <w:trPr>
          <w:trHeight w:val="585" w:hRule="atLeast"/>
          <w:jc w:val="right"/>
        </w:trPr>
        <w:tc>
          <w:tcPr>
            <w:tcW w:w="852" w:type="dxa"/>
            <w:tcBorders>
              <w:top w:val="nil"/>
              <w:left w:val="single" w:color="auto" w:sz="4" w:space="0"/>
              <w:bottom w:val="single" w:color="auto" w:sz="4" w:space="0"/>
              <w:right w:val="single" w:color="auto" w:sz="4" w:space="0"/>
            </w:tcBorders>
            <w:vAlign w:val="center"/>
          </w:tcPr>
          <w:p w14:paraId="0E8D98DA">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1962" w:type="dxa"/>
            <w:tcBorders>
              <w:top w:val="nil"/>
              <w:left w:val="nil"/>
              <w:bottom w:val="single" w:color="auto" w:sz="4" w:space="0"/>
              <w:right w:val="single" w:color="auto" w:sz="4" w:space="0"/>
            </w:tcBorders>
            <w:vAlign w:val="center"/>
          </w:tcPr>
          <w:p w14:paraId="54D0F4F7">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2436" w:type="dxa"/>
            <w:tcBorders>
              <w:top w:val="nil"/>
              <w:left w:val="nil"/>
              <w:bottom w:val="single" w:color="auto" w:sz="4" w:space="0"/>
              <w:right w:val="single" w:color="auto" w:sz="4" w:space="0"/>
            </w:tcBorders>
            <w:vAlign w:val="center"/>
          </w:tcPr>
          <w:p w14:paraId="051CB213">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1782" w:type="dxa"/>
            <w:tcBorders>
              <w:top w:val="nil"/>
              <w:left w:val="nil"/>
              <w:bottom w:val="single" w:color="auto" w:sz="4" w:space="0"/>
              <w:right w:val="single" w:color="auto" w:sz="4" w:space="0"/>
            </w:tcBorders>
            <w:vAlign w:val="center"/>
          </w:tcPr>
          <w:p w14:paraId="0169EA9E">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2200" w:type="dxa"/>
            <w:tcBorders>
              <w:top w:val="nil"/>
              <w:left w:val="nil"/>
              <w:bottom w:val="single" w:color="auto" w:sz="4" w:space="0"/>
              <w:right w:val="single" w:color="auto" w:sz="4" w:space="0"/>
            </w:tcBorders>
            <w:vAlign w:val="center"/>
          </w:tcPr>
          <w:p w14:paraId="0514BCA8">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r>
      <w:tr w14:paraId="5B5EC32B">
        <w:tblPrEx>
          <w:tblCellMar>
            <w:top w:w="0" w:type="dxa"/>
            <w:left w:w="108" w:type="dxa"/>
            <w:bottom w:w="0" w:type="dxa"/>
            <w:right w:w="108" w:type="dxa"/>
          </w:tblCellMar>
        </w:tblPrEx>
        <w:trPr>
          <w:trHeight w:val="585" w:hRule="atLeast"/>
          <w:jc w:val="right"/>
        </w:trPr>
        <w:tc>
          <w:tcPr>
            <w:tcW w:w="852" w:type="dxa"/>
            <w:tcBorders>
              <w:top w:val="nil"/>
              <w:left w:val="single" w:color="auto" w:sz="4" w:space="0"/>
              <w:bottom w:val="single" w:color="auto" w:sz="4" w:space="0"/>
              <w:right w:val="single" w:color="auto" w:sz="4" w:space="0"/>
            </w:tcBorders>
            <w:vAlign w:val="center"/>
          </w:tcPr>
          <w:p w14:paraId="11152A7C">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1962" w:type="dxa"/>
            <w:tcBorders>
              <w:top w:val="nil"/>
              <w:left w:val="nil"/>
              <w:bottom w:val="single" w:color="auto" w:sz="4" w:space="0"/>
              <w:right w:val="single" w:color="auto" w:sz="4" w:space="0"/>
            </w:tcBorders>
            <w:vAlign w:val="center"/>
          </w:tcPr>
          <w:p w14:paraId="3B8A26A6">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2436" w:type="dxa"/>
            <w:tcBorders>
              <w:top w:val="nil"/>
              <w:left w:val="nil"/>
              <w:bottom w:val="single" w:color="auto" w:sz="4" w:space="0"/>
              <w:right w:val="single" w:color="auto" w:sz="4" w:space="0"/>
            </w:tcBorders>
            <w:vAlign w:val="center"/>
          </w:tcPr>
          <w:p w14:paraId="7E8577EB">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1782" w:type="dxa"/>
            <w:tcBorders>
              <w:top w:val="nil"/>
              <w:left w:val="nil"/>
              <w:bottom w:val="single" w:color="auto" w:sz="4" w:space="0"/>
              <w:right w:val="single" w:color="auto" w:sz="4" w:space="0"/>
            </w:tcBorders>
            <w:vAlign w:val="center"/>
          </w:tcPr>
          <w:p w14:paraId="41B0A2FD">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2200" w:type="dxa"/>
            <w:tcBorders>
              <w:top w:val="nil"/>
              <w:left w:val="nil"/>
              <w:bottom w:val="single" w:color="auto" w:sz="4" w:space="0"/>
              <w:right w:val="single" w:color="auto" w:sz="4" w:space="0"/>
            </w:tcBorders>
            <w:vAlign w:val="center"/>
          </w:tcPr>
          <w:p w14:paraId="563C5528">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r>
      <w:tr w14:paraId="20C65AF6">
        <w:tblPrEx>
          <w:tblCellMar>
            <w:top w:w="0" w:type="dxa"/>
            <w:left w:w="108" w:type="dxa"/>
            <w:bottom w:w="0" w:type="dxa"/>
            <w:right w:w="108" w:type="dxa"/>
          </w:tblCellMar>
        </w:tblPrEx>
        <w:trPr>
          <w:trHeight w:val="585" w:hRule="atLeast"/>
          <w:jc w:val="right"/>
        </w:trPr>
        <w:tc>
          <w:tcPr>
            <w:tcW w:w="852" w:type="dxa"/>
            <w:tcBorders>
              <w:top w:val="nil"/>
              <w:left w:val="single" w:color="auto" w:sz="4" w:space="0"/>
              <w:bottom w:val="single" w:color="auto" w:sz="4" w:space="0"/>
              <w:right w:val="single" w:color="auto" w:sz="4" w:space="0"/>
            </w:tcBorders>
            <w:vAlign w:val="center"/>
          </w:tcPr>
          <w:p w14:paraId="4FEE0E81">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1962" w:type="dxa"/>
            <w:tcBorders>
              <w:top w:val="nil"/>
              <w:left w:val="nil"/>
              <w:bottom w:val="single" w:color="auto" w:sz="4" w:space="0"/>
              <w:right w:val="single" w:color="auto" w:sz="4" w:space="0"/>
            </w:tcBorders>
            <w:vAlign w:val="center"/>
          </w:tcPr>
          <w:p w14:paraId="4BFA6A91">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2436" w:type="dxa"/>
            <w:tcBorders>
              <w:top w:val="nil"/>
              <w:left w:val="nil"/>
              <w:bottom w:val="single" w:color="auto" w:sz="4" w:space="0"/>
              <w:right w:val="single" w:color="auto" w:sz="4" w:space="0"/>
            </w:tcBorders>
            <w:vAlign w:val="center"/>
          </w:tcPr>
          <w:p w14:paraId="573C7205">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1782" w:type="dxa"/>
            <w:tcBorders>
              <w:top w:val="nil"/>
              <w:left w:val="nil"/>
              <w:bottom w:val="single" w:color="auto" w:sz="4" w:space="0"/>
              <w:right w:val="single" w:color="auto" w:sz="4" w:space="0"/>
            </w:tcBorders>
            <w:vAlign w:val="center"/>
          </w:tcPr>
          <w:p w14:paraId="62018539">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2200" w:type="dxa"/>
            <w:tcBorders>
              <w:top w:val="nil"/>
              <w:left w:val="nil"/>
              <w:bottom w:val="single" w:color="auto" w:sz="4" w:space="0"/>
              <w:right w:val="single" w:color="auto" w:sz="4" w:space="0"/>
            </w:tcBorders>
            <w:vAlign w:val="center"/>
          </w:tcPr>
          <w:p w14:paraId="2C65318A">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r>
      <w:tr w14:paraId="05A55DB0">
        <w:tblPrEx>
          <w:tblCellMar>
            <w:top w:w="0" w:type="dxa"/>
            <w:left w:w="108" w:type="dxa"/>
            <w:bottom w:w="0" w:type="dxa"/>
            <w:right w:w="108" w:type="dxa"/>
          </w:tblCellMar>
        </w:tblPrEx>
        <w:trPr>
          <w:trHeight w:val="585" w:hRule="atLeast"/>
          <w:jc w:val="right"/>
        </w:trPr>
        <w:tc>
          <w:tcPr>
            <w:tcW w:w="852" w:type="dxa"/>
            <w:tcBorders>
              <w:top w:val="nil"/>
              <w:left w:val="single" w:color="auto" w:sz="4" w:space="0"/>
              <w:bottom w:val="single" w:color="auto" w:sz="4" w:space="0"/>
              <w:right w:val="single" w:color="auto" w:sz="4" w:space="0"/>
            </w:tcBorders>
            <w:vAlign w:val="center"/>
          </w:tcPr>
          <w:p w14:paraId="2E95E6F5">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1962" w:type="dxa"/>
            <w:tcBorders>
              <w:top w:val="nil"/>
              <w:left w:val="nil"/>
              <w:bottom w:val="single" w:color="auto" w:sz="4" w:space="0"/>
              <w:right w:val="single" w:color="auto" w:sz="4" w:space="0"/>
            </w:tcBorders>
            <w:vAlign w:val="center"/>
          </w:tcPr>
          <w:p w14:paraId="54368A6C">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2436" w:type="dxa"/>
            <w:tcBorders>
              <w:top w:val="nil"/>
              <w:left w:val="nil"/>
              <w:bottom w:val="single" w:color="auto" w:sz="4" w:space="0"/>
              <w:right w:val="single" w:color="auto" w:sz="4" w:space="0"/>
            </w:tcBorders>
            <w:vAlign w:val="center"/>
          </w:tcPr>
          <w:p w14:paraId="5872E244">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1782" w:type="dxa"/>
            <w:tcBorders>
              <w:top w:val="nil"/>
              <w:left w:val="nil"/>
              <w:bottom w:val="single" w:color="auto" w:sz="4" w:space="0"/>
              <w:right w:val="single" w:color="auto" w:sz="4" w:space="0"/>
            </w:tcBorders>
            <w:vAlign w:val="center"/>
          </w:tcPr>
          <w:p w14:paraId="159371B6">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2200" w:type="dxa"/>
            <w:tcBorders>
              <w:top w:val="nil"/>
              <w:left w:val="nil"/>
              <w:bottom w:val="single" w:color="auto" w:sz="4" w:space="0"/>
              <w:right w:val="single" w:color="auto" w:sz="4" w:space="0"/>
            </w:tcBorders>
            <w:vAlign w:val="center"/>
          </w:tcPr>
          <w:p w14:paraId="212CBE69">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r>
      <w:tr w14:paraId="20A62F68">
        <w:tblPrEx>
          <w:tblCellMar>
            <w:top w:w="0" w:type="dxa"/>
            <w:left w:w="108" w:type="dxa"/>
            <w:bottom w:w="0" w:type="dxa"/>
            <w:right w:w="108" w:type="dxa"/>
          </w:tblCellMar>
        </w:tblPrEx>
        <w:trPr>
          <w:trHeight w:val="585" w:hRule="atLeast"/>
          <w:jc w:val="right"/>
        </w:trPr>
        <w:tc>
          <w:tcPr>
            <w:tcW w:w="852" w:type="dxa"/>
            <w:tcBorders>
              <w:top w:val="nil"/>
              <w:left w:val="single" w:color="auto" w:sz="4" w:space="0"/>
              <w:bottom w:val="single" w:color="auto" w:sz="4" w:space="0"/>
              <w:right w:val="single" w:color="auto" w:sz="4" w:space="0"/>
            </w:tcBorders>
            <w:vAlign w:val="center"/>
          </w:tcPr>
          <w:p w14:paraId="3D4BD1D3">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1962" w:type="dxa"/>
            <w:tcBorders>
              <w:top w:val="nil"/>
              <w:left w:val="nil"/>
              <w:bottom w:val="single" w:color="auto" w:sz="4" w:space="0"/>
              <w:right w:val="single" w:color="auto" w:sz="4" w:space="0"/>
            </w:tcBorders>
            <w:vAlign w:val="center"/>
          </w:tcPr>
          <w:p w14:paraId="57309CD9">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2436" w:type="dxa"/>
            <w:tcBorders>
              <w:top w:val="nil"/>
              <w:left w:val="nil"/>
              <w:bottom w:val="single" w:color="auto" w:sz="4" w:space="0"/>
              <w:right w:val="single" w:color="auto" w:sz="4" w:space="0"/>
            </w:tcBorders>
            <w:vAlign w:val="center"/>
          </w:tcPr>
          <w:p w14:paraId="6E7A2809">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1782" w:type="dxa"/>
            <w:tcBorders>
              <w:top w:val="nil"/>
              <w:left w:val="nil"/>
              <w:bottom w:val="single" w:color="auto" w:sz="4" w:space="0"/>
              <w:right w:val="single" w:color="auto" w:sz="4" w:space="0"/>
            </w:tcBorders>
            <w:vAlign w:val="center"/>
          </w:tcPr>
          <w:p w14:paraId="6CFBBDD5">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2200" w:type="dxa"/>
            <w:tcBorders>
              <w:top w:val="nil"/>
              <w:left w:val="nil"/>
              <w:bottom w:val="single" w:color="auto" w:sz="4" w:space="0"/>
              <w:right w:val="single" w:color="auto" w:sz="4" w:space="0"/>
            </w:tcBorders>
            <w:vAlign w:val="center"/>
          </w:tcPr>
          <w:p w14:paraId="52856C2C">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r>
      <w:tr w14:paraId="34DFCA3A">
        <w:tblPrEx>
          <w:tblCellMar>
            <w:top w:w="0" w:type="dxa"/>
            <w:left w:w="108" w:type="dxa"/>
            <w:bottom w:w="0" w:type="dxa"/>
            <w:right w:w="108" w:type="dxa"/>
          </w:tblCellMar>
        </w:tblPrEx>
        <w:trPr>
          <w:trHeight w:val="585" w:hRule="atLeast"/>
          <w:jc w:val="right"/>
        </w:trPr>
        <w:tc>
          <w:tcPr>
            <w:tcW w:w="852" w:type="dxa"/>
            <w:tcBorders>
              <w:top w:val="nil"/>
              <w:left w:val="single" w:color="auto" w:sz="4" w:space="0"/>
              <w:bottom w:val="single" w:color="auto" w:sz="4" w:space="0"/>
              <w:right w:val="single" w:color="auto" w:sz="4" w:space="0"/>
            </w:tcBorders>
            <w:vAlign w:val="center"/>
          </w:tcPr>
          <w:p w14:paraId="6C7F598D">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1962" w:type="dxa"/>
            <w:tcBorders>
              <w:top w:val="nil"/>
              <w:left w:val="nil"/>
              <w:bottom w:val="single" w:color="auto" w:sz="4" w:space="0"/>
              <w:right w:val="single" w:color="auto" w:sz="4" w:space="0"/>
            </w:tcBorders>
            <w:vAlign w:val="center"/>
          </w:tcPr>
          <w:p w14:paraId="2E785DD9">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2436" w:type="dxa"/>
            <w:tcBorders>
              <w:top w:val="nil"/>
              <w:left w:val="nil"/>
              <w:bottom w:val="single" w:color="auto" w:sz="4" w:space="0"/>
              <w:right w:val="single" w:color="auto" w:sz="4" w:space="0"/>
            </w:tcBorders>
            <w:vAlign w:val="center"/>
          </w:tcPr>
          <w:p w14:paraId="618DB301">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1782" w:type="dxa"/>
            <w:tcBorders>
              <w:top w:val="nil"/>
              <w:left w:val="nil"/>
              <w:bottom w:val="single" w:color="auto" w:sz="4" w:space="0"/>
              <w:right w:val="single" w:color="auto" w:sz="4" w:space="0"/>
            </w:tcBorders>
            <w:vAlign w:val="center"/>
          </w:tcPr>
          <w:p w14:paraId="0315DA1A">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2200" w:type="dxa"/>
            <w:tcBorders>
              <w:top w:val="nil"/>
              <w:left w:val="nil"/>
              <w:bottom w:val="single" w:color="auto" w:sz="4" w:space="0"/>
              <w:right w:val="single" w:color="auto" w:sz="4" w:space="0"/>
            </w:tcBorders>
            <w:vAlign w:val="center"/>
          </w:tcPr>
          <w:p w14:paraId="36AC6F4B">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r>
      <w:tr w14:paraId="722EC869">
        <w:tblPrEx>
          <w:tblCellMar>
            <w:top w:w="0" w:type="dxa"/>
            <w:left w:w="108" w:type="dxa"/>
            <w:bottom w:w="0" w:type="dxa"/>
            <w:right w:w="108" w:type="dxa"/>
          </w:tblCellMar>
        </w:tblPrEx>
        <w:trPr>
          <w:trHeight w:val="855" w:hRule="atLeast"/>
          <w:jc w:val="right"/>
        </w:trPr>
        <w:tc>
          <w:tcPr>
            <w:tcW w:w="852" w:type="dxa"/>
            <w:tcBorders>
              <w:top w:val="nil"/>
              <w:left w:val="single" w:color="auto" w:sz="4" w:space="0"/>
              <w:bottom w:val="single" w:color="auto" w:sz="4" w:space="0"/>
              <w:right w:val="single" w:color="auto" w:sz="4" w:space="0"/>
            </w:tcBorders>
            <w:vAlign w:val="center"/>
          </w:tcPr>
          <w:p w14:paraId="6AA3F389">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1962" w:type="dxa"/>
            <w:tcBorders>
              <w:top w:val="nil"/>
              <w:left w:val="nil"/>
              <w:bottom w:val="single" w:color="auto" w:sz="4" w:space="0"/>
              <w:right w:val="single" w:color="auto" w:sz="4" w:space="0"/>
            </w:tcBorders>
            <w:vAlign w:val="center"/>
          </w:tcPr>
          <w:p w14:paraId="57010BCF">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2436" w:type="dxa"/>
            <w:tcBorders>
              <w:top w:val="nil"/>
              <w:left w:val="nil"/>
              <w:bottom w:val="single" w:color="auto" w:sz="4" w:space="0"/>
              <w:right w:val="single" w:color="auto" w:sz="4" w:space="0"/>
            </w:tcBorders>
            <w:vAlign w:val="center"/>
          </w:tcPr>
          <w:p w14:paraId="4F760EBE">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1782" w:type="dxa"/>
            <w:tcBorders>
              <w:top w:val="nil"/>
              <w:left w:val="nil"/>
              <w:bottom w:val="single" w:color="auto" w:sz="4" w:space="0"/>
              <w:right w:val="single" w:color="auto" w:sz="4" w:space="0"/>
            </w:tcBorders>
            <w:vAlign w:val="center"/>
          </w:tcPr>
          <w:p w14:paraId="5514D9BA">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2200" w:type="dxa"/>
            <w:tcBorders>
              <w:top w:val="nil"/>
              <w:left w:val="nil"/>
              <w:bottom w:val="single" w:color="auto" w:sz="4" w:space="0"/>
              <w:right w:val="single" w:color="auto" w:sz="4" w:space="0"/>
            </w:tcBorders>
            <w:vAlign w:val="center"/>
          </w:tcPr>
          <w:p w14:paraId="4FFDBCE0">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r>
      <w:tr w14:paraId="658ECAEB">
        <w:tblPrEx>
          <w:tblCellMar>
            <w:top w:w="0" w:type="dxa"/>
            <w:left w:w="108" w:type="dxa"/>
            <w:bottom w:w="0" w:type="dxa"/>
            <w:right w:w="108" w:type="dxa"/>
          </w:tblCellMar>
        </w:tblPrEx>
        <w:trPr>
          <w:trHeight w:val="585" w:hRule="atLeast"/>
          <w:jc w:val="right"/>
        </w:trPr>
        <w:tc>
          <w:tcPr>
            <w:tcW w:w="852" w:type="dxa"/>
            <w:tcBorders>
              <w:top w:val="nil"/>
              <w:left w:val="single" w:color="auto" w:sz="4" w:space="0"/>
              <w:bottom w:val="single" w:color="auto" w:sz="4" w:space="0"/>
              <w:right w:val="single" w:color="auto" w:sz="4" w:space="0"/>
            </w:tcBorders>
            <w:vAlign w:val="center"/>
          </w:tcPr>
          <w:p w14:paraId="6AF839CE">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1962" w:type="dxa"/>
            <w:tcBorders>
              <w:top w:val="nil"/>
              <w:left w:val="nil"/>
              <w:bottom w:val="single" w:color="auto" w:sz="4" w:space="0"/>
              <w:right w:val="single" w:color="auto" w:sz="4" w:space="0"/>
            </w:tcBorders>
            <w:vAlign w:val="center"/>
          </w:tcPr>
          <w:p w14:paraId="41755CBE">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2436" w:type="dxa"/>
            <w:tcBorders>
              <w:top w:val="nil"/>
              <w:left w:val="nil"/>
              <w:bottom w:val="single" w:color="auto" w:sz="4" w:space="0"/>
              <w:right w:val="single" w:color="auto" w:sz="4" w:space="0"/>
            </w:tcBorders>
            <w:vAlign w:val="center"/>
          </w:tcPr>
          <w:p w14:paraId="0973DD3C">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1782" w:type="dxa"/>
            <w:tcBorders>
              <w:top w:val="nil"/>
              <w:left w:val="nil"/>
              <w:bottom w:val="single" w:color="auto" w:sz="4" w:space="0"/>
              <w:right w:val="single" w:color="auto" w:sz="4" w:space="0"/>
            </w:tcBorders>
            <w:vAlign w:val="center"/>
          </w:tcPr>
          <w:p w14:paraId="7F056141">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2200" w:type="dxa"/>
            <w:tcBorders>
              <w:top w:val="nil"/>
              <w:left w:val="nil"/>
              <w:bottom w:val="single" w:color="auto" w:sz="4" w:space="0"/>
              <w:right w:val="single" w:color="auto" w:sz="4" w:space="0"/>
            </w:tcBorders>
            <w:vAlign w:val="center"/>
          </w:tcPr>
          <w:p w14:paraId="30C1E20F">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r>
      <w:tr w14:paraId="042E88DC">
        <w:tblPrEx>
          <w:tblCellMar>
            <w:top w:w="0" w:type="dxa"/>
            <w:left w:w="108" w:type="dxa"/>
            <w:bottom w:w="0" w:type="dxa"/>
            <w:right w:w="108" w:type="dxa"/>
          </w:tblCellMar>
        </w:tblPrEx>
        <w:trPr>
          <w:trHeight w:val="585" w:hRule="atLeast"/>
          <w:jc w:val="right"/>
        </w:trPr>
        <w:tc>
          <w:tcPr>
            <w:tcW w:w="852" w:type="dxa"/>
            <w:tcBorders>
              <w:top w:val="nil"/>
              <w:left w:val="single" w:color="auto" w:sz="4" w:space="0"/>
              <w:bottom w:val="single" w:color="auto" w:sz="4" w:space="0"/>
              <w:right w:val="single" w:color="auto" w:sz="4" w:space="0"/>
            </w:tcBorders>
            <w:vAlign w:val="center"/>
          </w:tcPr>
          <w:p w14:paraId="2841B067">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1962" w:type="dxa"/>
            <w:tcBorders>
              <w:top w:val="nil"/>
              <w:left w:val="nil"/>
              <w:bottom w:val="single" w:color="auto" w:sz="4" w:space="0"/>
              <w:right w:val="single" w:color="auto" w:sz="4" w:space="0"/>
            </w:tcBorders>
            <w:vAlign w:val="center"/>
          </w:tcPr>
          <w:p w14:paraId="632CA756">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2436" w:type="dxa"/>
            <w:tcBorders>
              <w:top w:val="nil"/>
              <w:left w:val="nil"/>
              <w:bottom w:val="single" w:color="auto" w:sz="4" w:space="0"/>
              <w:right w:val="single" w:color="auto" w:sz="4" w:space="0"/>
            </w:tcBorders>
            <w:vAlign w:val="center"/>
          </w:tcPr>
          <w:p w14:paraId="543A1781">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1782" w:type="dxa"/>
            <w:tcBorders>
              <w:top w:val="nil"/>
              <w:left w:val="nil"/>
              <w:bottom w:val="single" w:color="auto" w:sz="4" w:space="0"/>
              <w:right w:val="single" w:color="auto" w:sz="4" w:space="0"/>
            </w:tcBorders>
            <w:vAlign w:val="center"/>
          </w:tcPr>
          <w:p w14:paraId="1816A249">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2200" w:type="dxa"/>
            <w:tcBorders>
              <w:top w:val="nil"/>
              <w:left w:val="nil"/>
              <w:bottom w:val="single" w:color="auto" w:sz="4" w:space="0"/>
              <w:right w:val="single" w:color="auto" w:sz="4" w:space="0"/>
            </w:tcBorders>
            <w:vAlign w:val="center"/>
          </w:tcPr>
          <w:p w14:paraId="2A523A9F">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r>
      <w:tr w14:paraId="54C913B3">
        <w:tblPrEx>
          <w:tblCellMar>
            <w:top w:w="0" w:type="dxa"/>
            <w:left w:w="108" w:type="dxa"/>
            <w:bottom w:w="0" w:type="dxa"/>
            <w:right w:w="108" w:type="dxa"/>
          </w:tblCellMar>
        </w:tblPrEx>
        <w:trPr>
          <w:trHeight w:val="585" w:hRule="atLeast"/>
          <w:jc w:val="right"/>
        </w:trPr>
        <w:tc>
          <w:tcPr>
            <w:tcW w:w="852" w:type="dxa"/>
            <w:tcBorders>
              <w:top w:val="nil"/>
              <w:left w:val="single" w:color="auto" w:sz="4" w:space="0"/>
              <w:bottom w:val="single" w:color="auto" w:sz="4" w:space="0"/>
              <w:right w:val="single" w:color="auto" w:sz="4" w:space="0"/>
            </w:tcBorders>
            <w:vAlign w:val="center"/>
          </w:tcPr>
          <w:p w14:paraId="324FF910">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1962" w:type="dxa"/>
            <w:tcBorders>
              <w:top w:val="nil"/>
              <w:left w:val="nil"/>
              <w:bottom w:val="single" w:color="auto" w:sz="4" w:space="0"/>
              <w:right w:val="single" w:color="auto" w:sz="4" w:space="0"/>
            </w:tcBorders>
            <w:vAlign w:val="center"/>
          </w:tcPr>
          <w:p w14:paraId="2362ECE7">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2436" w:type="dxa"/>
            <w:tcBorders>
              <w:top w:val="nil"/>
              <w:left w:val="nil"/>
              <w:bottom w:val="single" w:color="auto" w:sz="4" w:space="0"/>
              <w:right w:val="single" w:color="auto" w:sz="4" w:space="0"/>
            </w:tcBorders>
            <w:vAlign w:val="center"/>
          </w:tcPr>
          <w:p w14:paraId="14E1316E">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1782" w:type="dxa"/>
            <w:tcBorders>
              <w:top w:val="nil"/>
              <w:left w:val="nil"/>
              <w:bottom w:val="single" w:color="auto" w:sz="4" w:space="0"/>
              <w:right w:val="single" w:color="auto" w:sz="4" w:space="0"/>
            </w:tcBorders>
            <w:vAlign w:val="center"/>
          </w:tcPr>
          <w:p w14:paraId="3D259F8C">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2200" w:type="dxa"/>
            <w:tcBorders>
              <w:top w:val="nil"/>
              <w:left w:val="nil"/>
              <w:bottom w:val="single" w:color="auto" w:sz="4" w:space="0"/>
              <w:right w:val="single" w:color="auto" w:sz="4" w:space="0"/>
            </w:tcBorders>
            <w:vAlign w:val="center"/>
          </w:tcPr>
          <w:p w14:paraId="64DAB131">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r>
      <w:tr w14:paraId="4F1D6F1F">
        <w:tblPrEx>
          <w:tblCellMar>
            <w:top w:w="0" w:type="dxa"/>
            <w:left w:w="108" w:type="dxa"/>
            <w:bottom w:w="0" w:type="dxa"/>
            <w:right w:w="108" w:type="dxa"/>
          </w:tblCellMar>
        </w:tblPrEx>
        <w:trPr>
          <w:trHeight w:val="585" w:hRule="atLeast"/>
          <w:jc w:val="right"/>
        </w:trPr>
        <w:tc>
          <w:tcPr>
            <w:tcW w:w="852" w:type="dxa"/>
            <w:tcBorders>
              <w:top w:val="nil"/>
              <w:left w:val="single" w:color="auto" w:sz="4" w:space="0"/>
              <w:bottom w:val="single" w:color="auto" w:sz="4" w:space="0"/>
              <w:right w:val="single" w:color="auto" w:sz="4" w:space="0"/>
            </w:tcBorders>
            <w:vAlign w:val="center"/>
          </w:tcPr>
          <w:p w14:paraId="31EDFF11">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1962" w:type="dxa"/>
            <w:tcBorders>
              <w:top w:val="nil"/>
              <w:left w:val="nil"/>
              <w:bottom w:val="single" w:color="auto" w:sz="4" w:space="0"/>
              <w:right w:val="single" w:color="auto" w:sz="4" w:space="0"/>
            </w:tcBorders>
            <w:vAlign w:val="center"/>
          </w:tcPr>
          <w:p w14:paraId="05F5BF5A">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2436" w:type="dxa"/>
            <w:tcBorders>
              <w:top w:val="nil"/>
              <w:left w:val="nil"/>
              <w:bottom w:val="single" w:color="auto" w:sz="4" w:space="0"/>
              <w:right w:val="single" w:color="auto" w:sz="4" w:space="0"/>
            </w:tcBorders>
            <w:vAlign w:val="center"/>
          </w:tcPr>
          <w:p w14:paraId="1CFF2EDA">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1782" w:type="dxa"/>
            <w:tcBorders>
              <w:top w:val="nil"/>
              <w:left w:val="nil"/>
              <w:bottom w:val="single" w:color="auto" w:sz="4" w:space="0"/>
              <w:right w:val="single" w:color="auto" w:sz="4" w:space="0"/>
            </w:tcBorders>
            <w:vAlign w:val="center"/>
          </w:tcPr>
          <w:p w14:paraId="4B682701">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2200" w:type="dxa"/>
            <w:tcBorders>
              <w:top w:val="nil"/>
              <w:left w:val="nil"/>
              <w:bottom w:val="single" w:color="auto" w:sz="4" w:space="0"/>
              <w:right w:val="single" w:color="auto" w:sz="4" w:space="0"/>
            </w:tcBorders>
            <w:vAlign w:val="center"/>
          </w:tcPr>
          <w:p w14:paraId="7AD6C9D7">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r>
      <w:tr w14:paraId="45670D54">
        <w:tblPrEx>
          <w:tblCellMar>
            <w:top w:w="0" w:type="dxa"/>
            <w:left w:w="108" w:type="dxa"/>
            <w:bottom w:w="0" w:type="dxa"/>
            <w:right w:w="108" w:type="dxa"/>
          </w:tblCellMar>
        </w:tblPrEx>
        <w:trPr>
          <w:trHeight w:val="585" w:hRule="atLeast"/>
          <w:jc w:val="right"/>
        </w:trPr>
        <w:tc>
          <w:tcPr>
            <w:tcW w:w="852" w:type="dxa"/>
            <w:tcBorders>
              <w:top w:val="nil"/>
              <w:left w:val="single" w:color="auto" w:sz="4" w:space="0"/>
              <w:bottom w:val="single" w:color="auto" w:sz="4" w:space="0"/>
              <w:right w:val="single" w:color="auto" w:sz="4" w:space="0"/>
            </w:tcBorders>
            <w:vAlign w:val="center"/>
          </w:tcPr>
          <w:p w14:paraId="1CD21C13">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1962" w:type="dxa"/>
            <w:tcBorders>
              <w:top w:val="nil"/>
              <w:left w:val="nil"/>
              <w:bottom w:val="single" w:color="auto" w:sz="4" w:space="0"/>
              <w:right w:val="single" w:color="auto" w:sz="4" w:space="0"/>
            </w:tcBorders>
            <w:vAlign w:val="center"/>
          </w:tcPr>
          <w:p w14:paraId="0C625A9B">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2436" w:type="dxa"/>
            <w:tcBorders>
              <w:top w:val="nil"/>
              <w:left w:val="nil"/>
              <w:bottom w:val="single" w:color="auto" w:sz="4" w:space="0"/>
              <w:right w:val="single" w:color="auto" w:sz="4" w:space="0"/>
            </w:tcBorders>
            <w:vAlign w:val="center"/>
          </w:tcPr>
          <w:p w14:paraId="4317A06D">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1782" w:type="dxa"/>
            <w:tcBorders>
              <w:top w:val="nil"/>
              <w:left w:val="nil"/>
              <w:bottom w:val="single" w:color="auto" w:sz="4" w:space="0"/>
              <w:right w:val="single" w:color="auto" w:sz="4" w:space="0"/>
            </w:tcBorders>
            <w:vAlign w:val="center"/>
          </w:tcPr>
          <w:p w14:paraId="7440E81D">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2200" w:type="dxa"/>
            <w:tcBorders>
              <w:top w:val="nil"/>
              <w:left w:val="nil"/>
              <w:bottom w:val="single" w:color="auto" w:sz="4" w:space="0"/>
              <w:right w:val="single" w:color="auto" w:sz="4" w:space="0"/>
            </w:tcBorders>
            <w:vAlign w:val="center"/>
          </w:tcPr>
          <w:p w14:paraId="51AE9172">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r>
      <w:tr w14:paraId="26161F4F">
        <w:tblPrEx>
          <w:tblCellMar>
            <w:top w:w="0" w:type="dxa"/>
            <w:left w:w="108" w:type="dxa"/>
            <w:bottom w:w="0" w:type="dxa"/>
            <w:right w:w="108" w:type="dxa"/>
          </w:tblCellMar>
        </w:tblPrEx>
        <w:trPr>
          <w:trHeight w:val="585" w:hRule="atLeast"/>
          <w:jc w:val="right"/>
        </w:trPr>
        <w:tc>
          <w:tcPr>
            <w:tcW w:w="852" w:type="dxa"/>
            <w:tcBorders>
              <w:top w:val="nil"/>
              <w:left w:val="single" w:color="auto" w:sz="4" w:space="0"/>
              <w:bottom w:val="single" w:color="auto" w:sz="4" w:space="0"/>
              <w:right w:val="single" w:color="auto" w:sz="4" w:space="0"/>
            </w:tcBorders>
            <w:vAlign w:val="center"/>
          </w:tcPr>
          <w:p w14:paraId="5ADA7C9B">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1962" w:type="dxa"/>
            <w:tcBorders>
              <w:top w:val="nil"/>
              <w:left w:val="nil"/>
              <w:bottom w:val="single" w:color="auto" w:sz="4" w:space="0"/>
              <w:right w:val="single" w:color="auto" w:sz="4" w:space="0"/>
            </w:tcBorders>
            <w:vAlign w:val="center"/>
          </w:tcPr>
          <w:p w14:paraId="191030F3">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2436" w:type="dxa"/>
            <w:tcBorders>
              <w:top w:val="nil"/>
              <w:left w:val="nil"/>
              <w:bottom w:val="single" w:color="auto" w:sz="4" w:space="0"/>
              <w:right w:val="single" w:color="auto" w:sz="4" w:space="0"/>
            </w:tcBorders>
            <w:vAlign w:val="center"/>
          </w:tcPr>
          <w:p w14:paraId="1BC06B2D">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1782" w:type="dxa"/>
            <w:tcBorders>
              <w:top w:val="nil"/>
              <w:left w:val="nil"/>
              <w:bottom w:val="single" w:color="auto" w:sz="4" w:space="0"/>
              <w:right w:val="single" w:color="auto" w:sz="4" w:space="0"/>
            </w:tcBorders>
            <w:vAlign w:val="center"/>
          </w:tcPr>
          <w:p w14:paraId="3A9275B7">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2200" w:type="dxa"/>
            <w:tcBorders>
              <w:top w:val="nil"/>
              <w:left w:val="nil"/>
              <w:bottom w:val="single" w:color="auto" w:sz="4" w:space="0"/>
              <w:right w:val="single" w:color="auto" w:sz="4" w:space="0"/>
            </w:tcBorders>
            <w:vAlign w:val="center"/>
          </w:tcPr>
          <w:p w14:paraId="0DAFBD17">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r>
      <w:tr w14:paraId="1D2E46E6">
        <w:tblPrEx>
          <w:tblCellMar>
            <w:top w:w="0" w:type="dxa"/>
            <w:left w:w="108" w:type="dxa"/>
            <w:bottom w:w="0" w:type="dxa"/>
            <w:right w:w="108" w:type="dxa"/>
          </w:tblCellMar>
        </w:tblPrEx>
        <w:trPr>
          <w:trHeight w:val="585" w:hRule="atLeast"/>
          <w:jc w:val="right"/>
        </w:trPr>
        <w:tc>
          <w:tcPr>
            <w:tcW w:w="852" w:type="dxa"/>
            <w:tcBorders>
              <w:top w:val="nil"/>
              <w:left w:val="single" w:color="auto" w:sz="4" w:space="0"/>
              <w:bottom w:val="single" w:color="auto" w:sz="4" w:space="0"/>
              <w:right w:val="single" w:color="auto" w:sz="4" w:space="0"/>
            </w:tcBorders>
            <w:vAlign w:val="center"/>
          </w:tcPr>
          <w:p w14:paraId="27CDD7B4">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1962" w:type="dxa"/>
            <w:tcBorders>
              <w:top w:val="nil"/>
              <w:left w:val="nil"/>
              <w:bottom w:val="single" w:color="auto" w:sz="4" w:space="0"/>
              <w:right w:val="single" w:color="auto" w:sz="4" w:space="0"/>
            </w:tcBorders>
            <w:vAlign w:val="center"/>
          </w:tcPr>
          <w:p w14:paraId="08777050">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2436" w:type="dxa"/>
            <w:tcBorders>
              <w:top w:val="nil"/>
              <w:left w:val="nil"/>
              <w:bottom w:val="single" w:color="auto" w:sz="4" w:space="0"/>
              <w:right w:val="single" w:color="auto" w:sz="4" w:space="0"/>
            </w:tcBorders>
            <w:vAlign w:val="center"/>
          </w:tcPr>
          <w:p w14:paraId="168DC41E">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1782" w:type="dxa"/>
            <w:tcBorders>
              <w:top w:val="nil"/>
              <w:left w:val="nil"/>
              <w:bottom w:val="single" w:color="auto" w:sz="4" w:space="0"/>
              <w:right w:val="single" w:color="auto" w:sz="4" w:space="0"/>
            </w:tcBorders>
            <w:vAlign w:val="center"/>
          </w:tcPr>
          <w:p w14:paraId="168DE668">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2200" w:type="dxa"/>
            <w:tcBorders>
              <w:top w:val="nil"/>
              <w:left w:val="nil"/>
              <w:bottom w:val="single" w:color="auto" w:sz="4" w:space="0"/>
              <w:right w:val="single" w:color="auto" w:sz="4" w:space="0"/>
            </w:tcBorders>
            <w:vAlign w:val="center"/>
          </w:tcPr>
          <w:p w14:paraId="62F26707">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r>
      <w:tr w14:paraId="5327A488">
        <w:tblPrEx>
          <w:tblCellMar>
            <w:top w:w="0" w:type="dxa"/>
            <w:left w:w="108" w:type="dxa"/>
            <w:bottom w:w="0" w:type="dxa"/>
            <w:right w:w="108" w:type="dxa"/>
          </w:tblCellMar>
        </w:tblPrEx>
        <w:trPr>
          <w:trHeight w:val="690" w:hRule="atLeast"/>
          <w:jc w:val="right"/>
        </w:trPr>
        <w:tc>
          <w:tcPr>
            <w:tcW w:w="852" w:type="dxa"/>
            <w:tcBorders>
              <w:top w:val="nil"/>
              <w:left w:val="single" w:color="auto" w:sz="4" w:space="0"/>
              <w:bottom w:val="single" w:color="auto" w:sz="4" w:space="0"/>
              <w:right w:val="single" w:color="auto" w:sz="4" w:space="0"/>
            </w:tcBorders>
            <w:vAlign w:val="center"/>
          </w:tcPr>
          <w:p w14:paraId="7DB18194">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1962" w:type="dxa"/>
            <w:tcBorders>
              <w:top w:val="nil"/>
              <w:left w:val="nil"/>
              <w:bottom w:val="single" w:color="auto" w:sz="4" w:space="0"/>
              <w:right w:val="single" w:color="auto" w:sz="4" w:space="0"/>
            </w:tcBorders>
            <w:vAlign w:val="center"/>
          </w:tcPr>
          <w:p w14:paraId="05D40989">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2436" w:type="dxa"/>
            <w:tcBorders>
              <w:top w:val="nil"/>
              <w:left w:val="nil"/>
              <w:bottom w:val="single" w:color="auto" w:sz="4" w:space="0"/>
              <w:right w:val="single" w:color="auto" w:sz="4" w:space="0"/>
            </w:tcBorders>
            <w:vAlign w:val="center"/>
          </w:tcPr>
          <w:p w14:paraId="532B995E">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1782" w:type="dxa"/>
            <w:tcBorders>
              <w:top w:val="nil"/>
              <w:left w:val="nil"/>
              <w:bottom w:val="single" w:color="auto" w:sz="4" w:space="0"/>
              <w:right w:val="single" w:color="auto" w:sz="4" w:space="0"/>
            </w:tcBorders>
            <w:vAlign w:val="center"/>
          </w:tcPr>
          <w:p w14:paraId="5C1DC553">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c>
          <w:tcPr>
            <w:tcW w:w="2200" w:type="dxa"/>
            <w:tcBorders>
              <w:top w:val="nil"/>
              <w:left w:val="nil"/>
              <w:bottom w:val="single" w:color="auto" w:sz="4" w:space="0"/>
              <w:right w:val="single" w:color="auto" w:sz="4" w:space="0"/>
            </w:tcBorders>
            <w:vAlign w:val="center"/>
          </w:tcPr>
          <w:p w14:paraId="53B6DCD6">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tc>
      </w:tr>
    </w:tbl>
    <w:p w14:paraId="5158669E">
      <w:pPr>
        <w:adjustRightInd w:val="0"/>
        <w:snapToGrid w:val="0"/>
        <w:spacing w:line="360" w:lineRule="auto"/>
        <w:jc w:val="left"/>
        <w:rPr>
          <w:rFonts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备注：承包人须选择上表所列品牌或其它经发包人认可的同档次品牌。</w:t>
      </w:r>
    </w:p>
    <w:p w14:paraId="6FD935AF">
      <w:pPr>
        <w:adjustRightInd w:val="0"/>
        <w:snapToGrid w:val="0"/>
        <w:spacing w:line="360" w:lineRule="auto"/>
        <w:ind w:firstLine="482" w:firstLineChars="200"/>
        <w:jc w:val="left"/>
        <w:rPr>
          <w:rFonts w:ascii="宋体" w:hAnsi="宋体" w:cs="宋体"/>
          <w:b/>
          <w:bCs/>
          <w:color w:val="000000" w:themeColor="text1"/>
          <w:sz w:val="24"/>
          <w:szCs w:val="24"/>
          <w14:textFill>
            <w14:solidFill>
              <w14:schemeClr w14:val="tx1"/>
            </w14:solidFill>
          </w14:textFill>
        </w:rPr>
      </w:pPr>
    </w:p>
    <w:p w14:paraId="4E552E5F">
      <w:pPr>
        <w:adjustRightInd w:val="0"/>
        <w:snapToGrid w:val="0"/>
        <w:spacing w:line="360" w:lineRule="auto"/>
        <w:ind w:firstLine="482" w:firstLineChars="200"/>
        <w:jc w:val="left"/>
        <w:rPr>
          <w:rFonts w:ascii="宋体" w:hAnsi="宋体" w:cs="宋体"/>
          <w:b/>
          <w:bCs/>
          <w:color w:val="000000" w:themeColor="text1"/>
          <w:sz w:val="24"/>
          <w:szCs w:val="24"/>
          <w14:textFill>
            <w14:solidFill>
              <w14:schemeClr w14:val="tx1"/>
            </w14:solidFill>
          </w14:textFill>
        </w:rPr>
      </w:pPr>
    </w:p>
    <w:p w14:paraId="35115151">
      <w:pPr>
        <w:adjustRightInd w:val="0"/>
        <w:snapToGrid w:val="0"/>
        <w:spacing w:line="360" w:lineRule="auto"/>
        <w:ind w:firstLine="482" w:firstLineChars="200"/>
        <w:jc w:val="left"/>
        <w:rPr>
          <w:rFonts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br w:type="page"/>
      </w:r>
    </w:p>
    <w:p w14:paraId="34859797">
      <w:pPr>
        <w:adjustRightInd w:val="0"/>
        <w:snapToGrid w:val="0"/>
        <w:spacing w:line="360" w:lineRule="auto"/>
        <w:ind w:firstLine="482" w:firstLineChars="200"/>
        <w:jc w:val="left"/>
        <w:rPr>
          <w:rFonts w:ascii="宋体" w:hAnsi="宋体" w:cs="宋体"/>
          <w:b/>
          <w:bCs/>
          <w:color w:val="000000" w:themeColor="text1"/>
          <w:sz w:val="28"/>
          <w:szCs w:val="28"/>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附件</w:t>
      </w:r>
      <w:r>
        <w:rPr>
          <w:rFonts w:ascii="宋体" w:hAnsi="宋体" w:cs="宋体"/>
          <w:b/>
          <w:bCs/>
          <w:color w:val="000000" w:themeColor="text1"/>
          <w:sz w:val="24"/>
          <w:szCs w:val="24"/>
          <w14:textFill>
            <w14:solidFill>
              <w14:schemeClr w14:val="tx1"/>
            </w14:solidFill>
          </w14:textFill>
        </w:rPr>
        <w:t>2</w:t>
      </w:r>
      <w:r>
        <w:rPr>
          <w:rFonts w:hint="eastAsia" w:ascii="宋体" w:hAnsi="宋体" w:cs="宋体"/>
          <w:b/>
          <w:bCs/>
          <w:color w:val="000000" w:themeColor="text1"/>
          <w:sz w:val="24"/>
          <w:szCs w:val="24"/>
          <w14:textFill>
            <w14:solidFill>
              <w14:schemeClr w14:val="tx1"/>
            </w14:solidFill>
          </w14:textFill>
        </w:rPr>
        <w:t>：</w:t>
      </w:r>
    </w:p>
    <w:p w14:paraId="307AD46F">
      <w:pPr>
        <w:adjustRightInd w:val="0"/>
        <w:snapToGrid w:val="0"/>
        <w:spacing w:line="360" w:lineRule="auto"/>
        <w:ind w:firstLine="562" w:firstLineChars="200"/>
        <w:jc w:val="center"/>
        <w:rPr>
          <w:rFonts w:ascii="宋体" w:hAnsi="宋体" w:cs="宋体"/>
          <w:b/>
          <w:bCs/>
          <w:color w:val="000000" w:themeColor="text1"/>
          <w:sz w:val="28"/>
          <w:szCs w:val="28"/>
          <w14:textFill>
            <w14:solidFill>
              <w14:schemeClr w14:val="tx1"/>
            </w14:solidFill>
          </w14:textFill>
        </w:rPr>
      </w:pPr>
      <w:r>
        <w:rPr>
          <w:rFonts w:hint="eastAsia" w:ascii="宋体" w:hAnsi="宋体" w:cs="宋体"/>
          <w:b/>
          <w:bCs/>
          <w:color w:val="000000" w:themeColor="text1"/>
          <w:sz w:val="28"/>
          <w:szCs w:val="28"/>
          <w14:textFill>
            <w14:solidFill>
              <w14:schemeClr w14:val="tx1"/>
            </w14:solidFill>
          </w14:textFill>
        </w:rPr>
        <w:t>工程质量保修书</w:t>
      </w:r>
    </w:p>
    <w:p w14:paraId="0CB49785">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p w14:paraId="4E131D20">
      <w:pPr>
        <w:adjustRightInd w:val="0"/>
        <w:snapToGrid w:val="0"/>
        <w:spacing w:line="360" w:lineRule="auto"/>
        <w:ind w:firstLine="480" w:firstLineChars="200"/>
        <w:jc w:val="left"/>
        <w:rPr>
          <w:rFonts w:ascii="宋体" w:hAnsi="宋体" w:cs="宋体"/>
          <w:color w:val="000000" w:themeColor="text1"/>
          <w:sz w:val="24"/>
          <w:szCs w:val="24"/>
          <w:u w:val="single"/>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 xml:space="preserve">发包人(全称): </w:t>
      </w:r>
      <w:r>
        <w:rPr>
          <w:rFonts w:hint="eastAsia" w:ascii="宋体" w:hAnsi="宋体" w:cs="宋体"/>
          <w:color w:val="000000" w:themeColor="text1"/>
          <w:sz w:val="24"/>
          <w:szCs w:val="24"/>
          <w:u w:val="single"/>
          <w14:textFill>
            <w14:solidFill>
              <w14:schemeClr w14:val="tx1"/>
            </w14:solidFill>
          </w14:textFill>
        </w:rPr>
        <w:t xml:space="preserve">                  </w:t>
      </w:r>
    </w:p>
    <w:p w14:paraId="40AD31EC">
      <w:pPr>
        <w:adjustRightInd w:val="0"/>
        <w:snapToGrid w:val="0"/>
        <w:spacing w:line="360" w:lineRule="auto"/>
        <w:ind w:firstLine="480" w:firstLineChars="200"/>
        <w:jc w:val="left"/>
        <w:rPr>
          <w:rFonts w:ascii="宋体" w:hAnsi="宋体" w:cs="宋体"/>
          <w:color w:val="000000" w:themeColor="text1"/>
          <w:sz w:val="24"/>
          <w:szCs w:val="24"/>
          <w:u w:val="single"/>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承包人(全称)：</w:t>
      </w:r>
      <w:r>
        <w:rPr>
          <w:rFonts w:hint="eastAsia" w:ascii="宋体" w:hAnsi="宋体" w:cs="宋体"/>
          <w:color w:val="000000" w:themeColor="text1"/>
          <w:sz w:val="24"/>
          <w:szCs w:val="24"/>
          <w:u w:val="single"/>
          <w14:textFill>
            <w14:solidFill>
              <w14:schemeClr w14:val="tx1"/>
            </w14:solidFill>
          </w14:textFill>
        </w:rPr>
        <w:t xml:space="preserve">                  </w:t>
      </w:r>
    </w:p>
    <w:p w14:paraId="0A9DD895">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为保证</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(工程名称)在合理使用期限内正常使用，发包人、承包人协商一致签订工程质量保修书。承包人在保修期内按照有关管理规定及双方约定承担工程质量保修责任。</w:t>
      </w:r>
    </w:p>
    <w:p w14:paraId="2944A296">
      <w:pPr>
        <w:adjustRightInd w:val="0"/>
        <w:snapToGrid w:val="0"/>
        <w:spacing w:line="360" w:lineRule="auto"/>
        <w:ind w:firstLine="482" w:firstLineChars="200"/>
        <w:jc w:val="left"/>
        <w:rPr>
          <w:rFonts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一、工程质量保修范围和内容</w:t>
      </w:r>
    </w:p>
    <w:p w14:paraId="45587F8F">
      <w:pPr>
        <w:adjustRightInd w:val="0"/>
        <w:snapToGrid w:val="0"/>
        <w:spacing w:line="360" w:lineRule="auto"/>
        <w:ind w:firstLine="480" w:firstLineChars="200"/>
        <w:jc w:val="left"/>
        <w:rPr>
          <w:rFonts w:ascii="宋体" w:hAnsi="宋体" w:cs="宋体"/>
          <w:color w:val="000000" w:themeColor="text1"/>
          <w:sz w:val="24"/>
          <w:szCs w:val="24"/>
          <w:u w:val="single"/>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质量保修范围和内容包括：</w:t>
      </w:r>
      <w:r>
        <w:rPr>
          <w:rFonts w:hint="eastAsia" w:ascii="宋体" w:hAnsi="宋体" w:cs="宋体"/>
          <w:color w:val="000000" w:themeColor="text1"/>
          <w:sz w:val="24"/>
          <w:szCs w:val="24"/>
          <w:u w:val="single"/>
          <w14:textFill>
            <w14:solidFill>
              <w14:schemeClr w14:val="tx1"/>
            </w14:solidFill>
          </w14:textFill>
        </w:rPr>
        <w:t xml:space="preserve"> 按承包人承包的全部施工竣工范围 。</w:t>
      </w:r>
    </w:p>
    <w:p w14:paraId="262824DB">
      <w:pPr>
        <w:adjustRightInd w:val="0"/>
        <w:snapToGrid w:val="0"/>
        <w:spacing w:line="360" w:lineRule="auto"/>
        <w:ind w:firstLine="482" w:firstLineChars="200"/>
        <w:jc w:val="left"/>
        <w:rPr>
          <w:rFonts w:ascii="宋体" w:hAnsi="宋体" w:cs="宋体"/>
          <w:b/>
          <w:bCs/>
          <w:sz w:val="24"/>
          <w:szCs w:val="24"/>
        </w:rPr>
      </w:pPr>
      <w:r>
        <w:rPr>
          <w:rFonts w:hint="eastAsia" w:ascii="宋体" w:hAnsi="宋体" w:cs="宋体"/>
          <w:b/>
          <w:bCs/>
          <w:sz w:val="24"/>
          <w:szCs w:val="24"/>
        </w:rPr>
        <w:t>二、质量保修期</w:t>
      </w:r>
    </w:p>
    <w:p w14:paraId="23E46673">
      <w:pPr>
        <w:adjustRightInd w:val="0"/>
        <w:snapToGrid w:val="0"/>
        <w:spacing w:line="360" w:lineRule="auto"/>
        <w:ind w:firstLine="480" w:firstLineChars="200"/>
        <w:jc w:val="left"/>
        <w:rPr>
          <w:rFonts w:ascii="宋体" w:hAnsi="宋体" w:cs="宋体"/>
          <w:color w:val="000000"/>
          <w:sz w:val="24"/>
          <w:szCs w:val="24"/>
        </w:rPr>
      </w:pPr>
      <w:r>
        <w:rPr>
          <w:rFonts w:hint="eastAsia" w:ascii="宋体" w:hAnsi="宋体" w:cs="宋体"/>
          <w:color w:val="000000"/>
          <w:sz w:val="24"/>
          <w:szCs w:val="24"/>
        </w:rPr>
        <w:t>质量保修期自工程实际竣工之日算起。分单项竣工验收的工程，按单项工程分别计算质量保修期。</w:t>
      </w:r>
    </w:p>
    <w:p w14:paraId="5ED3F17C">
      <w:pPr>
        <w:adjustRightInd w:val="0"/>
        <w:snapToGrid w:val="0"/>
        <w:spacing w:line="360" w:lineRule="auto"/>
        <w:ind w:firstLine="480" w:firstLineChars="200"/>
        <w:jc w:val="left"/>
        <w:rPr>
          <w:rFonts w:ascii="宋体" w:hAnsi="宋体" w:cs="宋体"/>
          <w:color w:val="000000"/>
          <w:sz w:val="24"/>
          <w:szCs w:val="24"/>
        </w:rPr>
      </w:pPr>
      <w:r>
        <w:rPr>
          <w:rFonts w:hint="eastAsia" w:ascii="宋体" w:hAnsi="宋体" w:cs="宋体"/>
          <w:color w:val="000000"/>
          <w:sz w:val="24"/>
          <w:szCs w:val="24"/>
        </w:rPr>
        <w:t>双方根据《建设工程质量管理条例》及国家有关规定，结合具体工程约定质量保修期如下：</w:t>
      </w:r>
    </w:p>
    <w:p w14:paraId="05BBA933">
      <w:pPr>
        <w:adjustRightInd w:val="0"/>
        <w:snapToGrid w:val="0"/>
        <w:spacing w:line="360" w:lineRule="auto"/>
        <w:ind w:left="420" w:leftChars="200"/>
        <w:jc w:val="left"/>
        <w:rPr>
          <w:rFonts w:ascii="宋体" w:hAnsi="宋体" w:cs="宋体"/>
          <w:color w:val="000000"/>
          <w:sz w:val="24"/>
          <w:szCs w:val="24"/>
        </w:rPr>
      </w:pPr>
      <w:r>
        <w:rPr>
          <w:rFonts w:hint="eastAsia" w:ascii="宋体" w:hAnsi="宋体" w:cs="宋体"/>
          <w:color w:val="000000"/>
          <w:sz w:val="24"/>
          <w:szCs w:val="24"/>
        </w:rPr>
        <w:t>1.基础、主体、结构部分：</w:t>
      </w:r>
      <w:r>
        <w:rPr>
          <w:rFonts w:hint="eastAsia" w:ascii="宋体" w:hAnsi="宋体" w:cs="宋体"/>
          <w:color w:val="000000"/>
          <w:sz w:val="24"/>
          <w:szCs w:val="24"/>
          <w:u w:val="single"/>
        </w:rPr>
        <w:t>为设计合理使用年限</w:t>
      </w:r>
      <w:r>
        <w:rPr>
          <w:rFonts w:hint="eastAsia" w:ascii="宋体" w:hAnsi="宋体" w:cs="宋体"/>
          <w:color w:val="000000"/>
          <w:sz w:val="24"/>
          <w:szCs w:val="24"/>
          <w:u w:val="single"/>
          <w:lang w:val="en-US" w:eastAsia="zh-CN"/>
        </w:rPr>
        <w:t xml:space="preserve"> </w:t>
      </w:r>
      <w:r>
        <w:rPr>
          <w:rFonts w:hint="eastAsia" w:ascii="宋体" w:hAnsi="宋体" w:cs="宋体"/>
          <w:color w:val="000000"/>
          <w:sz w:val="24"/>
          <w:szCs w:val="24"/>
        </w:rPr>
        <w:t>。</w:t>
      </w:r>
    </w:p>
    <w:p w14:paraId="1C8704AC">
      <w:pPr>
        <w:tabs>
          <w:tab w:val="left" w:pos="640"/>
        </w:tabs>
        <w:adjustRightInd w:val="0"/>
        <w:snapToGrid w:val="0"/>
        <w:spacing w:line="360" w:lineRule="auto"/>
        <w:ind w:left="420" w:leftChars="200"/>
        <w:jc w:val="left"/>
        <w:rPr>
          <w:rFonts w:ascii="宋体" w:hAnsi="宋体" w:cs="宋体"/>
          <w:color w:val="000000"/>
          <w:sz w:val="24"/>
          <w:szCs w:val="24"/>
        </w:rPr>
      </w:pPr>
      <w:r>
        <w:rPr>
          <w:rFonts w:hint="eastAsia" w:ascii="宋体" w:hAnsi="宋体" w:cs="宋体"/>
          <w:color w:val="000000"/>
          <w:sz w:val="24"/>
          <w:szCs w:val="24"/>
        </w:rPr>
        <w:t>2.屋面防水工程、防水要求的卫生间、房间和外墙面防渗漏</w:t>
      </w:r>
      <w:r>
        <w:rPr>
          <w:rFonts w:hint="eastAsia" w:ascii="宋体" w:hAnsi="宋体" w:cs="宋体"/>
          <w:color w:val="000000"/>
          <w:sz w:val="24"/>
          <w:szCs w:val="24"/>
          <w:u w:val="single"/>
          <w:lang w:val="en-US" w:eastAsia="zh-CN"/>
        </w:rPr>
        <w:t xml:space="preserve"> </w:t>
      </w:r>
      <w:r>
        <w:rPr>
          <w:rFonts w:hint="eastAsia" w:ascii="宋体" w:hAnsi="宋体" w:cs="宋体"/>
          <w:color w:val="000000"/>
          <w:sz w:val="24"/>
          <w:szCs w:val="24"/>
          <w:u w:val="single"/>
        </w:rPr>
        <w:t>5</w:t>
      </w:r>
      <w:r>
        <w:rPr>
          <w:rFonts w:hint="eastAsia" w:ascii="宋体" w:hAnsi="宋体" w:cs="宋体"/>
          <w:color w:val="000000"/>
          <w:sz w:val="24"/>
          <w:szCs w:val="24"/>
          <w:u w:val="single"/>
          <w:lang w:val="en-US" w:eastAsia="zh-CN"/>
        </w:rPr>
        <w:t xml:space="preserve"> </w:t>
      </w:r>
      <w:r>
        <w:rPr>
          <w:rFonts w:hint="eastAsia" w:ascii="宋体" w:hAnsi="宋体" w:cs="宋体"/>
          <w:color w:val="000000"/>
          <w:sz w:val="24"/>
          <w:szCs w:val="24"/>
        </w:rPr>
        <w:t>年；</w:t>
      </w:r>
    </w:p>
    <w:p w14:paraId="09D0DD31">
      <w:pPr>
        <w:adjustRightInd w:val="0"/>
        <w:snapToGrid w:val="0"/>
        <w:spacing w:line="360" w:lineRule="auto"/>
        <w:ind w:left="420" w:leftChars="200"/>
        <w:jc w:val="left"/>
        <w:rPr>
          <w:rFonts w:ascii="宋体" w:hAnsi="宋体" w:cs="宋体"/>
          <w:color w:val="000000"/>
          <w:sz w:val="24"/>
          <w:szCs w:val="24"/>
        </w:rPr>
      </w:pPr>
      <w:r>
        <w:rPr>
          <w:rFonts w:hint="eastAsia" w:ascii="宋体" w:hAnsi="宋体" w:cs="宋体"/>
          <w:color w:val="000000"/>
          <w:sz w:val="24"/>
          <w:szCs w:val="24"/>
        </w:rPr>
        <w:t>3.电气管线、上下水管线安装工程为</w:t>
      </w:r>
      <w:r>
        <w:rPr>
          <w:rFonts w:hint="eastAsia" w:ascii="宋体" w:hAnsi="宋体" w:cs="宋体"/>
          <w:color w:val="000000"/>
          <w:sz w:val="24"/>
          <w:szCs w:val="24"/>
          <w:u w:val="single"/>
          <w:lang w:val="en-US" w:eastAsia="zh-CN"/>
        </w:rPr>
        <w:t xml:space="preserve"> </w:t>
      </w:r>
      <w:r>
        <w:rPr>
          <w:rFonts w:hint="eastAsia" w:ascii="宋体" w:hAnsi="宋体" w:cs="宋体"/>
          <w:color w:val="000000"/>
          <w:sz w:val="24"/>
          <w:szCs w:val="24"/>
          <w:u w:val="single"/>
        </w:rPr>
        <w:t>2</w:t>
      </w:r>
      <w:r>
        <w:rPr>
          <w:rFonts w:hint="eastAsia" w:ascii="宋体" w:hAnsi="宋体" w:cs="宋体"/>
          <w:color w:val="000000"/>
          <w:sz w:val="24"/>
          <w:szCs w:val="24"/>
          <w:u w:val="single"/>
          <w:lang w:val="en-US" w:eastAsia="zh-CN"/>
        </w:rPr>
        <w:t xml:space="preserve"> </w:t>
      </w:r>
      <w:r>
        <w:rPr>
          <w:rFonts w:hint="eastAsia" w:ascii="宋体" w:hAnsi="宋体" w:cs="宋体"/>
          <w:color w:val="000000"/>
          <w:sz w:val="24"/>
          <w:szCs w:val="24"/>
        </w:rPr>
        <w:t>年；</w:t>
      </w:r>
    </w:p>
    <w:p w14:paraId="4A03FA1F">
      <w:pPr>
        <w:adjustRightInd w:val="0"/>
        <w:snapToGrid w:val="0"/>
        <w:spacing w:line="360" w:lineRule="auto"/>
        <w:ind w:left="420" w:leftChars="200"/>
        <w:jc w:val="left"/>
        <w:rPr>
          <w:rFonts w:ascii="宋体" w:hAnsi="宋体" w:cs="宋体"/>
          <w:color w:val="000000"/>
          <w:sz w:val="24"/>
          <w:szCs w:val="24"/>
        </w:rPr>
      </w:pPr>
      <w:r>
        <w:rPr>
          <w:rFonts w:hint="eastAsia" w:ascii="宋体" w:hAnsi="宋体" w:cs="宋体"/>
          <w:color w:val="000000"/>
          <w:sz w:val="24"/>
          <w:szCs w:val="24"/>
        </w:rPr>
        <w:t>4.供热及供冷为</w:t>
      </w:r>
      <w:r>
        <w:rPr>
          <w:rFonts w:hint="eastAsia" w:ascii="宋体" w:hAnsi="宋体" w:cs="宋体"/>
          <w:color w:val="000000"/>
          <w:sz w:val="24"/>
          <w:szCs w:val="24"/>
          <w:u w:val="single"/>
          <w:lang w:val="en-US" w:eastAsia="zh-CN"/>
        </w:rPr>
        <w:t xml:space="preserve"> </w:t>
      </w:r>
      <w:r>
        <w:rPr>
          <w:rFonts w:hint="eastAsia" w:ascii="宋体" w:hAnsi="宋体" w:cs="宋体"/>
          <w:color w:val="000000"/>
          <w:sz w:val="24"/>
          <w:szCs w:val="24"/>
          <w:u w:val="single"/>
        </w:rPr>
        <w:t>2</w:t>
      </w:r>
      <w:r>
        <w:rPr>
          <w:rFonts w:hint="eastAsia" w:ascii="宋体" w:hAnsi="宋体" w:cs="宋体"/>
          <w:color w:val="000000"/>
          <w:sz w:val="24"/>
          <w:szCs w:val="24"/>
          <w:u w:val="single"/>
          <w:lang w:val="en-US" w:eastAsia="zh-CN"/>
        </w:rPr>
        <w:t xml:space="preserve"> </w:t>
      </w:r>
      <w:r>
        <w:rPr>
          <w:rFonts w:hint="eastAsia" w:ascii="宋体" w:hAnsi="宋体" w:cs="宋体"/>
          <w:color w:val="000000"/>
          <w:sz w:val="24"/>
          <w:szCs w:val="24"/>
        </w:rPr>
        <w:t>个采暖期及供冷期；</w:t>
      </w:r>
    </w:p>
    <w:p w14:paraId="269BED75">
      <w:pPr>
        <w:adjustRightInd w:val="0"/>
        <w:snapToGrid w:val="0"/>
        <w:spacing w:line="360" w:lineRule="auto"/>
        <w:ind w:left="420" w:leftChars="200"/>
        <w:jc w:val="left"/>
        <w:rPr>
          <w:rFonts w:ascii="宋体" w:hAnsi="宋体" w:cs="宋体"/>
          <w:color w:val="000000"/>
          <w:sz w:val="24"/>
          <w:szCs w:val="24"/>
        </w:rPr>
      </w:pPr>
      <w:r>
        <w:rPr>
          <w:rFonts w:hint="eastAsia" w:ascii="宋体" w:hAnsi="宋体" w:cs="宋体"/>
          <w:color w:val="000000"/>
          <w:sz w:val="24"/>
          <w:szCs w:val="24"/>
        </w:rPr>
        <w:t>5.其他约定：</w:t>
      </w:r>
      <w:r>
        <w:rPr>
          <w:rFonts w:hint="eastAsia" w:ascii="宋体" w:hAnsi="宋体" w:cs="宋体"/>
          <w:color w:val="000000"/>
          <w:sz w:val="24"/>
          <w:szCs w:val="24"/>
          <w:u w:val="single"/>
        </w:rPr>
        <w:t xml:space="preserve">  /  </w:t>
      </w:r>
      <w:r>
        <w:rPr>
          <w:rFonts w:hint="eastAsia" w:ascii="宋体" w:hAnsi="宋体" w:cs="宋体"/>
          <w:color w:val="000000"/>
          <w:sz w:val="24"/>
          <w:szCs w:val="24"/>
        </w:rPr>
        <w:t xml:space="preserve">。 </w:t>
      </w:r>
    </w:p>
    <w:p w14:paraId="30F61E70">
      <w:pPr>
        <w:adjustRightInd w:val="0"/>
        <w:snapToGrid w:val="0"/>
        <w:spacing w:line="360" w:lineRule="auto"/>
        <w:ind w:firstLine="480" w:firstLineChars="200"/>
        <w:jc w:val="left"/>
        <w:rPr>
          <w:rFonts w:ascii="宋体" w:hAnsi="宋体" w:cs="宋体"/>
          <w:b/>
          <w:bCs/>
          <w:color w:val="000000"/>
          <w:sz w:val="24"/>
          <w:szCs w:val="24"/>
        </w:rPr>
      </w:pPr>
      <w:r>
        <w:rPr>
          <w:rFonts w:hint="eastAsia" w:ascii="宋体" w:hAnsi="宋体" w:cs="宋体"/>
          <w:color w:val="000000"/>
          <w:sz w:val="24"/>
          <w:szCs w:val="24"/>
          <w:lang w:val="en-US" w:eastAsia="zh-CN"/>
        </w:rPr>
        <w:t xml:space="preserve"> </w:t>
      </w:r>
      <w:r>
        <w:rPr>
          <w:rFonts w:hint="eastAsia" w:ascii="宋体" w:hAnsi="宋体" w:cs="宋体"/>
          <w:b/>
          <w:bCs/>
          <w:color w:val="000000"/>
          <w:sz w:val="24"/>
          <w:szCs w:val="24"/>
        </w:rPr>
        <w:t>三、质量保修责任</w:t>
      </w:r>
    </w:p>
    <w:p w14:paraId="20AA7047">
      <w:pPr>
        <w:adjustRightInd w:val="0"/>
        <w:snapToGrid w:val="0"/>
        <w:spacing w:line="360" w:lineRule="auto"/>
        <w:ind w:firstLine="480" w:firstLineChars="200"/>
        <w:jc w:val="left"/>
        <w:rPr>
          <w:rFonts w:ascii="宋体" w:hAnsi="宋体" w:cs="宋体"/>
          <w:color w:val="000000"/>
          <w:sz w:val="24"/>
          <w:szCs w:val="24"/>
        </w:rPr>
      </w:pPr>
      <w:r>
        <w:rPr>
          <w:rFonts w:hint="eastAsia" w:ascii="宋体" w:hAnsi="宋体" w:cs="宋体"/>
          <w:color w:val="000000"/>
          <w:sz w:val="24"/>
          <w:szCs w:val="24"/>
        </w:rPr>
        <w:t>1.属于保修范围和内容的项目，承包人应在接到修理通知之日后7天内派人修理。</w:t>
      </w:r>
    </w:p>
    <w:p w14:paraId="5441ACFE">
      <w:pPr>
        <w:adjustRightInd w:val="0"/>
        <w:snapToGrid w:val="0"/>
        <w:spacing w:line="360" w:lineRule="auto"/>
        <w:ind w:firstLine="480" w:firstLineChars="200"/>
        <w:jc w:val="left"/>
        <w:rPr>
          <w:rFonts w:ascii="宋体" w:hAnsi="宋体" w:cs="宋体"/>
          <w:color w:val="000000"/>
          <w:sz w:val="24"/>
          <w:szCs w:val="24"/>
        </w:rPr>
      </w:pPr>
      <w:r>
        <w:rPr>
          <w:rFonts w:hint="eastAsia" w:ascii="宋体" w:hAnsi="宋体" w:cs="宋体"/>
          <w:color w:val="000000"/>
          <w:sz w:val="24"/>
          <w:szCs w:val="24"/>
        </w:rPr>
        <w:t>2.发生须紧急抢修事故(如上水跑水、暖气漏水漏气、燃气漏气等)，承包人接到事故通知后，应立即到达事故现场抢修。非承包人施工质量引起的事故，抢修费用由发包人承担。</w:t>
      </w:r>
    </w:p>
    <w:p w14:paraId="07280D72">
      <w:pPr>
        <w:adjustRightInd w:val="0"/>
        <w:snapToGrid w:val="0"/>
        <w:spacing w:line="360" w:lineRule="auto"/>
        <w:ind w:firstLine="480" w:firstLineChars="200"/>
        <w:jc w:val="left"/>
        <w:rPr>
          <w:rFonts w:ascii="宋体" w:hAnsi="宋体" w:cs="宋体"/>
          <w:color w:val="000000"/>
          <w:sz w:val="24"/>
          <w:szCs w:val="24"/>
        </w:rPr>
      </w:pPr>
      <w:r>
        <w:rPr>
          <w:rFonts w:hint="eastAsia" w:ascii="宋体" w:hAnsi="宋体" w:cs="宋体"/>
          <w:color w:val="000000"/>
          <w:sz w:val="24"/>
          <w:szCs w:val="24"/>
        </w:rPr>
        <w:t>3.在国家规定的工程合理使用期限内，承包人确保地基基础工程和主体结构的质量。因承包人原因致使工程在合理使用期限内造成人身和财产损害的，承包人应承担损害赔偿责任。</w:t>
      </w:r>
    </w:p>
    <w:p w14:paraId="1D548B8A">
      <w:pPr>
        <w:adjustRightInd w:val="0"/>
        <w:snapToGrid w:val="0"/>
        <w:spacing w:line="360" w:lineRule="auto"/>
        <w:ind w:firstLine="480" w:firstLineChars="200"/>
        <w:jc w:val="left"/>
        <w:rPr>
          <w:rFonts w:ascii="宋体" w:hAnsi="宋体" w:cs="宋体"/>
          <w:color w:val="000000"/>
          <w:sz w:val="24"/>
          <w:szCs w:val="24"/>
        </w:rPr>
      </w:pPr>
      <w:r>
        <w:rPr>
          <w:rFonts w:hint="eastAsia" w:ascii="宋体" w:hAnsi="宋体" w:cs="宋体"/>
          <w:color w:val="000000"/>
          <w:sz w:val="24"/>
          <w:szCs w:val="24"/>
        </w:rPr>
        <w:t>4.质量保修完成后，由发包人组织验收。</w:t>
      </w:r>
    </w:p>
    <w:p w14:paraId="58766875">
      <w:pPr>
        <w:adjustRightInd w:val="0"/>
        <w:snapToGrid w:val="0"/>
        <w:spacing w:line="360" w:lineRule="auto"/>
        <w:ind w:firstLine="482" w:firstLineChars="200"/>
        <w:jc w:val="left"/>
        <w:rPr>
          <w:rFonts w:ascii="宋体" w:hAnsi="宋体" w:cs="宋体"/>
          <w:b/>
          <w:bCs/>
          <w:color w:val="000000"/>
          <w:sz w:val="24"/>
          <w:szCs w:val="24"/>
        </w:rPr>
      </w:pPr>
      <w:r>
        <w:rPr>
          <w:rFonts w:hint="eastAsia" w:ascii="宋体" w:hAnsi="宋体" w:cs="宋体"/>
          <w:b/>
          <w:bCs/>
          <w:color w:val="000000"/>
          <w:sz w:val="24"/>
          <w:szCs w:val="24"/>
        </w:rPr>
        <w:t>四、其他</w:t>
      </w:r>
    </w:p>
    <w:p w14:paraId="5207672C">
      <w:pPr>
        <w:adjustRightInd w:val="0"/>
        <w:snapToGrid w:val="0"/>
        <w:spacing w:line="360" w:lineRule="auto"/>
        <w:ind w:firstLine="480" w:firstLineChars="200"/>
        <w:jc w:val="left"/>
        <w:rPr>
          <w:rFonts w:ascii="宋体" w:hAnsi="宋体" w:cs="宋体"/>
          <w:color w:val="000000"/>
          <w:sz w:val="24"/>
          <w:szCs w:val="24"/>
        </w:rPr>
      </w:pPr>
      <w:r>
        <w:rPr>
          <w:rFonts w:hint="eastAsia" w:ascii="宋体" w:hAnsi="宋体" w:cs="宋体"/>
          <w:color w:val="000000"/>
          <w:sz w:val="24"/>
          <w:szCs w:val="24"/>
        </w:rPr>
        <w:t>本工程质量保修书作为施工合同附件，由施工合同发包人、承包人双方共同签署。</w:t>
      </w:r>
    </w:p>
    <w:p w14:paraId="61667C50">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p w14:paraId="2CD3EC14">
      <w:pPr>
        <w:adjustRightInd w:val="0"/>
        <w:snapToGrid w:val="0"/>
        <w:spacing w:line="360" w:lineRule="auto"/>
        <w:ind w:firstLine="480" w:firstLineChars="200"/>
        <w:jc w:val="left"/>
        <w:rPr>
          <w:rFonts w:ascii="宋体" w:hAnsi="宋体" w:cs="宋体"/>
          <w:color w:val="000000" w:themeColor="text1"/>
          <w:sz w:val="24"/>
          <w:szCs w:val="24"/>
          <w14:textFill>
            <w14:solidFill>
              <w14:schemeClr w14:val="tx1"/>
            </w14:solidFill>
          </w14:textFill>
        </w:rPr>
      </w:pPr>
    </w:p>
    <w:p w14:paraId="1DF20CE3">
      <w:pPr>
        <w:adjustRightInd w:val="0"/>
        <w:snapToGrid w:val="0"/>
        <w:spacing w:line="360" w:lineRule="auto"/>
        <w:jc w:val="left"/>
        <w:rPr>
          <w:rFonts w:ascii="宋体" w:hAnsi="宋体" w:cs="宋体"/>
          <w:bCs/>
          <w:color w:val="000000" w:themeColor="text1"/>
          <w:sz w:val="24"/>
          <w:szCs w:val="24"/>
          <w:u w:val="single"/>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发 包 人：</w:t>
      </w:r>
      <w:r>
        <w:rPr>
          <w:rFonts w:hint="eastAsia" w:ascii="宋体" w:hAnsi="宋体" w:cs="宋体"/>
          <w:bCs/>
          <w:color w:val="000000" w:themeColor="text1"/>
          <w:sz w:val="24"/>
          <w:szCs w:val="24"/>
          <w:u w:val="single"/>
          <w14:textFill>
            <w14:solidFill>
              <w14:schemeClr w14:val="tx1"/>
            </w14:solidFill>
          </w14:textFill>
        </w:rPr>
        <w:t xml:space="preserve">   （盖章）              </w:t>
      </w:r>
      <w:r>
        <w:rPr>
          <w:rFonts w:hint="eastAsia" w:ascii="宋体" w:hAnsi="宋体" w:cs="宋体"/>
          <w:bCs/>
          <w:color w:val="000000" w:themeColor="text1"/>
          <w:sz w:val="24"/>
          <w:szCs w:val="24"/>
          <w14:textFill>
            <w14:solidFill>
              <w14:schemeClr w14:val="tx1"/>
            </w14:solidFill>
          </w14:textFill>
        </w:rPr>
        <w:t xml:space="preserve">      承 包 人：</w:t>
      </w:r>
      <w:r>
        <w:rPr>
          <w:rFonts w:hint="eastAsia" w:ascii="宋体" w:hAnsi="宋体" w:cs="宋体"/>
          <w:bCs/>
          <w:color w:val="000000" w:themeColor="text1"/>
          <w:sz w:val="24"/>
          <w:szCs w:val="24"/>
          <w:u w:val="single"/>
          <w14:textFill>
            <w14:solidFill>
              <w14:schemeClr w14:val="tx1"/>
            </w14:solidFill>
          </w14:textFill>
        </w:rPr>
        <w:t xml:space="preserve">   （盖章）      </w:t>
      </w:r>
    </w:p>
    <w:p w14:paraId="25E78192">
      <w:pPr>
        <w:adjustRightInd w:val="0"/>
        <w:snapToGrid w:val="0"/>
        <w:spacing w:line="360" w:lineRule="auto"/>
        <w:ind w:firstLine="480" w:firstLineChars="200"/>
        <w:jc w:val="left"/>
        <w:rPr>
          <w:rFonts w:ascii="宋体" w:hAnsi="宋体" w:cs="宋体"/>
          <w:bCs/>
          <w:color w:val="000000" w:themeColor="text1"/>
          <w:sz w:val="24"/>
          <w:szCs w:val="24"/>
          <w14:textFill>
            <w14:solidFill>
              <w14:schemeClr w14:val="tx1"/>
            </w14:solidFill>
          </w14:textFill>
        </w:rPr>
      </w:pPr>
    </w:p>
    <w:p w14:paraId="27F4E634">
      <w:pPr>
        <w:adjustRightInd w:val="0"/>
        <w:snapToGrid w:val="0"/>
        <w:spacing w:line="360" w:lineRule="auto"/>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法定代表人（签字或签章）                 法定代表人（签字或签章）</w:t>
      </w:r>
    </w:p>
    <w:p w14:paraId="584A789C">
      <w:pPr>
        <w:adjustRightInd w:val="0"/>
        <w:snapToGrid w:val="0"/>
        <w:spacing w:line="360" w:lineRule="auto"/>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或其授权代理人（签字）：</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 xml:space="preserve">     或其授权代理人（签字）：</w:t>
      </w:r>
      <w:r>
        <w:rPr>
          <w:rFonts w:hint="eastAsia" w:ascii="宋体" w:hAnsi="宋体" w:cs="宋体"/>
          <w:color w:val="000000" w:themeColor="text1"/>
          <w:sz w:val="24"/>
          <w:szCs w:val="24"/>
          <w:u w:val="single"/>
          <w14:textFill>
            <w14:solidFill>
              <w14:schemeClr w14:val="tx1"/>
            </w14:solidFill>
          </w14:textFill>
        </w:rPr>
        <w:t xml:space="preserve">             </w:t>
      </w:r>
    </w:p>
    <w:p w14:paraId="33EB35EA">
      <w:pPr>
        <w:adjustRightInd w:val="0"/>
        <w:snapToGrid w:val="0"/>
        <w:spacing w:line="360" w:lineRule="auto"/>
        <w:jc w:val="left"/>
        <w:rPr>
          <w:rFonts w:ascii="宋体" w:hAnsi="宋体" w:cs="宋体"/>
          <w:color w:val="000000" w:themeColor="text1"/>
          <w:sz w:val="24"/>
          <w:szCs w:val="24"/>
          <w14:textFill>
            <w14:solidFill>
              <w14:schemeClr w14:val="tx1"/>
            </w14:solidFill>
          </w14:textFill>
        </w:rPr>
      </w:pPr>
    </w:p>
    <w:p w14:paraId="41CA04D2">
      <w:pPr>
        <w:adjustRightInd w:val="0"/>
        <w:snapToGrid w:val="0"/>
        <w:spacing w:line="360" w:lineRule="auto"/>
        <w:ind w:firstLine="480" w:firstLineChars="200"/>
        <w:jc w:val="left"/>
        <w:rPr>
          <w:rFonts w:hint="eastAsia" w:ascii="宋体" w:hAnsi="宋体" w:eastAsia="宋体" w:cs="宋体"/>
          <w:color w:val="000000"/>
          <w:sz w:val="24"/>
          <w:lang w:val="en-US" w:eastAsia="zh-CN"/>
        </w:rPr>
      </w:pPr>
      <w:r>
        <w:rPr>
          <w:rFonts w:hAnsi="宋体" w:cs="宋体"/>
          <w:color w:val="000000" w:themeColor="text1"/>
          <w:sz w:val="24"/>
          <w:szCs w:val="24"/>
          <w14:textFill>
            <w14:solidFill>
              <w14:schemeClr w14:val="tx1"/>
            </w14:solidFill>
          </w14:textFill>
        </w:rPr>
        <w:t xml:space="preserve"> </w:t>
      </w:r>
      <w:r>
        <w:rPr>
          <w:rFonts w:hAnsi="宋体" w:cs="宋体"/>
          <w:color w:val="000000" w:themeColor="text1"/>
          <w:sz w:val="24"/>
          <w:szCs w:val="24"/>
          <w:u w:val="single"/>
          <w14:textFill>
            <w14:solidFill>
              <w14:schemeClr w14:val="tx1"/>
            </w14:solidFill>
          </w14:textFill>
        </w:rPr>
        <w:t xml:space="preserve">     </w:t>
      </w:r>
      <w:r>
        <w:rPr>
          <w:rFonts w:hAnsi="宋体" w:cs="宋体"/>
          <w:color w:val="000000" w:themeColor="text1"/>
          <w:sz w:val="24"/>
          <w:szCs w:val="24"/>
          <w14:textFill>
            <w14:solidFill>
              <w14:schemeClr w14:val="tx1"/>
            </w14:solidFill>
          </w14:textFill>
        </w:rPr>
        <w:t xml:space="preserve">年 </w:t>
      </w:r>
      <w:r>
        <w:rPr>
          <w:rFonts w:hAnsi="宋体" w:cs="宋体"/>
          <w:color w:val="000000" w:themeColor="text1"/>
          <w:sz w:val="24"/>
          <w:szCs w:val="24"/>
          <w:u w:val="single"/>
          <w14:textFill>
            <w14:solidFill>
              <w14:schemeClr w14:val="tx1"/>
            </w14:solidFill>
          </w14:textFill>
        </w:rPr>
        <w:t xml:space="preserve">    </w:t>
      </w:r>
      <w:r>
        <w:rPr>
          <w:rFonts w:hAnsi="宋体" w:cs="宋体"/>
          <w:color w:val="000000" w:themeColor="text1"/>
          <w:sz w:val="24"/>
          <w:szCs w:val="24"/>
          <w14:textFill>
            <w14:solidFill>
              <w14:schemeClr w14:val="tx1"/>
            </w14:solidFill>
          </w14:textFill>
        </w:rPr>
        <w:t xml:space="preserve"> 月 </w:t>
      </w:r>
      <w:r>
        <w:rPr>
          <w:rFonts w:hAnsi="宋体" w:cs="宋体"/>
          <w:color w:val="000000" w:themeColor="text1"/>
          <w:sz w:val="24"/>
          <w:szCs w:val="24"/>
          <w:u w:val="single"/>
          <w14:textFill>
            <w14:solidFill>
              <w14:schemeClr w14:val="tx1"/>
            </w14:solidFill>
          </w14:textFill>
        </w:rPr>
        <w:t xml:space="preserve">   </w:t>
      </w:r>
      <w:r>
        <w:rPr>
          <w:rFonts w:hAnsi="宋体" w:cs="宋体"/>
          <w:color w:val="000000" w:themeColor="text1"/>
          <w:sz w:val="24"/>
          <w:szCs w:val="24"/>
          <w14:textFill>
            <w14:solidFill>
              <w14:schemeClr w14:val="tx1"/>
            </w14:solidFill>
          </w14:textFill>
        </w:rPr>
        <w:t xml:space="preserve"> 日                   </w:t>
      </w:r>
      <w:r>
        <w:rPr>
          <w:rFonts w:hAnsi="宋体" w:cs="宋体"/>
          <w:color w:val="000000" w:themeColor="text1"/>
          <w:sz w:val="24"/>
          <w:szCs w:val="24"/>
          <w:u w:val="single"/>
          <w14:textFill>
            <w14:solidFill>
              <w14:schemeClr w14:val="tx1"/>
            </w14:solidFill>
          </w14:textFill>
        </w:rPr>
        <w:t xml:space="preserve">      </w:t>
      </w:r>
      <w:r>
        <w:rPr>
          <w:rFonts w:hAnsi="宋体" w:cs="宋体"/>
          <w:color w:val="000000" w:themeColor="text1"/>
          <w:sz w:val="24"/>
          <w:szCs w:val="24"/>
          <w14:textFill>
            <w14:solidFill>
              <w14:schemeClr w14:val="tx1"/>
            </w14:solidFill>
          </w14:textFill>
        </w:rPr>
        <w:t xml:space="preserve"> 年 </w:t>
      </w:r>
      <w:r>
        <w:rPr>
          <w:rFonts w:hAnsi="宋体" w:cs="宋体"/>
          <w:color w:val="000000" w:themeColor="text1"/>
          <w:sz w:val="24"/>
          <w:szCs w:val="24"/>
          <w:u w:val="single"/>
          <w14:textFill>
            <w14:solidFill>
              <w14:schemeClr w14:val="tx1"/>
            </w14:solidFill>
          </w14:textFill>
        </w:rPr>
        <w:t xml:space="preserve">    </w:t>
      </w:r>
      <w:r>
        <w:rPr>
          <w:rFonts w:hAnsi="宋体" w:cs="宋体"/>
          <w:color w:val="000000" w:themeColor="text1"/>
          <w:sz w:val="24"/>
          <w:szCs w:val="24"/>
          <w14:textFill>
            <w14:solidFill>
              <w14:schemeClr w14:val="tx1"/>
            </w14:solidFill>
          </w14:textFill>
        </w:rPr>
        <w:t xml:space="preserve"> 月 </w:t>
      </w:r>
      <w:r>
        <w:rPr>
          <w:rFonts w:hAnsi="宋体" w:cs="宋体"/>
          <w:color w:val="000000" w:themeColor="text1"/>
          <w:sz w:val="24"/>
          <w:szCs w:val="24"/>
          <w:u w:val="single"/>
          <w14:textFill>
            <w14:solidFill>
              <w14:schemeClr w14:val="tx1"/>
            </w14:solidFill>
          </w14:textFill>
        </w:rPr>
        <w:t xml:space="preserve"> </w:t>
      </w:r>
      <w:r>
        <w:rPr>
          <w:rFonts w:hint="eastAsia" w:hAnsi="宋体" w:cs="宋体"/>
          <w:color w:val="000000" w:themeColor="text1"/>
          <w:sz w:val="24"/>
          <w:szCs w:val="24"/>
          <w:u w:val="single"/>
          <w:lang w:val="en-US" w:eastAsia="zh-CN"/>
          <w14:textFill>
            <w14:solidFill>
              <w14:schemeClr w14:val="tx1"/>
            </w14:solidFill>
          </w14:textFill>
        </w:rPr>
        <w:t xml:space="preserve"> </w:t>
      </w:r>
      <w:r>
        <w:rPr>
          <w:rFonts w:hAnsi="宋体" w:cs="宋体"/>
          <w:color w:val="000000" w:themeColor="text1"/>
          <w:sz w:val="24"/>
          <w:szCs w:val="24"/>
          <w:u w:val="single"/>
          <w14:textFill>
            <w14:solidFill>
              <w14:schemeClr w14:val="tx1"/>
            </w14:solidFill>
          </w14:textFill>
        </w:rPr>
        <w:t xml:space="preserve"> </w:t>
      </w:r>
      <w:r>
        <w:rPr>
          <w:rFonts w:hint="eastAsia" w:hAnsi="宋体" w:cs="宋体"/>
          <w:color w:val="000000" w:themeColor="text1"/>
          <w:sz w:val="24"/>
          <w:szCs w:val="24"/>
          <w:u w:val="none"/>
          <w:lang w:eastAsia="zh-CN"/>
          <w14:textFill>
            <w14:solidFill>
              <w14:schemeClr w14:val="tx1"/>
            </w14:solidFill>
          </w14:textFill>
        </w:rPr>
        <w:t>日</w:t>
      </w:r>
    </w:p>
    <w:p w14:paraId="19273B56">
      <w:pPr>
        <w:adjustRightInd w:val="0"/>
        <w:snapToGrid w:val="0"/>
        <w:spacing w:line="360" w:lineRule="auto"/>
        <w:ind w:firstLine="480" w:firstLineChars="200"/>
        <w:jc w:val="left"/>
        <w:rPr>
          <w:rFonts w:ascii="宋体" w:hAnsi="宋体" w:cs="宋体"/>
          <w:color w:val="000000"/>
          <w:sz w:val="24"/>
          <w:szCs w:val="24"/>
        </w:rPr>
      </w:pPr>
    </w:p>
    <w:p w14:paraId="64B7178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4AFE2E">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700A72">
                          <w:pPr>
                            <w:pStyle w:val="5"/>
                          </w:pPr>
                          <w:r>
                            <w:t xml:space="preserve">第 </w:t>
                          </w:r>
                          <w:r>
                            <w:fldChar w:fldCharType="begin"/>
                          </w:r>
                          <w:r>
                            <w:instrText xml:space="preserve"> PAGE  \* MERGEFORMAT </w:instrText>
                          </w:r>
                          <w:r>
                            <w:fldChar w:fldCharType="separate"/>
                          </w:r>
                          <w:r>
                            <w:t>- 1 -</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E700A72">
                    <w:pPr>
                      <w:pStyle w:val="5"/>
                    </w:pPr>
                    <w:r>
                      <w:t xml:space="preserve">第 </w:t>
                    </w:r>
                    <w:r>
                      <w:fldChar w:fldCharType="begin"/>
                    </w:r>
                    <w:r>
                      <w:instrText xml:space="preserve"> PAGE  \* MERGEFORMAT </w:instrText>
                    </w:r>
                    <w:r>
                      <w:fldChar w:fldCharType="separate"/>
                    </w:r>
                    <w:r>
                      <w:t>- 1 -</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39C44F">
    <w:pPr>
      <w:pStyle w:val="5"/>
      <w:rPr>
        <w:rFonts w:asciiTheme="minorEastAsia" w:hAnsiTheme="minorEastAsia" w:eastAsiaTheme="minorEastAsia" w:cstheme="minorEastAsia"/>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0EF8251">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14:paraId="10EF8251">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1D0385">
    <w:pPr>
      <w:pStyle w:val="6"/>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M3YzY2MTJlM2NiOWMzYTQ2OTAxM2ExNTQ1NzRkYTQifQ=="/>
  </w:docVars>
  <w:rsids>
    <w:rsidRoot w:val="537B1D54"/>
    <w:rsid w:val="06BE5BCE"/>
    <w:rsid w:val="1E3B66EA"/>
    <w:rsid w:val="240E0A6F"/>
    <w:rsid w:val="25503DB4"/>
    <w:rsid w:val="537B1D54"/>
    <w:rsid w:val="76ED4B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9"/>
    <w:pPr>
      <w:keepNext/>
      <w:jc w:val="center"/>
      <w:outlineLvl w:val="0"/>
    </w:pPr>
    <w:rPr>
      <w:rFonts w:ascii="Times New Roman" w:hAnsi="Times New Roman" w:eastAsia="黑体"/>
      <w:b/>
      <w:kern w:val="0"/>
      <w:sz w:val="32"/>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after="120" w:afterLines="0" w:line="480" w:lineRule="auto"/>
      <w:ind w:left="420" w:leftChars="200"/>
    </w:pPr>
  </w:style>
  <w:style w:type="paragraph" w:styleId="4">
    <w:name w:val="Body Text"/>
    <w:basedOn w:val="1"/>
    <w:next w:val="1"/>
    <w:qFormat/>
    <w:uiPriority w:val="0"/>
    <w:pPr>
      <w:spacing w:after="120"/>
    </w:pPr>
    <w:rPr>
      <w:szCs w:val="24"/>
    </w:rPr>
  </w:style>
  <w:style w:type="paragraph" w:styleId="5">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6">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customStyle="1" w:styleId="9">
    <w:name w:val="BodyText"/>
    <w:basedOn w:val="1"/>
    <w:next w:val="1"/>
    <w:qFormat/>
    <w:uiPriority w:val="0"/>
    <w:pPr>
      <w:jc w:val="both"/>
      <w:textAlignment w:val="baseline"/>
    </w:pPr>
    <w:rPr>
      <w:rFonts w:ascii="宋体" w:hAnsi="宋体"/>
      <w:kern w:val="2"/>
      <w:sz w:val="21"/>
      <w:szCs w:val="21"/>
      <w:lang w:val="zh-CN" w:eastAsia="zh-CN" w:bidi="zh-CN"/>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6256</Words>
  <Characters>6337</Characters>
  <Lines>0</Lines>
  <Paragraphs>0</Paragraphs>
  <TotalTime>1</TotalTime>
  <ScaleCrop>false</ScaleCrop>
  <LinksUpToDate>false</LinksUpToDate>
  <CharactersWithSpaces>7151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2024-09-09T07:10:00Z</dcterms:created>
  <dc:creator>sissi斯域</dc:creator>
  <cp:lastModifiedBy>sissi斯域</cp:lastModifiedBy>
  <dcterms:modified xsi:type="dcterms:W3CDTF">2024-09-24T09:28:27Z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6E702C37547243139A0E0B7ED72C80C0_13</vt:lpwstr>
  </property>
</Properties>
</file>