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BCA44">
      <w:pPr>
        <w:pStyle w:val="3"/>
        <w:keepNext w:val="0"/>
        <w:keepLines w:val="0"/>
        <w:ind w:firstLine="1606" w:firstLineChars="500"/>
        <w:jc w:val="both"/>
        <w:rPr>
          <w:rFonts w:hint="eastAsia" w:ascii="宋体" w:hAnsi="宋体"/>
        </w:rPr>
      </w:pPr>
      <w:r>
        <w:rPr>
          <w:rFonts w:hint="eastAsia" w:ascii="宋体" w:hAnsi="宋体"/>
          <w:sz w:val="32"/>
          <w:szCs w:val="32"/>
        </w:rPr>
        <w:t>商务及合同主要条款（参考）</w:t>
      </w:r>
    </w:p>
    <w:p w14:paraId="240B1D89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一、合同内容及金额：即成交供应商的磋商内容及其成交总金额。</w:t>
      </w:r>
    </w:p>
    <w:p w14:paraId="4462701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二、产品技术规格、数量：即交付的产品技术规格、型号、数量与响应文件所指明的，或者与本合同所指明的产品技术规格及型号相一致。</w:t>
      </w:r>
    </w:p>
    <w:p w14:paraId="0073D82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三、知识产权：即成交供应商应保证采购人在使用成交货物时，不承担任何涉及知识产权法律诉讼的责任。</w:t>
      </w:r>
    </w:p>
    <w:p w14:paraId="2C242ED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</w:t>
      </w:r>
      <w:r>
        <w:rPr>
          <w:rFonts w:hint="eastAsia" w:ascii="宋体" w:hAnsi="宋体" w:cs="宋体"/>
          <w:sz w:val="24"/>
          <w:lang w:eastAsia="zh-CN"/>
        </w:rPr>
        <w:t>交货期</w:t>
      </w:r>
      <w:r>
        <w:rPr>
          <w:rFonts w:hint="eastAsia" w:ascii="宋体" w:hAnsi="宋体" w:cs="宋体"/>
          <w:sz w:val="24"/>
        </w:rPr>
        <w:t xml:space="preserve">：文件要求的时间                                  </w:t>
      </w:r>
    </w:p>
    <w:p w14:paraId="7449F4D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成交供应商未征得采购人同意和谅解而单方面延迟</w:t>
      </w:r>
      <w:r>
        <w:rPr>
          <w:rFonts w:hint="eastAsia" w:ascii="宋体" w:hAnsi="宋体" w:cs="宋体"/>
          <w:sz w:val="24"/>
          <w:lang w:eastAsia="zh-CN"/>
        </w:rPr>
        <w:t>交货</w:t>
      </w:r>
      <w:r>
        <w:rPr>
          <w:rFonts w:hint="eastAsia" w:ascii="宋体" w:hAnsi="宋体" w:cs="宋体"/>
          <w:sz w:val="24"/>
        </w:rPr>
        <w:t>，将按违约终止合同。</w:t>
      </w:r>
    </w:p>
    <w:p w14:paraId="3D915C39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</w:rPr>
        <w:t>成交供应商遇到可能妨碍按时</w:t>
      </w:r>
      <w:r>
        <w:rPr>
          <w:rFonts w:hint="eastAsia" w:ascii="宋体" w:hAnsi="宋体" w:cs="宋体"/>
          <w:sz w:val="24"/>
          <w:lang w:eastAsia="zh-CN"/>
        </w:rPr>
        <w:t>交货</w:t>
      </w:r>
      <w:r>
        <w:rPr>
          <w:rFonts w:hint="eastAsia" w:ascii="宋体" w:hAnsi="宋体" w:cs="宋体"/>
          <w:sz w:val="24"/>
        </w:rPr>
        <w:t>和提供服务的情况，应当及时以书面形式通知采购人，说明原由、拖延的期限等；采购人、采购代理机构在收到通知后，尽快进行情况评估并确定是否通过修改合同，酌情延长</w:t>
      </w:r>
      <w:r>
        <w:rPr>
          <w:rFonts w:hint="eastAsia" w:ascii="宋体" w:hAnsi="宋体" w:cs="宋体"/>
          <w:sz w:val="24"/>
          <w:lang w:eastAsia="zh-CN"/>
        </w:rPr>
        <w:t>交货</w:t>
      </w:r>
      <w:r>
        <w:rPr>
          <w:rFonts w:hint="eastAsia" w:ascii="宋体" w:hAnsi="宋体" w:cs="宋体"/>
          <w:sz w:val="24"/>
        </w:rPr>
        <w:t>时间或者通过协商加收误期赔偿金。</w:t>
      </w:r>
      <w:bookmarkStart w:id="0" w:name="_GoBack"/>
    </w:p>
    <w:p w14:paraId="3A28A722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五、实</w:t>
      </w:r>
      <w:r>
        <w:rPr>
          <w:rFonts w:hint="eastAsia" w:ascii="宋体" w:hAnsi="宋体" w:cs="宋体"/>
          <w:color w:val="auto"/>
          <w:sz w:val="24"/>
        </w:rPr>
        <w:t>施地点：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陕西国防工业职业技术学院指定地点</w:t>
      </w:r>
    </w:p>
    <w:p w14:paraId="6F05B54B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六、结算方式：银行转账</w:t>
      </w:r>
    </w:p>
    <w:p w14:paraId="21FCF105">
      <w:pPr>
        <w:tabs>
          <w:tab w:val="left" w:pos="840"/>
          <w:tab w:val="clear" w:pos="480"/>
        </w:tabs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1、结算单位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>采购人结算。</w:t>
      </w:r>
    </w:p>
    <w:p w14:paraId="2E14E50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cs="宋体"/>
          <w:color w:val="auto"/>
          <w:sz w:val="24"/>
        </w:rPr>
        <w:t>付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款方式：全部货物安装、调试、试运行并验收合格后，甲方一次性结清合同款。达到付款条件起 30 日内，支付合同总金额的 100.00%。</w:t>
      </w:r>
    </w:p>
    <w:p w14:paraId="00F64DE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3、成交供应商在签订合同前向学校缴纳5%的履约保证金，安装调试经学校验收合格后履约保证金无息退还。</w:t>
      </w:r>
    </w:p>
    <w:p w14:paraId="0F0E4BF4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七、包装：</w:t>
      </w:r>
      <w:r>
        <w:rPr>
          <w:rFonts w:hint="eastAsia" w:ascii="宋体" w:hAnsi="宋体"/>
          <w:color w:val="auto"/>
          <w:sz w:val="24"/>
        </w:rPr>
        <w:t>包装必须适应货物特性和交通运输要求，以及国家有关标准或企业标准或合同要求。</w:t>
      </w:r>
      <w:r>
        <w:rPr>
          <w:rFonts w:hint="eastAsia" w:ascii="宋体" w:hAnsi="宋体"/>
          <w:color w:val="auto"/>
          <w:sz w:val="24"/>
          <w:lang w:val="en-US" w:eastAsia="zh-CN"/>
        </w:rPr>
        <w:t>成交供应商</w:t>
      </w:r>
      <w:r>
        <w:rPr>
          <w:rFonts w:hint="eastAsia" w:ascii="宋体" w:hAnsi="宋体"/>
          <w:color w:val="auto"/>
          <w:sz w:val="24"/>
        </w:rPr>
        <w:t>应承担于包装、防护措施不妥引起的所有损失的责任和费用</w:t>
      </w:r>
      <w:r>
        <w:rPr>
          <w:rFonts w:hint="eastAsia" w:ascii="宋体" w:hAnsi="宋体" w:cs="宋体"/>
          <w:color w:val="auto"/>
          <w:sz w:val="24"/>
        </w:rPr>
        <w:t>。</w:t>
      </w:r>
    </w:p>
    <w:bookmarkEnd w:id="0"/>
    <w:p w14:paraId="5EED4257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八、运输：成交供应商可根据</w:t>
      </w:r>
      <w:r>
        <w:rPr>
          <w:rFonts w:hint="eastAsia" w:ascii="宋体" w:hAnsi="宋体" w:cs="宋体"/>
          <w:color w:val="auto"/>
          <w:sz w:val="24"/>
          <w:lang w:eastAsia="zh-CN"/>
        </w:rPr>
        <w:t>交货期</w:t>
      </w:r>
      <w:r>
        <w:rPr>
          <w:rFonts w:hint="eastAsia" w:ascii="宋体" w:hAnsi="宋体" w:cs="宋体"/>
          <w:color w:val="auto"/>
          <w:sz w:val="24"/>
        </w:rPr>
        <w:t>、运输条件自行选择运输方式（另有规定的除外），承担一切运输费用。</w:t>
      </w:r>
    </w:p>
    <w:p w14:paraId="33CDABA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auto"/>
          <w:sz w:val="24"/>
        </w:rPr>
        <w:t>九、技术保障：成交供应商应随同货物提供相应的中文技术文件（包括产品合格证、装箱清单、操作手册、使用说明、检测报告、维护手册</w:t>
      </w:r>
      <w:r>
        <w:rPr>
          <w:rFonts w:hint="eastAsia" w:ascii="宋体" w:hAnsi="宋体" w:cs="宋体"/>
          <w:sz w:val="24"/>
        </w:rPr>
        <w:t>、服务指南等资料）,现场安装、调试、试运行技术保障服务。</w:t>
      </w:r>
    </w:p>
    <w:p w14:paraId="1E427EA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十、人员培训：提供免费培训，人数、地点按采购人的要求约定。</w:t>
      </w:r>
    </w:p>
    <w:p w14:paraId="4EF4D83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十一、质量保证</w:t>
      </w:r>
    </w:p>
    <w:p w14:paraId="170B2A5E">
      <w:pPr>
        <w:spacing w:line="360" w:lineRule="auto"/>
        <w:ind w:left="1"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1、成交供应商使用的原材料应提供清单，并在到货24小时内通知采购人代表检验核实（具体方式在合同中明确）。</w:t>
      </w:r>
    </w:p>
    <w:p w14:paraId="68F21400">
      <w:pPr>
        <w:spacing w:line="360" w:lineRule="auto"/>
        <w:ind w:left="1"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55A952AD">
      <w:pPr>
        <w:spacing w:line="360" w:lineRule="auto"/>
        <w:ind w:left="1"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3、在质保期内，如果发现货物的质量、规格、技术指标等存在与合同中任何一项不符，采购人应在最短时间内，以书面形式向成交供应商提出索赔，同时通告采购代理机构。</w:t>
      </w:r>
    </w:p>
    <w:p w14:paraId="2903D57B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4、成交供应商应当明确售后服务公约，承诺免费维修服务条件。</w:t>
      </w:r>
    </w:p>
    <w:p w14:paraId="6C14DFB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十二、采购项目执行内容需要调整时，经采购人同意后，可以对相应的原材料进行调整，并协商确定价格差额计算方法和负担办法。</w:t>
      </w:r>
    </w:p>
    <w:p w14:paraId="42C1C06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十三、产品设计变更</w:t>
      </w:r>
    </w:p>
    <w:p w14:paraId="5D7E2945">
      <w:pPr>
        <w:spacing w:line="360" w:lineRule="auto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14:paraId="6A04EAB0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十四、检验：在交货前，制造商应当对产品的质量、规格、数量等进行准确而全面的检验，出具合格证并封装；产品送达指定地点后，成交供应商、采购人须在约定的时间和地点共同开箱检验。</w:t>
      </w:r>
    </w:p>
    <w:p w14:paraId="4CB141F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十五、验收：</w:t>
      </w:r>
    </w:p>
    <w:p w14:paraId="4E27D984">
      <w:pPr>
        <w:spacing w:line="360" w:lineRule="auto"/>
        <w:ind w:firstLine="720" w:firstLineChars="3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初验:</w:t>
      </w:r>
      <w:r>
        <w:rPr>
          <w:rFonts w:hint="eastAsia" w:ascii="宋体" w:hAnsi="宋体"/>
          <w:color w:val="auto"/>
          <w:sz w:val="24"/>
        </w:rPr>
        <w:t>通过检验的产品</w:t>
      </w:r>
      <w:r>
        <w:rPr>
          <w:rFonts w:hint="eastAsia" w:ascii="宋体" w:hAnsi="宋体"/>
          <w:color w:val="auto"/>
          <w:sz w:val="24"/>
          <w:lang w:val="en-US" w:eastAsia="zh-CN"/>
        </w:rPr>
        <w:t>,供应商根据合同、计划任务书、检查总结项目完成情况后向采购人提出初验申请；</w:t>
      </w:r>
      <w:r>
        <w:rPr>
          <w:rFonts w:hint="eastAsia" w:ascii="宋体" w:hAnsi="宋体"/>
          <w:color w:val="auto"/>
          <w:sz w:val="24"/>
        </w:rPr>
        <w:t>达到使用条件时由采购人负责组织验收，或者邀请有关专家、质检机构、采购代理机构共同进行验收；</w:t>
      </w:r>
    </w:p>
    <w:p w14:paraId="30BAA94C">
      <w:pPr>
        <w:spacing w:line="360" w:lineRule="auto"/>
        <w:ind w:firstLine="720" w:firstLineChars="3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终验：</w:t>
      </w:r>
      <w:r>
        <w:rPr>
          <w:rFonts w:hint="eastAsia" w:ascii="宋体" w:hAnsi="宋体"/>
          <w:color w:val="auto"/>
          <w:sz w:val="24"/>
        </w:rPr>
        <w:t>验收合格须交接项目实施的全部资料，并填写政府采购项目验收报告单。验收须以合同、</w:t>
      </w:r>
      <w:r>
        <w:rPr>
          <w:rFonts w:hint="eastAsia" w:ascii="宋体" w:hAnsi="宋体"/>
          <w:color w:val="auto"/>
          <w:sz w:val="24"/>
          <w:lang w:val="en-US" w:eastAsia="zh-CN"/>
        </w:rPr>
        <w:t>谈判</w:t>
      </w:r>
      <w:r>
        <w:rPr>
          <w:rFonts w:hint="eastAsia" w:ascii="宋体" w:hAnsi="宋体"/>
          <w:color w:val="auto"/>
          <w:sz w:val="24"/>
        </w:rPr>
        <w:t>文件及响应文件、澄清、及国家相应的标准、规范等为依据。</w:t>
      </w:r>
    </w:p>
    <w:p w14:paraId="388F3D35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十六、合同争议的解决：合同执行中发生争议的，当事人双方应协商解决，协商达不成一致时，可向人民法院提请诉讼。</w:t>
      </w:r>
    </w:p>
    <w:p w14:paraId="5C30636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十七、在发生不可抗力情况下的应对措施和解决办法。</w:t>
      </w:r>
    </w:p>
    <w:p w14:paraId="74405D5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59D2FD9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十九、违约责任：依据《中华人民共</w:t>
      </w:r>
      <w:r>
        <w:rPr>
          <w:rFonts w:hint="eastAsia" w:ascii="宋体" w:hAnsi="宋体" w:cs="宋体"/>
          <w:color w:val="auto"/>
          <w:sz w:val="24"/>
        </w:rPr>
        <w:t>和国民法典》、《中</w:t>
      </w:r>
      <w:r>
        <w:rPr>
          <w:rFonts w:hint="eastAsia" w:ascii="宋体" w:hAnsi="宋体" w:cs="宋体"/>
          <w:sz w:val="24"/>
        </w:rPr>
        <w:t>华人民共和国招投标法》的相关条款和本合同约定，成交供应商未全面履行合同义务或者发生违约，采购人会同采购代理机构有权终止合同，依法向成交供应商进行经济索赔，并报请监督管理机关进行相应的行政处罚。采购人违约的，应当赔偿给成交供应商造成的经济损失。</w:t>
      </w:r>
    </w:p>
    <w:p w14:paraId="285472DC">
      <w:pPr>
        <w:tabs>
          <w:tab w:val="left" w:pos="980"/>
          <w:tab w:val="clear" w:pos="480"/>
        </w:tabs>
        <w:kinsoku w:val="0"/>
        <w:spacing w:line="360" w:lineRule="auto"/>
        <w:ind w:firstLine="56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二十、本合同一式</w:t>
      </w:r>
      <w:r>
        <w:rPr>
          <w:rFonts w:hint="eastAsia" w:ascii="宋体" w:hAnsi="宋体" w:cs="宋体"/>
          <w:sz w:val="24"/>
          <w:lang w:val="en-US" w:eastAsia="zh-CN"/>
        </w:rPr>
        <w:t>玖</w:t>
      </w:r>
      <w:r>
        <w:rPr>
          <w:rFonts w:hint="eastAsia" w:ascii="宋体" w:hAnsi="宋体" w:cs="宋体"/>
          <w:sz w:val="24"/>
        </w:rPr>
        <w:t>份，甲方陆份、乙方贰份，采购代理机构壹份。签字盖章后生效，合同执行完毕自动失效（合同的服务承诺则长期有效）。</w:t>
      </w:r>
    </w:p>
    <w:p w14:paraId="61AD3A0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二十一、其它（在合同中具体明确）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120AD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6C14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53E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  方</w:t>
            </w:r>
          </w:p>
        </w:tc>
      </w:tr>
      <w:tr w14:paraId="052C3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C2F1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68DA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成交供应商全称</w:t>
            </w:r>
          </w:p>
          <w:p w14:paraId="180448E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</w:tr>
      <w:tr w14:paraId="039DA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BE66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6D5D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</w:tr>
      <w:tr w14:paraId="2CCC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1E25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593C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</w:tr>
      <w:tr w14:paraId="0F9C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FC69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92F4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</w:tr>
      <w:tr w14:paraId="47600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CAEE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2D0A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被授权代表：（签字）</w:t>
            </w:r>
          </w:p>
        </w:tc>
      </w:tr>
      <w:tr w14:paraId="45D5F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0134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9FD9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</w:tr>
      <w:tr w14:paraId="021A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F2C9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B33E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</w:tr>
      <w:tr w14:paraId="1E3B5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F399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8893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开户银行：</w:t>
            </w:r>
          </w:p>
        </w:tc>
      </w:tr>
      <w:tr w14:paraId="01AC4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92A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164A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账号:</w:t>
            </w:r>
          </w:p>
        </w:tc>
      </w:tr>
      <w:tr w14:paraId="66BBA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4914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3B35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</w:tr>
    </w:tbl>
    <w:p w14:paraId="3CECC81D">
      <w:pPr>
        <w:pStyle w:val="18"/>
        <w:rPr>
          <w:rFonts w:hint="eastAsia"/>
          <w:lang w:val="en-US" w:eastAsia="zh-Hans"/>
        </w:rPr>
      </w:pPr>
    </w:p>
    <w:p w14:paraId="233FA00F">
      <w:pPr>
        <w:rPr>
          <w:rFonts w:hint="eastAsia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9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3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C833AFC"/>
    <w:rsid w:val="0D644DF8"/>
    <w:rsid w:val="108C1CB0"/>
    <w:rsid w:val="22E8305F"/>
    <w:rsid w:val="24FB07BE"/>
    <w:rsid w:val="3626024B"/>
    <w:rsid w:val="3D510A70"/>
    <w:rsid w:val="53F20D8F"/>
    <w:rsid w:val="55B160F8"/>
    <w:rsid w:val="68A55E8B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3">
    <w:name w:val="heading 1"/>
    <w:basedOn w:val="1"/>
    <w:next w:val="1"/>
    <w:link w:val="17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1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2">
    <w:name w:val="Body Text First Indent"/>
    <w:basedOn w:val="4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3">
    <w:name w:val="Body Text First Indent 2"/>
    <w:basedOn w:val="5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5">
    <w:name w:val="Table Grid"/>
    <w:basedOn w:val="1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1 Char"/>
    <w:link w:val="3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1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0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1">
    <w:name w:val="List Paragraph"/>
    <w:basedOn w:val="1"/>
    <w:next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967</Words>
  <Characters>985</Characters>
  <Lines>0</Lines>
  <Paragraphs>0</Paragraphs>
  <TotalTime>0</TotalTime>
  <ScaleCrop>false</ScaleCrop>
  <LinksUpToDate>false</LinksUpToDate>
  <CharactersWithSpaces>1006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2024-09-26T08:28:50Z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896E69AB191347A886DF4B267DDD3376_12</vt:lpwstr>
  </property>
</Properties>
</file>