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版本号：240927001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陕西省大货车交通安全智能管理服务平台建设项目</w:t>
      </w:r>
    </w:p>
    <w:p>
      <w:pPr>
        <w:pStyle w:val="null3"/>
        <w:jc w:val="center"/>
        <w:outlineLvl w:val="2"/>
      </w:pPr>
      <w:r>
        <w:rPr>
          <w:sz w:val="28"/>
          <w:b/>
        </w:rPr>
        <w:t>采购项目编号：</w:t>
      </w:r>
      <w:r>
        <w:rPr>
          <w:sz w:val="28"/>
          <w:b/>
        </w:rPr>
        <w:t>GHZC2024-07-012</w:t>
      </w:r>
      <w:r>
        <w:br/>
      </w:r>
      <w:r>
        <w:br/>
      </w:r>
      <w:r>
        <w:br/>
      </w:r>
    </w:p>
    <w:p>
      <w:pPr>
        <w:pStyle w:val="null3"/>
        <w:jc w:val="center"/>
        <w:outlineLvl w:val="2"/>
      </w:pPr>
      <w:r>
        <w:rPr>
          <w:sz w:val="28"/>
          <w:b/>
        </w:rPr>
        <w:t>陕西省公安厅交通警察总队</w:t>
      </w:r>
    </w:p>
    <w:p>
      <w:pPr>
        <w:pStyle w:val="null3"/>
        <w:jc w:val="center"/>
        <w:outlineLvl w:val="2"/>
      </w:pPr>
      <w:r>
        <w:rPr>
          <w:sz w:val="28"/>
          <w:b/>
        </w:rPr>
        <w:t>陕西国华项目管理有限公司</w:t>
      </w:r>
      <w:r>
        <w:rPr>
          <w:sz w:val="28"/>
          <w:b/>
        </w:rPr>
        <w:t>共同编制</w:t>
      </w:r>
    </w:p>
    <w:p>
      <w:pPr>
        <w:pStyle w:val="null3"/>
        <w:jc w:val="center"/>
        <w:outlineLvl w:val="2"/>
      </w:pPr>
      <w:r>
        <w:rPr>
          <w:sz w:val="28"/>
          <w:b/>
        </w:rPr>
        <w:t>2024年09月27日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陕西国华项目管理有限公司</w:t>
      </w:r>
      <w:r>
        <w:rPr/>
        <w:t>（以下简称“代理机构”）受</w:t>
      </w:r>
      <w:r>
        <w:rPr/>
        <w:t>陕西省公安厅交通警察总队</w:t>
      </w:r>
      <w:r>
        <w:rPr/>
        <w:t>委托，拟对</w:t>
      </w:r>
      <w:r>
        <w:rPr/>
        <w:t>陕西省大货车交通安全智能管理服务平台建设项目</w:t>
      </w:r>
      <w:r>
        <w:rPr/>
        <w:t>进行国内公开招标，兹邀请符合本次招标要求的供应商参加投标。</w:t>
      </w:r>
    </w:p>
    <w:p>
      <w:pPr>
        <w:pStyle w:val="null3"/>
        <w:outlineLvl w:val="2"/>
      </w:pPr>
      <w:r>
        <w:rPr>
          <w:sz w:val="28"/>
          <w:b/>
        </w:rPr>
        <w:t>一、采购项目编号：</w:t>
      </w:r>
      <w:r>
        <w:rPr>
          <w:sz w:val="28"/>
          <w:b/>
        </w:rPr>
        <w:t>GHZC2024-07-012</w:t>
      </w:r>
    </w:p>
    <w:p>
      <w:pPr>
        <w:pStyle w:val="null3"/>
        <w:outlineLvl w:val="2"/>
      </w:pPr>
      <w:r>
        <w:rPr>
          <w:sz w:val="28"/>
          <w:b/>
        </w:rPr>
        <w:t>二、采购项目名称：</w:t>
      </w:r>
      <w:r>
        <w:rPr>
          <w:sz w:val="28"/>
          <w:b/>
        </w:rPr>
        <w:t>陕西省大货车交通安全智能管理服务平台建设项目</w:t>
      </w:r>
    </w:p>
    <w:p>
      <w:pPr>
        <w:pStyle w:val="null3"/>
        <w:outlineLvl w:val="2"/>
      </w:pPr>
      <w:r>
        <w:rPr>
          <w:sz w:val="28"/>
          <w:b/>
        </w:rPr>
        <w:t>三、招标项目简介</w:t>
      </w:r>
    </w:p>
    <w:p>
      <w:pPr>
        <w:pStyle w:val="null3"/>
        <w:ind w:firstLine="480"/>
      </w:pPr>
      <w:r>
        <w:rPr/>
        <w:t>为进一步加强大货车道路安全管理工作，预防和减少道路交通事故，有效推动事故预防“减量控大”工作，按照全省公安交管高质量发展工作任务要求，拟建设全省大货车交通安全智能管理平台。</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采购包1（陕西省大货车交通安全智能管理服务平台建设项目）：属于专门面向中小企业采购。</w:t>
      </w:r>
    </w:p>
    <w:p>
      <w:pPr>
        <w:pStyle w:val="null3"/>
        <w:ind w:firstLine="480"/>
      </w:pPr>
      <w:r>
        <w:rPr/>
        <w:t>（三）本项目的特定资格要求：</w:t>
      </w:r>
    </w:p>
    <w:p>
      <w:pPr>
        <w:pStyle w:val="null3"/>
      </w:pPr>
      <w:r>
        <w:rPr/>
        <w:t>采购包1：</w:t>
      </w:r>
    </w:p>
    <w:p>
      <w:pPr>
        <w:pStyle w:val="null3"/>
      </w:pPr>
      <w:r>
        <w:rPr/>
        <w:t>1、“信用中国”网站和中国政府采购网 （www.ccgp.gov.cn）查询记录：未被列入“信用中国”网站(www.creditchina.gov.cn)失信被执行人名单、重大税收违法失信主体、未被列入“中国政府采购网”（www.ccgp.gov.cn）政府采购严重违法失信行为记录名单（以现场查询为准）；</w:t>
      </w:r>
    </w:p>
    <w:p>
      <w:pPr>
        <w:pStyle w:val="null3"/>
      </w:pPr>
      <w:r>
        <w:rPr/>
        <w:t>2、法定代表人授权书：法定代表人授权书及被授权人身份证。（法定代表人直接投标只须提供其身份证明）；供应商需在项目电子化交易系统中按要求上传相应证明文件并进行电子签章。</w:t>
      </w:r>
    </w:p>
    <w:p>
      <w:pPr>
        <w:pStyle w:val="null3"/>
      </w:pPr>
      <w:r>
        <w:rPr/>
        <w:t>3、非联合体：本项目不允许联合体投标（提供承诺函）；供应商需在项目电子化交易系统中按要求上传相应证明文件并进行电子签章。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陕西省公安厅交通警察总队</w:t>
      </w:r>
    </w:p>
    <w:p>
      <w:pPr>
        <w:pStyle w:val="null3"/>
      </w:pPr>
      <w:r>
        <w:rPr/>
        <w:t xml:space="preserve"> 地址： </w:t>
      </w:r>
      <w:r>
        <w:rPr/>
        <w:t>陕西省西安市雁塔区长安南路123号</w:t>
      </w:r>
    </w:p>
    <w:p>
      <w:pPr>
        <w:pStyle w:val="null3"/>
      </w:pPr>
      <w:r>
        <w:rPr/>
        <w:t xml:space="preserve"> 邮编： </w:t>
      </w:r>
      <w:r>
        <w:rPr/>
        <w:t>710000</w:t>
      </w:r>
    </w:p>
    <w:p>
      <w:pPr>
        <w:pStyle w:val="null3"/>
      </w:pPr>
      <w:r>
        <w:rPr/>
        <w:t xml:space="preserve"> 联系人： </w:t>
      </w:r>
      <w:r>
        <w:rPr/>
        <w:t>裴佳</w:t>
      </w:r>
    </w:p>
    <w:p>
      <w:pPr>
        <w:pStyle w:val="null3"/>
      </w:pPr>
      <w:r>
        <w:rPr/>
        <w:t xml:space="preserve"> 联系电话： </w:t>
      </w:r>
      <w:r>
        <w:rPr/>
        <w:t>029-87680153</w:t>
      </w:r>
    </w:p>
    <w:p>
      <w:pPr>
        <w:pStyle w:val="null3"/>
        <w:outlineLvl w:val="2"/>
      </w:pPr>
      <w:r>
        <w:rPr>
          <w:sz w:val="28"/>
          <w:b/>
        </w:rPr>
        <w:t>代理机构：</w:t>
      </w:r>
      <w:r>
        <w:rPr>
          <w:sz w:val="28"/>
          <w:b/>
        </w:rPr>
        <w:t>陕西国华项目管理有限公司</w:t>
      </w:r>
    </w:p>
    <w:p>
      <w:pPr>
        <w:pStyle w:val="null3"/>
      </w:pPr>
      <w:r>
        <w:rPr/>
        <w:t xml:space="preserve"> 地址： </w:t>
      </w:r>
      <w:r>
        <w:rPr/>
        <w:t>陕西省西安市经济技术开发区凤城七路长和国际A座26楼02-01室</w:t>
      </w:r>
    </w:p>
    <w:p>
      <w:pPr>
        <w:pStyle w:val="null3"/>
      </w:pPr>
      <w:r>
        <w:rPr/>
        <w:t xml:space="preserve"> 邮编： </w:t>
      </w:r>
      <w:r>
        <w:rPr/>
        <w:t>710000</w:t>
      </w:r>
    </w:p>
    <w:p>
      <w:pPr>
        <w:pStyle w:val="null3"/>
      </w:pPr>
      <w:r>
        <w:rPr/>
        <w:t xml:space="preserve"> 联系人： </w:t>
      </w:r>
      <w:r>
        <w:rPr/>
        <w:t>赵仲康</w:t>
      </w:r>
    </w:p>
    <w:p>
      <w:pPr>
        <w:pStyle w:val="null3"/>
      </w:pPr>
      <w:r>
        <w:rPr/>
        <w:t xml:space="preserve"> 联系电话： </w:t>
      </w:r>
      <w:r>
        <w:rPr/>
        <w:t>029-86269925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采购包1：6,299,900.00元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采购包1保证金金额：100,000.00元</w:t>
            </w:r>
          </w:p>
          <w:p>
            <w:pPr>
              <w:pStyle w:val="null3"/>
            </w:pPr>
            <w:r>
              <w:rPr/>
              <w:t>缴交渠道：电子保函,转账、支票、汇票等（需通过实体账户、户名及开户行信息）</w:t>
            </w:r>
          </w:p>
          <w:p>
            <w:pPr>
              <w:pStyle w:val="null3"/>
            </w:pPr>
            <w:r>
              <w:rPr/>
              <w:t>开户名称：陕西国华项目管理有限公司</w:t>
            </w:r>
          </w:p>
          <w:p>
            <w:pPr>
              <w:pStyle w:val="null3"/>
            </w:pPr>
            <w:r>
              <w:rPr/>
              <w:t>开户银行：陕西秦农农村商业银行股份有限公司丈八支行</w:t>
            </w:r>
          </w:p>
          <w:p>
            <w:pPr>
              <w:pStyle w:val="null3"/>
            </w:pPr>
            <w:r>
              <w:rPr/>
              <w:t>银行账号：2701020201201000091385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代理服务费收费标准：参照国家发展与改革委员会《招标代理服务收费暂行办法》（计价格[2002]1980号）文件的规定标准收取。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陕西省公安厅交通警察总队</w:t>
      </w:r>
      <w:r>
        <w:rPr/>
        <w:t>和</w:t>
      </w:r>
      <w:r>
        <w:rPr/>
        <w:t>陕西国华项目管理有限公司</w:t>
      </w:r>
      <w:r>
        <w:rPr/>
        <w:t>享有。对招标文件中供应商参加本次政府采购活动应当具备的条件，招标项目技术、服务、商务及其他要求，评标细则及标准由</w:t>
      </w:r>
      <w:r>
        <w:rPr/>
        <w:t>陕西省公安厅交通警察总队</w:t>
      </w:r>
      <w:r>
        <w:rPr/>
        <w:t>负责解释。除上述招标文件内容，其他内容由</w:t>
      </w:r>
      <w:r>
        <w:rPr/>
        <w:t>陕西国华项目管理有限公司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陕西省公安厅交通警察总队</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陕西国华项目管理有限公司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政府采购合同的履行、违约责任和解决争议的方法等适用《中华人民共和国民法典》。采购人按照政府采购合同规定的技术、服务、安全标准组织对供应商履约情况进行验收，并出具验收书。</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陕西国华项目管理有限公司</w:t>
      </w:r>
      <w:r>
        <w:rPr/>
        <w:t xml:space="preserve"> 负责答复；供应商对除采购需求外的采购文件的询问、质疑由</w:t>
      </w:r>
      <w:r>
        <w:rPr/>
        <w:t>陕西国华项目管理有限公司</w:t>
      </w:r>
      <w:r>
        <w:rPr/>
        <w:t xml:space="preserve"> 负责答复；供应商对采购过程、采购结果的询问、质疑由 </w:t>
      </w:r>
      <w:r>
        <w:rPr/>
        <w:t>陕西国华项目管理有限公司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联系人：赵仲康</w:t>
      </w:r>
    </w:p>
    <w:p>
      <w:pPr>
        <w:pStyle w:val="null3"/>
      </w:pPr>
      <w:r>
        <w:rPr/>
        <w:t>联系电话：029-86269925</w:t>
      </w:r>
    </w:p>
    <w:p>
      <w:pPr>
        <w:pStyle w:val="null3"/>
      </w:pPr>
      <w:r>
        <w:rPr/>
        <w:t>地址：陕西省西安市经济技术开发区凤城七路长和国际A座26楼02-01室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一、建设背景 据统计全省现有大货车运输企业2866家，车辆12.6万余辆，在陕日均运行量达21.7万余辆，近三年涉及货车的交通事故占20.1%，死亡人事故占比37.1%，三人以上事故占比53.1%，流量大，恶性事故安全风险高，事故预防压力大，重型普货等车辆的交通管理手段急需改进，如何防止大“货车”变成大“祸车”是交通管理部门需要考虑的重要课题和关键任务。 二、建设内容 本项目将协调省政务大数据局免费提供平台基础运行服务器资源；协调省交通运输厅免费提供省内卫星定位轨迹数据资源；完成陕西省大货车交通安全智能管理服务平台的定制化开发，实现运行态势、实时监控、违法研判、调查取证、虚拟卡口、语音下发、规则配置、系统管理、数据对接和执法警用APP等功能；采购交通部信息中心疲劳驾驶车辆的省外轨迹数据；采购全国货运平台的语音消息下发通道；采购地图数据资源，包括基础地图服务、逆地理编码服务、货车限速数据、道路路网数据等；采购第三方审计、第三方软件测评、信息安全三级等保测评等内容。</w:t>
      </w:r>
    </w:p>
    <w:p>
      <w:pPr>
        <w:pStyle w:val="null3"/>
        <w:outlineLvl w:val="2"/>
      </w:pPr>
      <w:r>
        <w:rPr>
          <w:sz w:val="28"/>
          <w:b/>
        </w:rPr>
        <w:t>3.2采购内容</w:t>
      </w:r>
    </w:p>
    <w:p>
      <w:pPr>
        <w:pStyle w:val="null3"/>
      </w:pPr>
      <w:r>
        <w:rPr/>
        <w:t>采购包1：</w:t>
      </w:r>
    </w:p>
    <w:p>
      <w:pPr>
        <w:pStyle w:val="null3"/>
      </w:pPr>
      <w:r>
        <w:rPr/>
        <w:t>采购包预算金额（元）: 6,299,900.00</w:t>
      </w:r>
    </w:p>
    <w:p>
      <w:pPr>
        <w:pStyle w:val="null3"/>
      </w:pPr>
      <w:r>
        <w:rPr/>
        <w:t>采购包最高限价（元）: 6,299,900.00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大货车交通安全智能管理服务平台建设</w:t>
            </w:r>
          </w:p>
        </w:tc>
        <w:tc>
          <w:tcPr>
            <w:tcW w:type="dxa" w:w="831"/>
          </w:tcPr>
          <w:p>
            <w:pPr>
              <w:pStyle w:val="null3"/>
              <w:jc w:val="right"/>
            </w:pPr>
            <w:r>
              <w:rPr/>
              <w:t>1.00</w:t>
            </w:r>
          </w:p>
        </w:tc>
        <w:tc>
          <w:tcPr>
            <w:tcW w:type="dxa" w:w="831"/>
          </w:tcPr>
          <w:p>
            <w:pPr>
              <w:pStyle w:val="null3"/>
              <w:jc w:val="right"/>
            </w:pPr>
            <w:r>
              <w:rPr/>
              <w:t>6,299,900.00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标的名称：大货车交通安全智能管理服务平台建设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供应商报价不允许超过标的金额</w:t>
            </w:r>
          </w:p>
          <w:p>
            <w:pPr>
              <w:pStyle w:val="null3"/>
            </w:pPr>
            <w:r>
              <w:rPr>
                <w:rFonts w:ascii="宋体" w:hAnsi="宋体" w:cs="宋体" w:eastAsia="宋体"/>
              </w:rPr>
              <w:t>（招单价的）供应商报价不允许超过标的单价</w:t>
            </w:r>
          </w:p>
          <w:p>
            <w:pPr>
              <w:pStyle w:val="null3"/>
            </w:pPr>
            <w:r>
              <w:rPr>
                <w:rFonts w:ascii="宋体" w:hAnsi="宋体" w:cs="宋体" w:eastAsia="宋体"/>
              </w:rPr>
              <w:t>标的名称：</w:t>
            </w:r>
            <w:r>
              <w:rPr>
                <w:rFonts w:ascii="宋体" w:hAnsi="宋体" w:cs="宋体" w:eastAsia="宋体"/>
              </w:rPr>
              <w:t>陕西省大货车交通安全智能管理服务平台建设项目</w:t>
            </w:r>
          </w:p>
          <w:tbl>
            <w:tblPr>
              <w:tblBorders>
                <w:top w:val="none" w:color="000000" w:sz="4"/>
                <w:left w:val="none" w:color="000000" w:sz="4"/>
                <w:bottom w:val="none" w:color="000000" w:sz="4"/>
                <w:right w:val="none" w:color="000000" w:sz="4"/>
                <w:insideH w:val="none"/>
                <w:insideV w:val="none"/>
              </w:tblBorders>
            </w:tblPr>
            <w:tblGrid>
              <w:gridCol w:w="225"/>
              <w:gridCol w:w="176"/>
              <w:gridCol w:w="2152"/>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参数性质</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序号</w:t>
                  </w:r>
                </w:p>
              </w:tc>
              <w:tc>
                <w:tcPr>
                  <w:tcW w:type="dxa" w:w="2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 xml:space="preserve"> </w:t>
                  </w:r>
                  <w:r>
                    <w:rPr>
                      <w:rFonts w:ascii="宋体" w:hAnsi="宋体" w:cs="宋体" w:eastAsia="宋体"/>
                      <w:sz w:val="19"/>
                    </w:rPr>
                    <w:t>技术参数与性能指标</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p>
              </w:tc>
              <w:tc>
                <w:tcPr>
                  <w:tcW w:type="dxa" w:w="2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宋体" w:hAnsi="宋体" w:cs="宋体" w:eastAsia="宋体"/>
                      <w:sz w:val="24"/>
                      <w:b/>
                    </w:rPr>
                    <w:t>软件定制服务</w:t>
                  </w:r>
                </w:p>
                <w:tbl>
                  <w:tblPr>
                    <w:tblBorders>
                      <w:top w:val="none" w:color="000000" w:sz="4"/>
                      <w:left w:val="none" w:color="000000" w:sz="4"/>
                      <w:bottom w:val="none" w:color="000000" w:sz="4"/>
                      <w:right w:val="none" w:color="000000" w:sz="4"/>
                      <w:insideH w:val="none"/>
                      <w:insideV w:val="none"/>
                    </w:tblBorders>
                  </w:tblPr>
                  <w:tblGrid>
                    <w:gridCol w:w="197"/>
                    <w:gridCol w:w="495"/>
                    <w:gridCol w:w="256"/>
                    <w:gridCol w:w="987"/>
                  </w:tblGrid>
                  <w:tr>
                    <w:tc>
                      <w:tcPr>
                        <w:tcW w:type="dxa" w:w="1935"/>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定制服务功能</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建设内容</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服务内容</w:t>
                        </w:r>
                      </w:p>
                    </w:tc>
                    <w:tc>
                      <w:tcPr>
                        <w:tcW w:type="dxa" w:w="9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服务功能点</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陕西省大货车交通安全智能管理服务平台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运行态势</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提供省、市、县三级大货车交通安全运行态势一张图，掌握全省大货车运行状态、运行趋势、时空规律</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95"/>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实时监控</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提供省、市、县三级大货车交通安全实时监控功能，实时掌握所负责辖区内车辆静动态信息、实时预警信息、历史预警信息，实时预警处置、预警处置状态监测。</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95"/>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违法研判</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提供省、市、县三级大货车交通安全违法研判功能，通过违法预警、违法处置数据，识别重点违法企业、重点违法车辆、重点违法时空规律进行超速、疲劳驾驶、禁行、禁停违法研判分析。</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95"/>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调查取证</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省、市、县三级大货车交通安全调查取证功能，可通过自定义区域搜寻违法车辆、可通过车牌搜寻违法车辆所在位置，拦截违法车辆并提供违法车辆的静动态信息、历史轨迹信息、历史轨迹回放、速度曲线分析等证据链。</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95"/>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虚拟卡口</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提供省、市二级行政区划监测面设置功能，对驶入、驶出、过境陕西的重型货车进行实时监测，掌握省、市出入过境货车数量；</w:t>
                        </w:r>
                      </w:p>
                      <w:p>
                        <w:pPr>
                          <w:pStyle w:val="null3"/>
                          <w:jc w:val="both"/>
                        </w:pPr>
                        <w:r>
                          <w:rPr>
                            <w:rFonts w:ascii="宋体" w:hAnsi="宋体" w:cs="宋体" w:eastAsia="宋体"/>
                            <w:sz w:val="24"/>
                          </w:rPr>
                          <w:t>提供市、县二级虚拟卡口设置功能，根据历史违法及事故多发路段，结合勤务布防机制，在具备拦截条件的路段可设置虚拟卡口，对经过虚拟卡口的违法货车进行实时监测，精准拦截。</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95"/>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语音下发</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提供全省车辆语音下发功能，实现违法语音消息提醒和电子围栏语音消息提醒。平台可对</w:t>
                        </w:r>
                        <w:r>
                          <w:rPr>
                            <w:rFonts w:ascii="宋体" w:hAnsi="宋体" w:cs="宋体" w:eastAsia="宋体"/>
                            <w:sz w:val="24"/>
                          </w:rPr>
                          <w:t>12吨以上重型货运车辆疲劳驾驶、超速违法报警信息进行实时自动推送，语音播报提醒；平台可设置自定义时间、区域、语音模板，通过语音通道向车辆定位装置下发提醒信息，同时获取下发反馈结果统计下发数量。</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95"/>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规则配置</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根据业务需求，提供超速阈值配置、疲劳阈值配置、禁行围栏设置、禁停围栏设置及虚拟卡口设置的自定义配置功能。</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95"/>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系统管理</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提供用户管理、角色管理、组织管理、日志管理及系统数据检测功能</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95"/>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执法警用</w:t>
                        </w:r>
                        <w:r>
                          <w:rPr>
                            <w:rFonts w:ascii="宋体" w:hAnsi="宋体" w:cs="宋体" w:eastAsia="宋体"/>
                            <w:sz w:val="24"/>
                          </w:rPr>
                          <w:t>APP</w:t>
                        </w:r>
                      </w:p>
                    </w:tc>
                    <w:tc>
                      <w:tcPr>
                        <w:tcW w:type="dxa" w:w="9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接收及查看平台设置虚拟卡口所推送的车辆实时位置、违法预警数据（超速、疲劳驾驶、闯禁行、闯禁停）和轨迹证据链数据；反馈现场查处的处置结果，回传处罚文书及现场照片等信息；可根据不同权限查看违法预警货车热力图及点位图。</w:t>
                        </w:r>
                      </w:p>
                    </w:tc>
                  </w:tr>
                </w:tbl>
                <w:p>
                  <w:pPr>
                    <w:pStyle w:val="null3"/>
                    <w:numPr>
                      <w:ilvl w:val="0"/>
                      <w:numId w:val="1"/>
                    </w:numPr>
                  </w:pPr>
                  <w:r>
                    <w:rPr>
                      <w:rFonts w:ascii="宋体" w:hAnsi="宋体" w:cs="宋体" w:eastAsia="宋体"/>
                      <w:sz w:val="24"/>
                      <w:b/>
                    </w:rPr>
                    <w:t>应用支撑功能</w:t>
                  </w:r>
                </w:p>
                <w:tbl>
                  <w:tblPr>
                    <w:tblBorders>
                      <w:top w:val="none" w:color="000000" w:sz="4"/>
                      <w:left w:val="none" w:color="000000" w:sz="4"/>
                      <w:bottom w:val="none" w:color="000000" w:sz="4"/>
                      <w:right w:val="none" w:color="000000" w:sz="4"/>
                      <w:insideH w:val="none"/>
                      <w:insideV w:val="none"/>
                    </w:tblBorders>
                  </w:tblPr>
                  <w:tblGrid>
                    <w:gridCol w:w="197"/>
                    <w:gridCol w:w="495"/>
                    <w:gridCol w:w="397"/>
                    <w:gridCol w:w="847"/>
                  </w:tblGrid>
                  <w:tr>
                    <w:tc>
                      <w:tcPr>
                        <w:tcW w:type="dxa" w:w="193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应用支撑功能</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建设内容</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服务内容</w:t>
                        </w:r>
                      </w:p>
                    </w:tc>
                    <w:tc>
                      <w:tcPr>
                        <w:tcW w:type="dxa" w:w="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服务功能点</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语音消息下发至车端通道服务</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陕西省境内</w:t>
                        </w:r>
                        <w:r>
                          <w:rPr>
                            <w:rFonts w:ascii="宋体" w:hAnsi="宋体" w:cs="宋体" w:eastAsia="宋体"/>
                            <w:sz w:val="24"/>
                          </w:rPr>
                          <w:t>12吨以上货车车机语音消息下发通道服务</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提供交通运输部中国交通通信信息中心车机语音消息下发通道服务；包括省内自定义区域、自定义信息模板实现全省语音消息下发至车端接口开发及传输服务，下发次数无限制。</w:t>
                        </w:r>
                      </w:p>
                    </w:tc>
                  </w:tr>
                </w:tbl>
                <w:p>
                  <w:pPr>
                    <w:pStyle w:val="null3"/>
                    <w:numPr>
                      <w:ilvl w:val="0"/>
                      <w:numId w:val="1"/>
                    </w:numPr>
                  </w:pPr>
                  <w:r>
                    <w:rPr>
                      <w:rFonts w:ascii="宋体" w:hAnsi="宋体" w:cs="宋体" w:eastAsia="宋体"/>
                      <w:sz w:val="24"/>
                      <w:b/>
                    </w:rPr>
                    <w:t>交通类数据资源</w:t>
                  </w:r>
                </w:p>
                <w:tbl>
                  <w:tblPr>
                    <w:tblBorders>
                      <w:top w:val="none" w:color="000000" w:sz="4"/>
                      <w:left w:val="none" w:color="000000" w:sz="4"/>
                      <w:bottom w:val="none" w:color="000000" w:sz="4"/>
                      <w:right w:val="none" w:color="000000" w:sz="4"/>
                      <w:insideH w:val="none"/>
                      <w:insideV w:val="none"/>
                    </w:tblBorders>
                  </w:tblPr>
                  <w:tblGrid>
                    <w:gridCol w:w="197"/>
                    <w:gridCol w:w="495"/>
                    <w:gridCol w:w="397"/>
                    <w:gridCol w:w="847"/>
                  </w:tblGrid>
                  <w:tr>
                    <w:tc>
                      <w:tcPr>
                        <w:tcW w:type="dxa" w:w="193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交通类数据资源</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建设内容</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服务内容</w:t>
                        </w:r>
                      </w:p>
                    </w:tc>
                    <w:tc>
                      <w:tcPr>
                        <w:tcW w:type="dxa" w:w="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服务功能点</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地图数据资源及全省货运车动静态数据资源</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陕西省矢量地图数据资源</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提供全省矢量地图数据；包括道路数据、背景数据、文字数据、</w:t>
                        </w:r>
                        <w:r>
                          <w:rPr>
                            <w:rFonts w:ascii="宋体" w:hAnsi="宋体" w:cs="宋体" w:eastAsia="宋体"/>
                            <w:sz w:val="24"/>
                          </w:rPr>
                          <w:t>POI数据、区域面及建筑物等，地图坐标系GCJ02，比例尺1:2000，数据格式Shapefile（.shp）格式或.mif格式，地图数据季度更新。</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95"/>
                        <w:vMerge/>
                        <w:tcBorders>
                          <w:top w:val="none" w:color="000000" w:sz="4"/>
                          <w:left w:val="single" w:color="000000" w:sz="4"/>
                          <w:bottom w:val="single" w:color="000000" w:sz="4"/>
                          <w:right w:val="single" w:color="000000" w:sz="4"/>
                        </w:tcBorders>
                      </w:tcP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陕西省货车地图数据资源</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提供全省货车限速数据；包括道路名称、道路等级、道路长度、车道数量、车道最高限速等，货车数据季度更新。</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95"/>
                        <w:vMerge/>
                        <w:tcBorders>
                          <w:top w:val="none" w:color="000000" w:sz="4"/>
                          <w:left w:val="single" w:color="000000" w:sz="4"/>
                          <w:bottom w:val="single" w:color="000000" w:sz="4"/>
                          <w:right w:val="single" w:color="000000" w:sz="4"/>
                        </w:tcBorders>
                      </w:tcP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基础地图服务</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提供标准</w:t>
                        </w:r>
                        <w:r>
                          <w:rPr>
                            <w:rFonts w:ascii="宋体" w:hAnsi="宋体" w:cs="宋体" w:eastAsia="宋体"/>
                            <w:sz w:val="24"/>
                          </w:rPr>
                          <w:t>API接口服务；包括API标准规范文档，面向开发者可视化引擎、POI 搜索、路径规划、逆地理编码、地图匹配等接口服务，可基于API进行JavaScript语言的二次应用开发。</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95"/>
                        <w:vMerge/>
                        <w:tcBorders>
                          <w:top w:val="none" w:color="000000" w:sz="4"/>
                          <w:left w:val="single" w:color="000000" w:sz="4"/>
                          <w:bottom w:val="single" w:color="000000" w:sz="4"/>
                          <w:right w:val="single" w:color="000000" w:sz="4"/>
                        </w:tcBorders>
                      </w:tcP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陕西省境内</w:t>
                        </w:r>
                        <w:r>
                          <w:rPr>
                            <w:rFonts w:ascii="宋体" w:hAnsi="宋体" w:cs="宋体" w:eastAsia="宋体"/>
                            <w:sz w:val="24"/>
                          </w:rPr>
                          <w:t>12吨以上货车静态数据、动态数据</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对接陕西省交通运输厅，获取入陕西省境内</w:t>
                        </w:r>
                        <w:r>
                          <w:rPr>
                            <w:rFonts w:ascii="宋体" w:hAnsi="宋体" w:cs="宋体" w:eastAsia="宋体"/>
                            <w:sz w:val="24"/>
                          </w:rPr>
                          <w:t>12吨以上货车车辆静态数据及动态轨迹数据，数据实时更新</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95"/>
                        <w:vMerge/>
                        <w:tcBorders>
                          <w:top w:val="none" w:color="000000" w:sz="4"/>
                          <w:left w:val="single" w:color="000000" w:sz="4"/>
                          <w:bottom w:val="single" w:color="000000" w:sz="4"/>
                          <w:right w:val="single" w:color="000000" w:sz="4"/>
                        </w:tcBorders>
                      </w:tcP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陕西省境内</w:t>
                        </w:r>
                        <w:r>
                          <w:rPr>
                            <w:rFonts w:ascii="宋体" w:hAnsi="宋体" w:cs="宋体" w:eastAsia="宋体"/>
                            <w:sz w:val="24"/>
                          </w:rPr>
                          <w:t>12吨以上货车省外超速、疲劳驾驶预警及省外部分动态数据</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提供交通运输部中国交通通信信息中心部分入陕车辆数据；包括入陕西省境内</w:t>
                        </w:r>
                        <w:r>
                          <w:rPr>
                            <w:rFonts w:ascii="宋体" w:hAnsi="宋体" w:cs="宋体" w:eastAsia="宋体"/>
                            <w:sz w:val="24"/>
                          </w:rPr>
                          <w:t>12吨以上货车省外超速、疲劳驾驶预警数据、省外部分动态数据。</w:t>
                        </w:r>
                      </w:p>
                    </w:tc>
                  </w:tr>
                </w:tbl>
                <w:p>
                  <w:pPr>
                    <w:pStyle w:val="null3"/>
                    <w:numPr>
                      <w:ilvl w:val="0"/>
                      <w:numId w:val="1"/>
                    </w:numPr>
                  </w:pPr>
                  <w:r>
                    <w:rPr>
                      <w:rFonts w:ascii="宋体" w:hAnsi="宋体" w:cs="宋体" w:eastAsia="宋体"/>
                      <w:sz w:val="24"/>
                      <w:b/>
                    </w:rPr>
                    <w:t>数据治理与共享服务</w:t>
                  </w:r>
                </w:p>
                <w:tbl>
                  <w:tblPr>
                    <w:tblBorders>
                      <w:top w:val="none" w:color="000000" w:sz="4"/>
                      <w:left w:val="none" w:color="000000" w:sz="4"/>
                      <w:bottom w:val="none" w:color="000000" w:sz="4"/>
                      <w:right w:val="none" w:color="000000" w:sz="4"/>
                      <w:insideH w:val="none"/>
                      <w:insideV w:val="none"/>
                    </w:tblBorders>
                  </w:tblPr>
                  <w:tblGrid>
                    <w:gridCol w:w="197"/>
                    <w:gridCol w:w="495"/>
                    <w:gridCol w:w="397"/>
                    <w:gridCol w:w="847"/>
                  </w:tblGrid>
                  <w:tr>
                    <w:tc>
                      <w:tcPr>
                        <w:tcW w:type="dxa" w:w="193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数据治理与共享服务</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建设内容</w:t>
                        </w:r>
                      </w:p>
                    </w:tc>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服务内容</w:t>
                        </w:r>
                      </w:p>
                    </w:tc>
                    <w:tc>
                      <w:tcPr>
                        <w:tcW w:type="dxa" w:w="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服务功能点</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数据治理与数据共享</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数据资源治理</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提供基于陕西省交通运输厅、交通运输部中国交通通信信息中心数据汇聚管理、数据分类管理、数据清洗管理、数据评测管理及数据质量管理服务。</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95"/>
                        <w:vMerge/>
                        <w:tcBorders>
                          <w:top w:val="none" w:color="000000" w:sz="4"/>
                          <w:left w:val="single" w:color="000000" w:sz="4"/>
                          <w:bottom w:val="single" w:color="000000" w:sz="4"/>
                          <w:right w:val="single" w:color="000000" w:sz="4"/>
                        </w:tcBorders>
                      </w:tcP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数据实时计算</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提供基于陕西省境内</w:t>
                        </w:r>
                        <w:r>
                          <w:rPr>
                            <w:rFonts w:ascii="宋体" w:hAnsi="宋体" w:cs="宋体" w:eastAsia="宋体"/>
                            <w:sz w:val="24"/>
                          </w:rPr>
                          <w:t>12吨以上货车静动态数据，实时更新运行态势，实时匹配全省路网数据、全省货车限速数据，计算及识别车辆违法行为。</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95"/>
                        <w:vMerge/>
                        <w:tcBorders>
                          <w:top w:val="none" w:color="000000" w:sz="4"/>
                          <w:left w:val="single" w:color="000000" w:sz="4"/>
                          <w:bottom w:val="single" w:color="000000" w:sz="4"/>
                          <w:right w:val="single" w:color="000000" w:sz="4"/>
                        </w:tcBorders>
                      </w:tcP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数据建模分析</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提供基于平台数据分析服务，包括实时数据分析、历史数据分析、移动端数据分析等。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95"/>
                        <w:vMerge/>
                        <w:tcBorders>
                          <w:top w:val="none" w:color="000000" w:sz="4"/>
                          <w:left w:val="single" w:color="000000" w:sz="4"/>
                          <w:bottom w:val="single" w:color="000000" w:sz="4"/>
                          <w:right w:val="single" w:color="000000" w:sz="4"/>
                        </w:tcBorders>
                      </w:tcP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违法数据共享</w:t>
                        </w:r>
                      </w:p>
                    </w:tc>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提供基于陕西省境内</w:t>
                        </w:r>
                        <w:r>
                          <w:rPr>
                            <w:rFonts w:ascii="宋体" w:hAnsi="宋体" w:cs="宋体" w:eastAsia="宋体"/>
                            <w:sz w:val="24"/>
                          </w:rPr>
                          <w:t>12吨以上货车违法数据共享服务，搭建基础数据池供其他应用使用，数据包括车辆静动态数据、超速违法数据、疲劳驾驶违法数据、闯禁行违法数据、重型货车禁停违法数据。</w:t>
                        </w:r>
                      </w:p>
                    </w:tc>
                  </w:tr>
                </w:tbl>
                <w:p>
                  <w:pPr>
                    <w:pStyle w:val="null3"/>
                  </w:pPr>
                  <w:r>
                    <w:rPr>
                      <w:rFonts w:ascii="宋体" w:hAnsi="宋体" w:cs="宋体" w:eastAsia="宋体"/>
                      <w:sz w:val="24"/>
                      <w:b/>
                    </w:rPr>
                    <w:t>项目实施团队构成</w:t>
                  </w:r>
                </w:p>
                <w:tbl>
                  <w:tblPr>
                    <w:tblBorders>
                      <w:top w:val="none" w:color="000000" w:sz="4"/>
                      <w:left w:val="none" w:color="000000" w:sz="4"/>
                      <w:bottom w:val="none" w:color="000000" w:sz="4"/>
                      <w:right w:val="none" w:color="000000" w:sz="4"/>
                      <w:insideH w:val="none"/>
                      <w:insideV w:val="none"/>
                    </w:tblBorders>
                  </w:tblPr>
                  <w:tblGrid>
                    <w:gridCol w:w="528"/>
                    <w:gridCol w:w="796"/>
                    <w:gridCol w:w="264"/>
                    <w:gridCol w:w="348"/>
                  </w:tblGrid>
                  <w:tr>
                    <w:tc>
                      <w:tcPr>
                        <w:tcW w:type="dxa" w:w="193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团队构成</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岗位</w:t>
                        </w:r>
                      </w:p>
                    </w:tc>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岗位职责</w:t>
                        </w:r>
                      </w:p>
                    </w:tc>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是否驻场</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高级项目经理</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项目管理</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是</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高级技术总监</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技术管理及架构设计</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是</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高级开发工程师</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平台开发</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是</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r>
                          <w:rPr>
                            <w:rFonts w:ascii="宋体" w:hAnsi="宋体" w:cs="宋体" w:eastAsia="宋体"/>
                            <w:sz w:val="24"/>
                          </w:rPr>
                          <w:t>1</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中级开发工程师</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平台开发</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是</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r>
                          <w:rPr>
                            <w:rFonts w:ascii="宋体" w:hAnsi="宋体" w:cs="宋体" w:eastAsia="宋体"/>
                            <w:sz w:val="24"/>
                          </w:rPr>
                          <w:t>1</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中级算法工程师</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算法设计、代码实现及验证</w:t>
                        </w:r>
                      </w:p>
                    </w:tc>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是</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r>
                          <w:rPr>
                            <w:rFonts w:ascii="宋体" w:hAnsi="宋体" w:cs="宋体" w:eastAsia="宋体"/>
                            <w:sz w:val="24"/>
                          </w:rPr>
                          <w:t>1</w:t>
                        </w:r>
                      </w:p>
                    </w:tc>
                  </w:tr>
                </w:tbl>
                <w:p>
                  <w:pPr>
                    <w:pStyle w:val="null3"/>
                    <w:ind w:firstLine="440"/>
                    <w:jc w:val="left"/>
                  </w:pPr>
                  <w:r>
                    <w:rPr>
                      <w:rFonts w:ascii="宋体" w:hAnsi="宋体" w:cs="宋体" w:eastAsia="宋体"/>
                      <w:sz w:val="22"/>
                    </w:rPr>
                    <w:t>项目组成员驻场要求：项目组核心成员（至少</w:t>
                  </w:r>
                  <w:r>
                    <w:rPr>
                      <w:rFonts w:ascii="宋体" w:hAnsi="宋体" w:cs="宋体" w:eastAsia="宋体"/>
                      <w:sz w:val="22"/>
                    </w:rPr>
                    <w:t>5名）均需驻场，</w:t>
                  </w:r>
                  <w:r>
                    <w:rPr>
                      <w:rFonts w:ascii="宋体" w:hAnsi="宋体" w:cs="宋体" w:eastAsia="宋体"/>
                      <w:sz w:val="22"/>
                    </w:rPr>
                    <w:t>未经采购人同意不得更换人员</w:t>
                  </w:r>
                  <w:r>
                    <w:rPr>
                      <w:rFonts w:ascii="宋体" w:hAnsi="宋体" w:cs="宋体" w:eastAsia="宋体"/>
                      <w:sz w:val="22"/>
                    </w:rPr>
                    <w:t>(提供承诺函)。</w:t>
                  </w:r>
                  <w:r>
                    <w:rPr>
                      <w:rFonts w:ascii="宋体" w:hAnsi="宋体" w:cs="宋体" w:eastAsia="宋体"/>
                      <w:sz w:val="22"/>
                    </w:rPr>
                    <w:t>自接到开工通知至项目竣工验收合格，</w:t>
                  </w:r>
                  <w:r>
                    <w:rPr>
                      <w:rFonts w:ascii="宋体" w:hAnsi="宋体" w:cs="宋体" w:eastAsia="宋体"/>
                      <w:sz w:val="22"/>
                    </w:rPr>
                    <w:t>对</w:t>
                  </w:r>
                  <w:r>
                    <w:rPr>
                      <w:rFonts w:ascii="宋体" w:hAnsi="宋体" w:cs="宋体" w:eastAsia="宋体"/>
                      <w:sz w:val="22"/>
                    </w:rPr>
                    <w:t>应驻场的项目组核心成员</w:t>
                  </w:r>
                  <w:r>
                    <w:rPr>
                      <w:rFonts w:ascii="宋体" w:hAnsi="宋体" w:cs="宋体" w:eastAsia="宋体"/>
                      <w:sz w:val="22"/>
                    </w:rPr>
                    <w:t>按照招标人要求</w:t>
                  </w:r>
                  <w:r>
                    <w:rPr>
                      <w:rFonts w:ascii="宋体" w:hAnsi="宋体" w:cs="宋体" w:eastAsia="宋体"/>
                      <w:sz w:val="22"/>
                    </w:rPr>
                    <w:t>进行考勤考核，上述人员如未经请假缺席，罚款</w:t>
                  </w:r>
                  <w:r>
                    <w:rPr>
                      <w:rFonts w:ascii="宋体" w:hAnsi="宋体" w:cs="宋体" w:eastAsia="宋体"/>
                      <w:sz w:val="22"/>
                    </w:rPr>
                    <w:t>2000元/人</w:t>
                  </w:r>
                  <w:r>
                    <w:rPr>
                      <w:rFonts w:ascii="宋体" w:hAnsi="宋体" w:cs="宋体" w:eastAsia="宋体"/>
                      <w:sz w:val="22"/>
                    </w:rPr>
                    <w:t>/</w:t>
                  </w:r>
                  <w:r>
                    <w:rPr>
                      <w:rFonts w:ascii="宋体" w:hAnsi="宋体" w:cs="宋体" w:eastAsia="宋体"/>
                      <w:sz w:val="22"/>
                    </w:rPr>
                    <w:t>次</w:t>
                  </w:r>
                  <w:r>
                    <w:rPr>
                      <w:rFonts w:ascii="宋体" w:hAnsi="宋体" w:cs="宋体" w:eastAsia="宋体"/>
                      <w:sz w:val="22"/>
                    </w:rPr>
                    <w:t>。</w:t>
                  </w:r>
                </w:p>
                <w:p>
                  <w:pPr>
                    <w:pStyle w:val="null3"/>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项目软件建设周期自合同签订起 3个月，完成初验;试用期至少1个月，完成终验，整体系统周期4个月。</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签订合同后</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初验合格后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 xml:space="preserve"> 整个系统终验合格</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 xml:space="preserve"> 整个系统终验合格后一年维保期满</w:t>
      </w:r>
      <w:r>
        <w:rPr/>
        <w:t xml:space="preserve"> ，达到付款条件起 </w:t>
      </w:r>
      <w:r>
        <w:rPr/>
        <w:t>30</w:t>
      </w:r>
      <w:r>
        <w:rPr/>
        <w:t xml:space="preserve"> 日内，支付合同总金额的 </w:t>
      </w:r>
      <w:r>
        <w:rPr/>
        <w:t>5.00</w:t>
      </w:r>
      <w:r>
        <w:rPr/>
        <w:t>%。</w:t>
      </w:r>
    </w:p>
    <w:p>
      <w:pPr>
        <w:pStyle w:val="null3"/>
        <w:outlineLvl w:val="3"/>
      </w:pPr>
      <w:r>
        <w:rPr>
          <w:sz w:val="24"/>
          <w:b/>
        </w:rPr>
        <w:t>3.4.5验收标准和方法</w:t>
      </w:r>
    </w:p>
    <w:p>
      <w:pPr>
        <w:pStyle w:val="null3"/>
      </w:pPr>
      <w:r>
        <w:rPr/>
        <w:t>采购包1：</w:t>
      </w:r>
    </w:p>
    <w:p>
      <w:pPr>
        <w:pStyle w:val="null3"/>
      </w:pPr>
      <w:r>
        <w:rPr/>
        <w:t>验收时间：项目完成后。验收合格条件为：符合国家标准和技术规格书及合同要求，符合招标文件、乙方的投标文件、澄清文件和中标通知书的要求等,乙方应严格按照上述及采购人要求实施项目服务。注：乙方应保证交付的成果文件已参照已有的相关规划，并遵循中华人民共和国及地方的有关法律规范，并符合本项目服务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质保期自整个系统终验合格之日起计算，质保一年。</w:t>
      </w:r>
    </w:p>
    <w:p>
      <w:pPr>
        <w:pStyle w:val="null3"/>
        <w:outlineLvl w:val="3"/>
      </w:pPr>
      <w:r>
        <w:rPr>
          <w:sz w:val="24"/>
          <w:b/>
        </w:rPr>
        <w:t>3.4.8违约责任与解决争议的方法</w:t>
      </w:r>
    </w:p>
    <w:p>
      <w:pPr>
        <w:pStyle w:val="null3"/>
      </w:pPr>
      <w:r>
        <w:rPr/>
        <w:t>采购包1：</w:t>
      </w:r>
    </w:p>
    <w:p>
      <w:pPr>
        <w:pStyle w:val="null3"/>
      </w:pPr>
      <w:r>
        <w:rPr/>
        <w:t>违约责任 1.按《中华人民共和国民法典》中的相关条款执行。 2.未按合同或招标文件要求提供服务，质量不能满足采购方技术要求，甲方有权终止合同，甚至对乙方违约行为进行追究。 3.乙方由于自身过错，延误按本合同规定的服务成果交付时间，每延误一天，应减收本合同总额的2‰作为延误违约金。</w:t>
      </w:r>
    </w:p>
    <w:p>
      <w:pPr>
        <w:pStyle w:val="null3"/>
        <w:jc w:val="left"/>
        <w:outlineLvl w:val="2"/>
      </w:pPr>
      <w:r>
        <w:rPr>
          <w:sz w:val="28"/>
          <w:b/>
        </w:rPr>
        <w:t>3.5其他要求</w:t>
      </w:r>
    </w:p>
    <w:p>
      <w:pPr>
        <w:pStyle w:val="null3"/>
      </w:pPr>
      <w:r>
        <w:rPr/>
        <w:t>特别注意：（1）质量标准：符合国家及行业有关现行规范、标准的要求。 （2）提供安全保密协议承诺函。 （3）本项目包含暂列金44.65万元。 （4）投标人需要在线提交所有通过电子化交易平台实施的政府采购项目的响应文件，同时，线下提交响应文件正本壹份、副本贰套、电子版壹套（U盘一套标明供应商名称）。 线下纸质文件递交截止时间：同在线递交电子响应文件截止时间一致；线下纸质文件递交地点： 陕西省西安市经济技术开发区凤城七路长和国际A座26楼02-01室。 （5）根据《陕西省财政厅关于进一步优化政府采购营商环境有关事项的通知》（陕财办采〔2023〕4号）规定，采购人应在成交通知书发出之日起25日与成交供应商签订采购合同，因采购系统文件编制有所限制，文件前后不一致以此处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2、提供①2023年度财务审计报告（成立时间至提交响应文件截止时间不足一年的可提供成立后任意时段的资产负债表）或②其基本存款账户开户银行出具的资信证明及基本存款账户的开户证明；3、提供2024年1月至今至少一个月纳税证明或完税证明，纳税证明或完税证明上应有代收机构或税务机关的公章，依法免税的供应商应提供相关文件证明；4、提供2024年1月至今至少一个月的社会保障资金缴存单据或社保机构开具的社会保险参保缴费情况证明，依法不需要缴纳社会保障资金的单位应提供相关证明材料；5、提供参加本次政府采购活动前三年内在经营活动中没有重大违法记录（提供书面声明）；6、提供具有履行合同所必须的设备和专业技术能力的承诺书；7、 法律、行政法规规定的其他条件。供应商需在项目电子化交易系统中按要求上传相应证明文件并进行电子签章。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①2023年度财务审计报告（成立时间至提交响应文件截止时间不足一年的可提供成立后任意时段的资产负债表）或②其基本存款账户开户银行出具的资信证明及基本存款账户的开户证明；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1、提供法人代表、控股股东、控股企业及管理、被管理单位情况声明且各供应商之间不存在单位负责人为同一人或者存在控股、管理关系情形的承诺函。2、提供为本项目提供整体设计、规范编制或者项目管理、监理、检测等服务的供应商，不得再参加该采购项目的其他采购活动的承诺函。供应商需在项目电子化交易系统中按要求上传相应证明文件并进行电子签章。</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“信用中国”网站和中国政府采购网 （www.ccgp.gov.cn）查询记录</w:t>
            </w:r>
          </w:p>
        </w:tc>
        <w:tc>
          <w:tcPr>
            <w:tcW w:type="dxa" w:w="3322"/>
          </w:tcPr>
          <w:p>
            <w:pPr>
              <w:pStyle w:val="null3"/>
            </w:pPr>
            <w:r>
              <w:rPr/>
              <w:t>未被列入“信用中国”网站(www.creditchina.gov.cn)失信被执行人名单、重大税收违法失信主体、未被列入“中国政府采购网”（www.ccgp.gov.cn）政府采购严重违法失信行为记录名单（以现场查询为准）；</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法定代表人授权书及被授权人身份证。（法定代表人直接投标只须提供其身份证明）；供应商需在项目电子化交易系统中按要求上传相应证明文件并进行电子签章。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非联合体</w:t>
            </w:r>
          </w:p>
        </w:tc>
        <w:tc>
          <w:tcPr>
            <w:tcW w:type="dxa" w:w="3322"/>
          </w:tcPr>
          <w:p>
            <w:pPr>
              <w:pStyle w:val="null3"/>
            </w:pPr>
            <w:r>
              <w:rPr/>
              <w:t>本项目不允许联合体投标（提供承诺函）；供应商需在项目电子化交易系统中按要求上传相应证明文件并进行电子签章。</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遵循公平竞争的原则，没有弄虚作假、恶意串通或妨碍其他供应商的竞争行为，损害采购人或者其他供应商的合法权益；</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投标报价表</w:t>
            </w:r>
          </w:p>
        </w:tc>
        <w:tc>
          <w:tcPr>
            <w:tcW w:type="dxa" w:w="3322"/>
          </w:tcPr>
          <w:p>
            <w:pPr>
              <w:pStyle w:val="null3"/>
            </w:pPr>
            <w:r>
              <w:rPr/>
              <w:t>（1）投标报价表填写符合要求；（2）投标 报价未超出采购预算（招标文件有最高限价的，报价未超过最高限价）。</w:t>
            </w:r>
          </w:p>
        </w:tc>
        <w:tc>
          <w:tcPr>
            <w:tcW w:type="dxa" w:w="1661"/>
          </w:tcPr>
          <w:p>
            <w:pPr>
              <w:pStyle w:val="null3"/>
            </w:pPr>
            <w:r>
              <w:rPr/>
              <w:t>开标一览表 分项报价表 标的清单</w:t>
            </w:r>
          </w:p>
        </w:tc>
      </w:tr>
      <w:tr>
        <w:tc>
          <w:tcPr>
            <w:tcW w:type="dxa" w:w="831"/>
          </w:tcPr>
          <w:p>
            <w:pPr>
              <w:pStyle w:val="null3"/>
            </w:pPr>
            <w:r>
              <w:rPr/>
              <w:t>3</w:t>
            </w:r>
          </w:p>
        </w:tc>
        <w:tc>
          <w:tcPr>
            <w:tcW w:type="dxa" w:w="2492"/>
          </w:tcPr>
          <w:p>
            <w:pPr>
              <w:pStyle w:val="null3"/>
            </w:pPr>
            <w:r>
              <w:rPr/>
              <w:t>投标文件签署、盖章</w:t>
            </w:r>
          </w:p>
        </w:tc>
        <w:tc>
          <w:tcPr>
            <w:tcW w:type="dxa" w:w="3322"/>
          </w:tcPr>
          <w:p>
            <w:pPr>
              <w:pStyle w:val="null3"/>
            </w:pPr>
            <w:r>
              <w:rPr/>
              <w:t>均按招标文件要求签字、盖章。</w:t>
            </w:r>
          </w:p>
        </w:tc>
        <w:tc>
          <w:tcPr>
            <w:tcW w:type="dxa" w:w="1661"/>
          </w:tcPr>
          <w:p>
            <w:pPr>
              <w:pStyle w:val="null3"/>
            </w:pPr>
            <w:r>
              <w:rPr/>
              <w:t>开标一览表 投标方案 分项报价表 中小企业声明函 投标人承诺书 投标人资格证明文件 商务条款响应说明 投标函 残疾人福利性单位声明函 标的清单 投标文件封面 监狱企业的证明文件 技术指标偏差表 安全保密协议承诺函</w:t>
            </w:r>
          </w:p>
        </w:tc>
      </w:tr>
      <w:tr>
        <w:tc>
          <w:tcPr>
            <w:tcW w:type="dxa" w:w="831"/>
          </w:tcPr>
          <w:p>
            <w:pPr>
              <w:pStyle w:val="null3"/>
            </w:pPr>
            <w:r>
              <w:rPr/>
              <w:t>4</w:t>
            </w:r>
          </w:p>
        </w:tc>
        <w:tc>
          <w:tcPr>
            <w:tcW w:type="dxa" w:w="2492"/>
          </w:tcPr>
          <w:p>
            <w:pPr>
              <w:pStyle w:val="null3"/>
            </w:pPr>
            <w:r>
              <w:rPr/>
              <w:t>附加条件</w:t>
            </w:r>
          </w:p>
        </w:tc>
        <w:tc>
          <w:tcPr>
            <w:tcW w:type="dxa" w:w="3322"/>
          </w:tcPr>
          <w:p>
            <w:pPr>
              <w:pStyle w:val="null3"/>
            </w:pPr>
            <w:r>
              <w:rPr/>
              <w:t>投标文件不含有采购人不能接受的附加条件。</w:t>
            </w:r>
          </w:p>
        </w:tc>
        <w:tc>
          <w:tcPr>
            <w:tcW w:type="dxa" w:w="1661"/>
          </w:tcPr>
          <w:p>
            <w:pPr>
              <w:pStyle w:val="null3"/>
            </w:pPr>
            <w:r>
              <w:rPr/>
              <w:t>投标方案 投标人承诺书 投标文件封面 投标人资格证明文件 安全保密协议承诺函</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投标文件有效期符合招标文件的要求。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技术条款响应</w:t>
            </w:r>
          </w:p>
        </w:tc>
        <w:tc>
          <w:tcPr>
            <w:tcW w:type="dxa" w:w="3322"/>
          </w:tcPr>
          <w:p>
            <w:pPr>
              <w:pStyle w:val="null3"/>
            </w:pPr>
            <w:r>
              <w:rPr/>
              <w:t>完全理解接受招标文件技术条款。</w:t>
            </w:r>
          </w:p>
        </w:tc>
        <w:tc>
          <w:tcPr>
            <w:tcW w:type="dxa" w:w="1661"/>
          </w:tcPr>
          <w:p>
            <w:pPr>
              <w:pStyle w:val="null3"/>
            </w:pPr>
            <w:r>
              <w:rPr/>
              <w:t>技术指标偏差表</w:t>
            </w:r>
          </w:p>
        </w:tc>
      </w:tr>
      <w:tr>
        <w:tc>
          <w:tcPr>
            <w:tcW w:type="dxa" w:w="831"/>
          </w:tcPr>
          <w:p>
            <w:pPr>
              <w:pStyle w:val="null3"/>
            </w:pPr>
            <w:r>
              <w:rPr/>
              <w:t>7</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商务条款响应说明</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满足招标文件要求。</w:t>
            </w:r>
          </w:p>
        </w:tc>
        <w:tc>
          <w:tcPr>
            <w:tcW w:type="dxa" w:w="1661"/>
          </w:tcPr>
          <w:p>
            <w:pPr>
              <w:pStyle w:val="null3"/>
            </w:pPr>
            <w:r>
              <w:rPr/>
              <w:t>商务条款响应说明 投标方案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需求理解和综合分析</w:t>
            </w:r>
          </w:p>
        </w:tc>
        <w:tc>
          <w:tcPr>
            <w:tcW w:type="dxa" w:w="2492"/>
          </w:tcPr>
          <w:p>
            <w:pPr>
              <w:pStyle w:val="null3"/>
            </w:pPr>
            <w:r>
              <w:rPr/>
              <w:t>需求理解及综合分析有深度，包括对建设背景、业务现状分析、环境现状分析、业务需求分析、功能需求分析、环境需求分析、安全需求分析、性能需求分析、运维需求分析及项目实施需求分析等。 1、全面阐述以上方面，阐述详尽且贴合实际：10 分； 2、每个方面均有涉及，阐述不够充分，部分贴合实际：6 分； 3、每个方面均有涉及，阐述不够充分且完全不贴合实际：3分；缺项或漏项不得分。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技术方案</w:t>
            </w:r>
          </w:p>
        </w:tc>
        <w:tc>
          <w:tcPr>
            <w:tcW w:type="dxa" w:w="2492"/>
          </w:tcPr>
          <w:p>
            <w:pPr>
              <w:pStyle w:val="null3"/>
            </w:pPr>
            <w:r>
              <w:rPr/>
              <w:t>1、提供完整体系化的系统架构设计、业务架构设计、功能架构、网络拓扑、数据架构、数据流向、安全边界方案等，方案针对性强得13分； 2、提供系统架构设计、业务架构设计、功能架构、网络拓扑、数据架构、数据流向、安全边界方案等每个方面均有涉及，方案针对性较好得9分； 3、提供系统架构设计、业务架构设计、功能架构、网络拓扑、数据架构、数据流向、安全边界方案等每个方面均有涉及，方案针对性一般得5分；缺项或漏项不得分。</w:t>
            </w:r>
          </w:p>
        </w:tc>
        <w:tc>
          <w:tcPr>
            <w:tcW w:type="dxa" w:w="831"/>
          </w:tcPr>
          <w:p>
            <w:pPr>
              <w:pStyle w:val="null3"/>
              <w:jc w:val="right"/>
            </w:pPr>
            <w:r>
              <w:rPr/>
              <w:t>13.0000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项目实施及培训</w:t>
            </w:r>
          </w:p>
        </w:tc>
        <w:tc>
          <w:tcPr>
            <w:tcW w:type="dxa" w:w="2492"/>
          </w:tcPr>
          <w:p>
            <w:pPr>
              <w:pStyle w:val="null3"/>
            </w:pPr>
            <w:r>
              <w:rPr/>
              <w:t>1、项目实施方案，包括项目总体目标、阶段性目标、阶段性实施策略及质量保障策略，培训方案包括详细的培训计划、对象、目标及内容等，保障使用单位能够熟练操作和使用系统；内容合理、可操作性强得5分； 2、项目实施方案，包括项目总体目标、阶段性目标、阶段性实施策略及质量保障策略，培训方案包括详细的培训计划、对象、目标及内容等，保障使用单位能够熟练操作和使用系统；方案合理性、可操作性一般得3分； 3、项目实施方案，包括项目总体目标、阶段性目标、阶段性实施策略及质量保障策略，培训方案包括详细的培训计划、对象、目标及内容等，保障使用单位能够熟练操作和使用系统；方案不够合理性、可操作性差得1分；缺项或漏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服务团队</w:t>
            </w:r>
          </w:p>
        </w:tc>
        <w:tc>
          <w:tcPr>
            <w:tcW w:type="dxa" w:w="2492"/>
          </w:tcPr>
          <w:p>
            <w:pPr>
              <w:pStyle w:val="null3"/>
            </w:pPr>
            <w:r>
              <w:rPr/>
              <w:t>1、供应商提供核心成员的学历证书、身份证等材料、提供核心成员社保缴纳证明（2024年1月1日至今），5人得3分；不足5人得0分； 2、项目经理具有项目管理师资格证（PMP证书）得1分； 3、技术总监具有软考高级证书得1分。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人员配备</w:t>
            </w:r>
          </w:p>
        </w:tc>
        <w:tc>
          <w:tcPr>
            <w:tcW w:type="dxa" w:w="2492"/>
          </w:tcPr>
          <w:p>
            <w:pPr>
              <w:pStyle w:val="null3"/>
            </w:pPr>
            <w:r>
              <w:rPr/>
              <w:t>拟投入项目团队人员分工明确、配置合理，经验丰富，专业性强，得3分；分工较明确、配置较合理、经验较丰富得2分；分工基本明确、配置经验一般得1分。未提供不得分。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企业资质</w:t>
            </w:r>
          </w:p>
        </w:tc>
        <w:tc>
          <w:tcPr>
            <w:tcW w:type="dxa" w:w="2492"/>
          </w:tcPr>
          <w:p>
            <w:pPr>
              <w:pStyle w:val="null3"/>
            </w:pPr>
            <w:r>
              <w:rPr/>
              <w:t>1、具有ISO9001质量管理体系认证证书； 2、ISO27001信息安全管理体系认证证书； 3、ISO20000信息技术服务管理体系认证证书； 4、ITSS信息技术服务标准认证三级（含）以上； 5、DCMM数据管理能力成熟度三级（含）以上； 每项得1分，没有不得分，最高得5分。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企业实力</w:t>
            </w:r>
          </w:p>
        </w:tc>
        <w:tc>
          <w:tcPr>
            <w:tcW w:type="dxa" w:w="2492"/>
          </w:tcPr>
          <w:p>
            <w:pPr>
              <w:pStyle w:val="null3"/>
            </w:pPr>
            <w:r>
              <w:rPr/>
              <w:t>1、提供基于地理信息可视化应用相关的专利或软件著作权证书得2分； 2、提供基于数据服务管理应用相关的专利或软件著作权证书得2分。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提供本地化售后服务方案和应急预案，方案应科学合理，可执行。所成立本项目售后服务团队，需提供7*24 小时服务热线，2小时以内到场服务；售后服务方案和应急预案（响应时间、电话支持、远程服务、现场服务、定期巡查、应急解决方案、服务监督管理机制等）。内容合理、针对性强得5分；内容较合理、针对性较强得3分；内容基本合理、针对性一般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系统演示</w:t>
            </w:r>
          </w:p>
        </w:tc>
        <w:tc>
          <w:tcPr>
            <w:tcW w:type="dxa" w:w="2492"/>
          </w:tcPr>
          <w:p>
            <w:pPr>
              <w:pStyle w:val="null3"/>
            </w:pPr>
            <w:r>
              <w:rPr/>
              <w:t>采用现场演示方式，本项评分依据供应商提供的功能演示内容，对功能要求满足完整性、系统内容展示全面性以及技术方案针对性进行评定，要求采用真实系统演示最高得15分，使用PPT、视频形式演示最高得5分，演示总时间不超过15分钟。技术演示人员未到场演示不得分。演示内容如下： 1、大货车运行态势展示，科学、合理得3分，一般得1分； 2、大货车实时监控展示，科学、合理得3分，一般得1分； 3、大货车调查取证展示，科学、合理得4分，一般得2分； 4、大货车虚拟卡口设置与警用APP互动展示，科学、合理得5分，一般得2分； 注：未提供演示的，或演示内容有缺项的，或演示内容不符合招标文件要求的，此项不得分。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提供2021年1月1日起类似业绩，每提供1份得1分，最高得5分。业绩证明（以合同为准，投标人在投标文件中附合同扫描件或复印件加盖单位公章）。注：合同须包括合同内容，日期，签字盖章等关键页。</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投标基准价，其价格分为满分。其他投标人的价格分统一按照下列公式计算：投标报价得分=(投标基准价/投标报价)×30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w:t>
      </w:r>
    </w:p>
    <w:p>
      <w:pPr>
        <w:pStyle w:val="null3"/>
        <w:ind w:firstLine="960"/>
      </w:pPr>
      <w:r>
        <w:rPr/>
        <w:t>详见附件：安全保密协议承诺函</w:t>
      </w:r>
    </w:p>
    <w:p>
      <w:pPr>
        <w:pStyle w:val="null3"/>
        <w:ind w:firstLine="960"/>
      </w:pPr>
      <w:r>
        <w:rPr/>
        <w:t>详见附件：投标人承诺书</w:t>
      </w:r>
    </w:p>
    <w:p>
      <w:pPr>
        <w:pStyle w:val="null3"/>
        <w:ind w:firstLine="960"/>
      </w:pPr>
      <w:r>
        <w:rPr/>
        <w:t>详见附件：投标方案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详见附件：陕西省大货车交通安全智能管理服务平台建设项目-合同.docx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