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矿冶环境个体暴露及职业防护测试呼吸暖体假人</w:t>
      </w:r>
    </w:p>
    <w:p>
      <w:pPr>
        <w:pStyle w:val="null3"/>
        <w:jc w:val="center"/>
        <w:outlineLvl w:val="2"/>
      </w:pPr>
      <w:r>
        <w:rPr>
          <w:sz w:val="28"/>
          <w:b/>
        </w:rPr>
        <w:t>采购项目编号：</w:t>
      </w:r>
      <w:r>
        <w:rPr>
          <w:sz w:val="28"/>
          <w:b/>
        </w:rPr>
        <w:t>ZCZX2024-ZB-190</w:t>
      </w:r>
      <w:r>
        <w:br/>
      </w:r>
      <w:r>
        <w:br/>
      </w:r>
      <w:r>
        <w:br/>
      </w:r>
    </w:p>
    <w:p>
      <w:pPr>
        <w:pStyle w:val="null3"/>
        <w:jc w:val="center"/>
        <w:outlineLvl w:val="2"/>
      </w:pPr>
      <w:r>
        <w:rPr>
          <w:sz w:val="28"/>
          <w:b/>
        </w:rPr>
        <w:t>西安建筑科技大学</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陕西众诚致信管理咨询有限公司</w:t>
      </w:r>
      <w:r>
        <w:rPr/>
        <w:t>（以下简称“代理机构”）受</w:t>
      </w:r>
      <w:r>
        <w:rPr/>
        <w:t>西安建筑科技大学</w:t>
      </w:r>
      <w:r>
        <w:rPr/>
        <w:t>委托，拟对</w:t>
      </w:r>
      <w:r>
        <w:rPr/>
        <w:t>矿冶环境个体暴露及职业防护测试呼吸暖体假人</w:t>
      </w:r>
      <w:r>
        <w:rPr/>
        <w:t>进行国内公开招标，兹邀请符合本次招标要求的供应商参加投标。</w:t>
      </w:r>
    </w:p>
    <w:p>
      <w:pPr>
        <w:pStyle w:val="null3"/>
        <w:outlineLvl w:val="2"/>
      </w:pPr>
      <w:r>
        <w:rPr>
          <w:sz w:val="28"/>
          <w:b/>
        </w:rPr>
        <w:t>一、采购项目编号：</w:t>
      </w:r>
      <w:r>
        <w:rPr>
          <w:sz w:val="28"/>
          <w:b/>
        </w:rPr>
        <w:t>ZCZX2024-ZB-190</w:t>
      </w:r>
    </w:p>
    <w:p>
      <w:pPr>
        <w:pStyle w:val="null3"/>
        <w:outlineLvl w:val="2"/>
      </w:pPr>
      <w:r>
        <w:rPr>
          <w:sz w:val="28"/>
          <w:b/>
        </w:rPr>
        <w:t>二、采购项目名称：</w:t>
      </w:r>
      <w:r>
        <w:rPr>
          <w:sz w:val="28"/>
          <w:b/>
        </w:rPr>
        <w:t>矿冶环境个体暴露及职业防护测试呼吸暖体假人</w:t>
      </w:r>
    </w:p>
    <w:p>
      <w:pPr>
        <w:pStyle w:val="null3"/>
        <w:outlineLvl w:val="2"/>
      </w:pPr>
      <w:r>
        <w:rPr>
          <w:sz w:val="28"/>
          <w:b/>
        </w:rPr>
        <w:t>三、招标项目简介</w:t>
      </w:r>
    </w:p>
    <w:p>
      <w:pPr>
        <w:pStyle w:val="null3"/>
        <w:ind w:firstLine="480"/>
      </w:pPr>
      <w:r>
        <w:rPr/>
        <w:t>为精确测量污染物吸入至呼吸道具体部位的有效剂量，提出更加有效的局部空间环境控制方法及个体防护措施提供理论基础和依据，现需采购呼吸暖体假人一套。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书：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t>2、进口产品授权书：所投产品为进口产品的，供应商需提供所投产品授权书。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2"/>
      </w:pPr>
      <w:r>
        <w:rPr>
          <w:sz w:val="28"/>
          <w:b/>
        </w:rPr>
        <w:t>代理机构：</w:t>
      </w:r>
      <w:r>
        <w:rPr>
          <w:sz w:val="28"/>
          <w:b/>
        </w:rPr>
        <w:t>陕西众诚致信管理咨询有限公司</w:t>
      </w:r>
    </w:p>
    <w:p>
      <w:pPr>
        <w:pStyle w:val="null3"/>
      </w:pPr>
      <w:r>
        <w:rPr/>
        <w:t xml:space="preserve"> 地址： </w:t>
      </w:r>
      <w:r>
        <w:rPr/>
        <w:t>西安曲江新区翠华南路1688号创意盒子13层04室</w:t>
      </w:r>
    </w:p>
    <w:p>
      <w:pPr>
        <w:pStyle w:val="null3"/>
      </w:pPr>
      <w:r>
        <w:rPr/>
        <w:t xml:space="preserve"> 邮编： </w:t>
      </w:r>
      <w:r>
        <w:rPr/>
        <w:t xml:space="preserve"> 710000</w:t>
      </w:r>
    </w:p>
    <w:p>
      <w:pPr>
        <w:pStyle w:val="null3"/>
      </w:pPr>
      <w:r>
        <w:rPr/>
        <w:t xml:space="preserve"> 联系人： </w:t>
      </w:r>
      <w:r>
        <w:rPr/>
        <w:t>吴芳超 褚振</w:t>
      </w:r>
    </w:p>
    <w:p>
      <w:pPr>
        <w:pStyle w:val="null3"/>
      </w:pPr>
      <w:r>
        <w:rPr/>
        <w:t xml:space="preserve"> 联系电话： </w:t>
      </w:r>
      <w:r>
        <w:rPr/>
        <w:t>029-89565998</w:t>
      </w:r>
    </w:p>
    <w:p>
      <w:pPr>
        <w:pStyle w:val="null3"/>
        <w:outlineLvl w:val="2"/>
      </w:pPr>
      <w:r>
        <w:rPr>
          <w:sz w:val="28"/>
          <w:b/>
        </w:rPr>
        <w:t>采购监督机构：</w:t>
      </w:r>
      <w:r>
        <w:rPr>
          <w:sz w:val="28"/>
          <w:b/>
        </w:rPr>
        <w:t>陕西省财政厅政府采购管理处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采购包1保证金金额：13,000.00元</w:t>
            </w:r>
          </w:p>
          <w:p>
            <w:pPr>
              <w:pStyle w:val="null3"/>
            </w:pPr>
            <w:r>
              <w:rPr/>
              <w:t>缴交渠道：电子保函,转账、支票、汇票等（需通过实体账户、户名及开户行信息）</w:t>
            </w:r>
          </w:p>
          <w:p>
            <w:pPr>
              <w:pStyle w:val="null3"/>
            </w:pPr>
            <w:r>
              <w:rPr/>
              <w:t>开户名称：陕西众诚致信管理咨询有限公司</w:t>
            </w:r>
          </w:p>
          <w:p>
            <w:pPr>
              <w:pStyle w:val="null3"/>
            </w:pPr>
            <w:r>
              <w:rPr/>
              <w:t>开户银行：中国银行西安东二环景观路支行</w:t>
            </w:r>
          </w:p>
          <w:p>
            <w:pPr>
              <w:pStyle w:val="null3"/>
            </w:pPr>
            <w:r>
              <w:rPr/>
              <w:t>银行账号：103687546832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说明：供应商成交后凭成交通知书向学校缴纳成交金额的5%作为履约保证金，待合同履约完毕后无息退还。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代理服务费收费标准：1、100万元（不含）以下的项目代理服务费参照国家发展与改革委员会《招标代理服务收费暂行办法》（计价格[2002]1980 号）文件规定标准计取，100万元（含）以上的项目代理服务费参照国家发展与改革委员会《招标代理服务收费暂行办法》（计价格[2002]1980 号）文件规定标准75%计取。 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陕西众诚致信管理咨询有限公司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联系人：吴芳超</w:t>
      </w:r>
    </w:p>
    <w:p>
      <w:pPr>
        <w:pStyle w:val="null3"/>
      </w:pPr>
      <w:r>
        <w:rPr/>
        <w:t>联系电话：029-89565998</w:t>
      </w:r>
    </w:p>
    <w:p>
      <w:pPr>
        <w:pStyle w:val="null3"/>
      </w:pPr>
      <w:r>
        <w:rPr/>
        <w:t>地址：西安曲江新区翠华南路1688号创意盒子13层04室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为精确测量污染物吸入至呼吸道具体部位的有效剂量，提出更加有效的局部空间环境控制方法及个体防护措施提供理论基础和依据，现需采购呼吸暖体假人一套。</w:t>
      </w:r>
    </w:p>
    <w:p>
      <w:pPr>
        <w:pStyle w:val="null3"/>
        <w:outlineLvl w:val="2"/>
      </w:pPr>
      <w:r>
        <w:rPr>
          <w:sz w:val="28"/>
          <w:b/>
        </w:rPr>
        <w:t>3.2采购内容</w:t>
      </w:r>
    </w:p>
    <w:p>
      <w:pPr>
        <w:pStyle w:val="null3"/>
      </w:pPr>
      <w:r>
        <w:rPr/>
        <w:t>采购包1：</w:t>
      </w:r>
    </w:p>
    <w:p>
      <w:pPr>
        <w:pStyle w:val="null3"/>
      </w:pPr>
      <w:r>
        <w:rPr/>
        <w:t>采购包预算金额（元）: 650,000.00</w:t>
      </w:r>
    </w:p>
    <w:p>
      <w:pPr>
        <w:pStyle w:val="null3"/>
      </w:pPr>
      <w:r>
        <w:rPr/>
        <w:t>采购包最高限价（元）: 617,500.00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呼吸暖体假人</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标的名称：呼吸暖体假人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7"/>
              <w:gridCol w:w="256"/>
              <w:gridCol w:w="2180"/>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0"/>
                    </w:rPr>
                    <w:t>参数性质</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quot;sans-serif&quot;" w:hAnsi="calibri, &quot;sans-serif&quot;" w:cs="calibri, &quot;sans-serif&quot;" w:eastAsia="calibri, &quot;sans-serif&quot;"/>
                      <w:sz w:val="20"/>
                    </w:rPr>
                    <w:t xml:space="preserve"> </w:t>
                  </w:r>
                  <w:r>
                    <w:rPr>
                      <w:rFonts w:ascii="宋体" w:hAnsi="宋体" w:cs="宋体" w:eastAsia="宋体"/>
                      <w:sz w:val="20"/>
                    </w:rPr>
                    <w:t>序号</w:t>
                  </w:r>
                </w:p>
              </w:tc>
              <w:tc>
                <w:tcPr>
                  <w:tcW w:type="dxa" w:w="2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quot;sans-serif&quot;" w:hAnsi="calibri, &quot;sans-serif&quot;" w:cs="calibri, &quot;sans-serif&quot;" w:eastAsia="calibri, &quot;sans-serif&quot;"/>
                      <w:sz w:val="20"/>
                    </w:rPr>
                    <w:t xml:space="preserve"> </w:t>
                  </w:r>
                  <w:r>
                    <w:rPr>
                      <w:rFonts w:ascii="宋体" w:hAnsi="宋体" w:cs="宋体" w:eastAsia="宋体"/>
                      <w:sz w:val="20"/>
                    </w:rPr>
                    <w:t>技术参数与性能指标</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quot;sans-serif&quot;" w:hAnsi="calibri, &quot;sans-serif&quot;" w:cs="calibri, &quot;sans-serif&quot;" w:eastAsia="calibri, &quot;sans-serif&quot;"/>
                      <w:sz w:val="20"/>
                    </w:rPr>
                    <w:t>1</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468"/>
                    <w:gridCol w:w="1009"/>
                    <w:gridCol w:w="485"/>
                  </w:tblGrid>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0"/>
                            <w:color w:val="000000"/>
                          </w:rPr>
                          <w:t>技术指标名称</w:t>
                        </w:r>
                      </w:p>
                    </w:tc>
                    <w:tc>
                      <w:tcPr>
                        <w:tcW w:type="dxa" w:w="10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0"/>
                            <w:color w:val="000000"/>
                          </w:rPr>
                          <w:t>技术指标</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b/>
                            <w:color w:val="000000"/>
                          </w:rPr>
                          <w:t>不可负偏离的参数 “★”</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0"/>
                            <w:color w:val="000000"/>
                          </w:rPr>
                          <w:t>体型</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符合亚洲男性人体体型，上下半身可拆分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b/>
                            <w:color w:val="000000"/>
                          </w:rPr>
                          <w:t>★</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0"/>
                            <w:color w:val="000000"/>
                          </w:rPr>
                          <w:t>头部</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color w:val="000000"/>
                          </w:rPr>
                          <w:t>含五官带呼吸接口的仿生人头</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b/>
                            <w:color w:val="000000"/>
                          </w:rPr>
                          <w:t>★</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分区</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0"/>
                            <w:color w:val="000000"/>
                          </w:rPr>
                          <w:t>16</w:t>
                        </w:r>
                        <w:r>
                          <w:rPr>
                            <w:rFonts w:ascii="仿宋" w:hAnsi="仿宋" w:cs="仿宋" w:eastAsia="仿宋"/>
                            <w:sz w:val="20"/>
                            <w:color w:val="000000"/>
                          </w:rPr>
                          <w:t>区</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b/>
                            <w:color w:val="000000"/>
                          </w:rPr>
                          <w:t>▲</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表面温度</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范围：15-45℃，精度：±0.1℃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b/>
                            <w:color w:val="000000"/>
                          </w:rPr>
                          <w:t>★</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可实现姿态</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quot;sans-serif&quot;" w:hAnsi="calibri, &quot;sans-serif&quot;" w:cs="calibri, &quot;sans-serif&quot;" w:eastAsia="calibri, &quot;sans-serif&quot;"/>
                            <w:sz w:val="21"/>
                            <w:color w:val="000000"/>
                          </w:rPr>
                          <w:t>呼吸假人活动性：支持不同身体姿势和动作，活动关节，关节系统可</w:t>
                        </w:r>
                        <w:r>
                          <w:rPr>
                            <w:rFonts w:ascii="calibri, &quot;sans-serif&quot;" w:hAnsi="calibri, &quot;sans-serif&quot;" w:cs="calibri, &quot;sans-serif&quot;" w:eastAsia="calibri, &quot;sans-serif&quot;"/>
                            <w:sz w:val="21"/>
                            <w:color w:val="000000"/>
                          </w:rPr>
                          <w:t>使</w:t>
                        </w:r>
                        <w:r>
                          <w:rPr>
                            <w:rFonts w:ascii="仿宋" w:hAnsi="仿宋" w:cs="仿宋" w:eastAsia="仿宋"/>
                            <w:sz w:val="21"/>
                            <w:color w:val="000000"/>
                          </w:rPr>
                          <w:t>腿部可以90°弯曲，100°旋转，肩关节可以摆动300°，可实现坐姿、站姿、躺姿等动作形态</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b/>
                            <w:color w:val="000000"/>
                          </w:rPr>
                          <w:t>★</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呼吸功能</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任意波形呼气和吸气，呼吸频率10-50次/min，呼吸量10-40L/min，呼吸系统可加温加湿，并有气体混合箱。呼出气流温湿度可调，呼出气流温度可调范围：30-35℃，湿度：70%-90%</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b/>
                            <w:color w:val="000000"/>
                          </w:rPr>
                          <w:t>★</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控制软件</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专用控制软件，可实时显现表面温度</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b/>
                            <w:color w:val="000000"/>
                          </w:rPr>
                          <w:t>▲</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其他</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color w:val="000000"/>
                          </w:rPr>
                          <w:t>假人体表可贴温度计</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b/>
                            <w:color w:val="000000"/>
                          </w:rPr>
                          <w:t>▲</w:t>
                        </w:r>
                      </w:p>
                    </w:tc>
                  </w:tr>
                </w:tbl>
                <w:p>
                  <w:pPr>
                    <w:pStyle w:val="null3"/>
                    <w:jc w:val="left"/>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合同签订之日起180日历日内完成交付、安装及调试。</w:t>
      </w:r>
    </w:p>
    <w:p>
      <w:pPr>
        <w:pStyle w:val="null3"/>
        <w:outlineLvl w:val="3"/>
      </w:pPr>
      <w:r>
        <w:rPr>
          <w:sz w:val="24"/>
          <w:b/>
        </w:rPr>
        <w:t>3.4.2交货地点</w:t>
      </w:r>
    </w:p>
    <w:p>
      <w:pPr>
        <w:pStyle w:val="null3"/>
      </w:pPr>
      <w:r>
        <w:rPr/>
        <w:t>采购包1：</w:t>
      </w:r>
    </w:p>
    <w:p>
      <w:pPr>
        <w:pStyle w:val="null3"/>
      </w:pPr>
      <w:r>
        <w:rPr/>
        <w:t>西安建筑科大学雁塔校区资源工程学院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合同生效后，由学校通过双方认可的进口业务代理公司向成交供应商指定国外设备供应商开出100%信用证，其中90%货款凭外贸合同约定单据及学校出具的开箱点货报告原件解付</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其余10%货款在设备验收合格后凭学校签署验收报告解付</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详见合同文本</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 质量保证与售后要求 ：验收合格通过之日起1年； 2. 售后服务响应时间（质保期内）：即时响应（包括电话响应）；电话响应无法解决 48 小时内到达现场。修复时间 12 小时内解决；如在 48 小时内无法修复，则提供部件冗余服务或采取应急措施，提供相同产品或不低于故障产品规格档次的备用产品供采购人使用，以确保货物的正常使用； 3. 培训内容及要求：培训2-5人次、每次培训不低于2小时，保证受训人员可以熟练操作设备和进行一般的故障排查 。</w:t>
      </w:r>
    </w:p>
    <w:p>
      <w:pPr>
        <w:pStyle w:val="null3"/>
        <w:outlineLvl w:val="3"/>
      </w:pPr>
      <w:r>
        <w:rPr>
          <w:sz w:val="24"/>
          <w:b/>
        </w:rPr>
        <w:t>3.4.8违约责任与解决争议的方法</w:t>
      </w:r>
    </w:p>
    <w:p>
      <w:pPr>
        <w:pStyle w:val="null3"/>
      </w:pPr>
      <w:r>
        <w:rPr/>
        <w:t>采购包1：</w:t>
      </w:r>
    </w:p>
    <w:p>
      <w:pPr>
        <w:pStyle w:val="null3"/>
      </w:pPr>
      <w:r>
        <w:rPr/>
        <w:t>详见合同文本</w:t>
      </w:r>
    </w:p>
    <w:p>
      <w:pPr>
        <w:pStyle w:val="null3"/>
        <w:jc w:val="left"/>
        <w:outlineLvl w:val="2"/>
      </w:pPr>
      <w:r>
        <w:rPr>
          <w:sz w:val="28"/>
          <w:b/>
        </w:rPr>
        <w:t>3.5其他要求</w:t>
      </w:r>
    </w:p>
    <w:p>
      <w:pPr>
        <w:pStyle w:val="null3"/>
      </w:pPr>
      <w:r>
        <w:rPr/>
        <w:t xml:space="preserve">一、 付款方式：1.国产设备： 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 2.进口设备： 合同生效后，由学校通过双方认可的进口业务代理公司向成交供应商指定国外设备供应商开出100%信用证，其中90%货款凭外贸合同约定单据及学校出具的开箱点货报告原件解付，其余10%货款在设备验收合格后凭学校签署验收报告解付。 注：国内现货进口设备，按国产付款。 二、其他要求：中标人在领取中标通知书时提供纸质投标文件2份及电子投标文件1份（U盘存储）。纸质投标文件采用书籍（胶装）方式装订成册，与电子投标文件一致的签字、盖章的完整版本。 </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 。</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具有良好的商业信誉和健全的财务会计制度（供应商应提供2023年经审计的财务报告或银行出具的资信证明）。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授权书</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进口产品授权书</w:t>
            </w:r>
          </w:p>
        </w:tc>
        <w:tc>
          <w:tcPr>
            <w:tcW w:type="dxa" w:w="3322"/>
          </w:tcPr>
          <w:p>
            <w:pPr>
              <w:pStyle w:val="null3"/>
            </w:pPr>
            <w:r>
              <w:rPr/>
              <w:t>所投产品为进口产品的，供应商需提供所投产品授权书。</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 投标人的报价明显低于其他通过符合性审查投标人的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开标一览表 技术偏离表 报价明细表 标的清单 商务条款（合同条款）偏离表 投标文件封面</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投标报价未超出采购预算或单价最高限价。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技术偏离表 标的清单</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依据各投标人所投产品的主要技术指标、参数及性能等情况，以及与招标文件技术要求的响应程度打分，满分15分。 ▲项（共3项）每负偏离一项扣5分，扣完为止。 评审依据：标▲项提供有效的证明材料（包括但不限于技术白皮书、产品彩页、说明书、检测报告、官网截图等，不提供不得分）。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技术指标</w:t>
            </w:r>
          </w:p>
        </w:tc>
      </w:tr>
      <w:tr>
        <w:tc>
          <w:tcPr>
            <w:tcW w:type="dxa" w:w="831"/>
            <w:vMerge/>
          </w:tcPr>
          <w:p/>
        </w:tc>
        <w:tc>
          <w:tcPr>
            <w:tcW w:type="dxa" w:w="1661"/>
          </w:tcPr>
          <w:p>
            <w:pPr>
              <w:pStyle w:val="null3"/>
            </w:pPr>
            <w:r>
              <w:rPr/>
              <w:t>实施方案</w:t>
            </w:r>
          </w:p>
        </w:tc>
        <w:tc>
          <w:tcPr>
            <w:tcW w:type="dxa" w:w="2492"/>
          </w:tcPr>
          <w:p>
            <w:pPr>
              <w:pStyle w:val="null3"/>
            </w:pPr>
            <w:r>
              <w:rPr/>
              <w:t>根据本项目提供具体的实施方案 1、人员配置分工； 2、组织协调措施； 3、供货组织安排； 4、培训方案。 评审标准：以上服务方案描述详细，条理清晰，切实可行，满足技术标准要求（共4项，满分12分）。 （1）满足评审标准的，每项得（2-3]分； （2）基本满足评审标准的，每项得（1-2]分； （3）不满足评审标准或未提供的，该项不得分。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质量保障</w:t>
            </w:r>
          </w:p>
        </w:tc>
        <w:tc>
          <w:tcPr>
            <w:tcW w:type="dxa" w:w="2492"/>
          </w:tcPr>
          <w:p>
            <w:pPr>
              <w:pStyle w:val="null3"/>
            </w:pPr>
            <w:r>
              <w:rPr/>
              <w:t>根据项目实际需求，提供质量保证方案。 1、产品性能、使用寿命及效果； 2、提供产品来源渠道合法的证明文件； 3、质量保证措施完善，符合国内相关标准。 评审标准：以上方案描述详细，条理清晰，（共3项，满分9分）。 （1）满足评审标准的，每项得（2-3]分； （2）基本满足评审标准的，每项得（1-2]分； （3）不满足评审标准或未提供的，该项不得分。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质量保障</w:t>
            </w:r>
          </w:p>
          <w:p>
            <w:pPr>
              <w:pStyle w:val="null3"/>
            </w:pPr>
            <w:r>
              <w:rPr/>
              <w:t>产品使用寿命承诺函</w:t>
            </w:r>
          </w:p>
        </w:tc>
      </w:tr>
      <w:tr>
        <w:tc>
          <w:tcPr>
            <w:tcW w:type="dxa" w:w="831"/>
            <w:vMerge/>
          </w:tcPr>
          <w:p/>
        </w:tc>
        <w:tc>
          <w:tcPr>
            <w:tcW w:type="dxa" w:w="1661"/>
          </w:tcPr>
          <w:p>
            <w:pPr>
              <w:pStyle w:val="null3"/>
            </w:pPr>
            <w:r>
              <w:rPr/>
              <w:t>售后服务</w:t>
            </w:r>
          </w:p>
        </w:tc>
        <w:tc>
          <w:tcPr>
            <w:tcW w:type="dxa" w:w="2492"/>
          </w:tcPr>
          <w:p>
            <w:pPr>
              <w:pStyle w:val="null3"/>
            </w:pPr>
            <w:r>
              <w:rPr/>
              <w:t>1、根据投标人提供的项目售后服务方案进行评审 1-1、响应时间、问题收集与处理方式； 1-2、日常维护保养，产品更新和改进、应急补救措施； 1-3、备品备件、耗材更换的服务承诺。 评审标准：以上服务方案描述详细，条理清晰，切实可行，满足技术标准要求（共3项，满分9分）。 （1）满足评审标准的，每项得（2-3]分； （2）基本满足评审标准的，每项得（1-2]分； （3）不满足评审标准或未提供的，该项不得分。 2、供应商具有本地化服务能力，提供相关证明材料，计2分。</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供应商提供2020年1月至今类似项目业绩，业绩以合同为依据，投标文件中附有其证明资料，每提供一个业绩证明计1分，满分8分。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价格分采用低价优先法计算，即满足招标文件要求且投标价格最低的投标报价为评标基准价，其价格分为满分。其他投标人的价格分统一按照下列公式计算： 投标报价得分=（评标基准价/投标报价）×价格权值（即45%）×100 （因落实政府采购政策进行价格调整的，以调整后的价格计算评标基准价和投标报价）</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报价明细表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详见附件：技术偏离表</w:t>
      </w:r>
    </w:p>
    <w:p>
      <w:pPr>
        <w:pStyle w:val="null3"/>
        <w:ind w:firstLine="960"/>
      </w:pPr>
      <w:r>
        <w:rPr/>
        <w:t>详见附件：商务条款（合同条款）偏离表</w:t>
      </w:r>
    </w:p>
    <w:p>
      <w:pPr>
        <w:pStyle w:val="null3"/>
        <w:ind w:firstLine="960"/>
      </w:pPr>
      <w:r>
        <w:rPr/>
        <w:t>详见附件：技术指标</w:t>
      </w:r>
    </w:p>
    <w:p>
      <w:pPr>
        <w:pStyle w:val="null3"/>
        <w:ind w:firstLine="960"/>
      </w:pPr>
      <w:r>
        <w:rPr/>
        <w:t>详见附件：实施方案</w:t>
      </w:r>
    </w:p>
    <w:p>
      <w:pPr>
        <w:pStyle w:val="null3"/>
        <w:ind w:firstLine="960"/>
      </w:pPr>
      <w:r>
        <w:rPr/>
        <w:t>详见附件：质量保障</w:t>
      </w:r>
    </w:p>
    <w:p>
      <w:pPr>
        <w:pStyle w:val="null3"/>
        <w:ind w:firstLine="960"/>
      </w:pPr>
      <w:r>
        <w:rPr/>
        <w:t>详见附件：售后服务</w:t>
      </w:r>
    </w:p>
    <w:p>
      <w:pPr>
        <w:pStyle w:val="null3"/>
        <w:ind w:firstLine="960"/>
      </w:pPr>
      <w:r>
        <w:rPr/>
        <w:t>详见附件：业绩</w:t>
      </w:r>
    </w:p>
    <w:p>
      <w:pPr>
        <w:pStyle w:val="null3"/>
        <w:ind w:firstLine="960"/>
      </w:pPr>
      <w:r>
        <w:rPr/>
        <w:t>详见附件：资格证明文件</w:t>
      </w:r>
    </w:p>
    <w:p>
      <w:pPr>
        <w:pStyle w:val="null3"/>
        <w:ind w:firstLine="960"/>
      </w:pPr>
      <w:r>
        <w:rPr/>
        <w:t>详见附件：产品使用寿命承诺函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