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6286A">
      <w:pPr>
        <w:pStyle w:val="4"/>
        <w:jc w:val="both"/>
        <w:rPr>
          <w:rFonts w:hint="default"/>
        </w:rPr>
      </w:pPr>
      <w:r>
        <w:t>一 、项目概况</w:t>
      </w:r>
    </w:p>
    <w:p w14:paraId="2A218F0B">
      <w:pPr>
        <w:pStyle w:val="4"/>
        <w:ind w:firstLine="480"/>
        <w:rPr>
          <w:rFonts w:hint="default"/>
          <w:lang w:eastAsia="zh-CN"/>
        </w:rPr>
      </w:pPr>
      <w:r>
        <w:rPr>
          <w:lang w:eastAsia="zh-CN"/>
        </w:rPr>
        <w:t>本项目位于西安建筑科技大学草堂校区，因草堂校区近年办学规模不断增大，师生人数明显增多，现有污水处理系统无法满足处理需求，现需</w:t>
      </w:r>
      <w:r>
        <w:rPr>
          <w:rFonts w:hint="eastAsia"/>
          <w:lang w:val="en-US" w:eastAsia="zh-CN"/>
        </w:rPr>
        <w:t>租</w:t>
      </w:r>
      <w:r>
        <w:rPr>
          <w:rFonts w:hint="eastAsia"/>
          <w:highlight w:val="none"/>
          <w:lang w:val="en-US" w:eastAsia="zh-CN"/>
        </w:rPr>
        <w:t>赁日处理量不小于</w:t>
      </w:r>
      <w:r>
        <w:rPr>
          <w:highlight w:val="none"/>
          <w:lang w:eastAsia="zh-CN"/>
        </w:rPr>
        <w:t>500吨</w:t>
      </w:r>
      <w:r>
        <w:rPr>
          <w:rFonts w:hint="eastAsia"/>
          <w:lang w:val="en-US" w:eastAsia="zh-CN"/>
        </w:rPr>
        <w:t>的</w:t>
      </w:r>
      <w:r>
        <w:rPr>
          <w:lang w:eastAsia="zh-CN"/>
        </w:rPr>
        <w:t>污水一体化处理设备对草堂校区生活污水进行处理。租赁时长约6个月，项目主要内容包括管道安装连接施工、生活污水处理设备租赁安装、场地平整、设备基础土建施工、配套设备（包括电</w:t>
      </w:r>
      <w:r>
        <w:rPr>
          <w:rFonts w:hint="eastAsia"/>
          <w:lang w:val="en-US" w:eastAsia="zh-CN"/>
        </w:rPr>
        <w:t>气</w:t>
      </w:r>
      <w:r>
        <w:rPr>
          <w:lang w:eastAsia="zh-CN"/>
        </w:rPr>
        <w:t>、水泵</w:t>
      </w:r>
      <w:r>
        <w:rPr>
          <w:rFonts w:hint="eastAsia"/>
          <w:lang w:eastAsia="zh-CN"/>
        </w:rPr>
        <w:t>、</w:t>
      </w:r>
      <w:r>
        <w:rPr>
          <w:rFonts w:hint="eastAsia"/>
          <w:lang w:val="en-US" w:eastAsia="zh-CN"/>
        </w:rPr>
        <w:t>加药、排泥</w:t>
      </w:r>
      <w:r>
        <w:rPr>
          <w:lang w:eastAsia="zh-CN"/>
        </w:rPr>
        <w:t>和控制系统等）、设备调试运行和验收、设备租赁到期后拆除等内容。</w:t>
      </w:r>
    </w:p>
    <w:p w14:paraId="693663C1">
      <w:pPr>
        <w:pStyle w:val="4"/>
        <w:jc w:val="both"/>
        <w:rPr>
          <w:rFonts w:hint="default"/>
        </w:rPr>
      </w:pPr>
      <w:r>
        <w:t>二 、服务需求</w:t>
      </w:r>
    </w:p>
    <w:p w14:paraId="572D54D8">
      <w:pPr>
        <w:pStyle w:val="4"/>
        <w:jc w:val="both"/>
        <w:rPr>
          <w:rFonts w:hint="default"/>
        </w:rPr>
      </w:pPr>
      <w:r>
        <w:t>1.服务模式：采用设备租赁(含运维)模式，中标供应商按要求提供污水处理服务，采购人支付中标供应商污水处理服务费。服务期内，供应商提供污水处理设备，并负责设计、运输、安装、调试、运行、维护等，服务期满后，供应商负责将污水处理设备进行拆除回收</w:t>
      </w:r>
      <w:r>
        <w:rPr>
          <w:lang w:eastAsia="zh-CN"/>
        </w:rPr>
        <w:t>，并对场地进行恢复平整</w:t>
      </w:r>
      <w:r>
        <w:t>。</w:t>
      </w:r>
    </w:p>
    <w:p w14:paraId="08A4FF1F">
      <w:pPr>
        <w:pStyle w:val="4"/>
        <w:jc w:val="both"/>
        <w:rPr>
          <w:rFonts w:hint="default"/>
        </w:rPr>
      </w:pPr>
      <w:r>
        <w:t>2.服务费用：项目最高限价</w:t>
      </w:r>
      <w:r>
        <w:rPr>
          <w:lang w:eastAsia="zh-CN"/>
        </w:rPr>
        <w:t>60</w:t>
      </w:r>
      <w:r>
        <w:t>万元。</w:t>
      </w:r>
    </w:p>
    <w:p w14:paraId="1E934958">
      <w:pPr>
        <w:pStyle w:val="4"/>
        <w:jc w:val="both"/>
        <w:rPr>
          <w:rFonts w:hint="default"/>
        </w:rPr>
      </w:pPr>
      <w:r>
        <w:t>3.水污染物排放控制要求</w:t>
      </w:r>
    </w:p>
    <w:p w14:paraId="7D5B5F7A">
      <w:pPr>
        <w:pStyle w:val="4"/>
        <w:jc w:val="both"/>
        <w:rPr>
          <w:rFonts w:hint="default"/>
        </w:rPr>
      </w:pPr>
      <w:r>
        <w:t>满足《陕西省黄河流域污水综合排放标准》DB61/224-2018表1中A标准。 下述控制项目中标注“★”的为主要控制项目，供应商必须响应，否则将视为无效投标。</w:t>
      </w:r>
    </w:p>
    <w:tbl>
      <w:tblPr>
        <w:tblStyle w:val="5"/>
        <w:tblW w:w="8890"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3743"/>
        <w:gridCol w:w="3844"/>
      </w:tblGrid>
      <w:tr w14:paraId="51EE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303" w:type="dxa"/>
            <w:vAlign w:val="center"/>
          </w:tcPr>
          <w:p w14:paraId="6C64C471">
            <w:pPr>
              <w:pStyle w:val="4"/>
              <w:jc w:val="both"/>
              <w:rPr>
                <w:rFonts w:hint="default"/>
              </w:rPr>
            </w:pPr>
            <w:r>
              <w:t>序号</w:t>
            </w:r>
          </w:p>
        </w:tc>
        <w:tc>
          <w:tcPr>
            <w:tcW w:w="3743" w:type="dxa"/>
            <w:vAlign w:val="center"/>
          </w:tcPr>
          <w:p w14:paraId="4D5B1306">
            <w:pPr>
              <w:pStyle w:val="4"/>
              <w:jc w:val="both"/>
              <w:rPr>
                <w:rFonts w:hint="default"/>
              </w:rPr>
            </w:pPr>
            <w:r>
              <w:t>控制项目</w:t>
            </w:r>
          </w:p>
        </w:tc>
        <w:tc>
          <w:tcPr>
            <w:tcW w:w="3844" w:type="dxa"/>
            <w:vAlign w:val="center"/>
          </w:tcPr>
          <w:p w14:paraId="78099661">
            <w:pPr>
              <w:pStyle w:val="4"/>
              <w:jc w:val="both"/>
              <w:rPr>
                <w:rFonts w:hint="default"/>
              </w:rPr>
            </w:pPr>
            <w:r>
              <w:t>排放浓度限值(单位：mg/L)</w:t>
            </w:r>
          </w:p>
        </w:tc>
      </w:tr>
      <w:tr w14:paraId="07EBA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1996F03E">
            <w:pPr>
              <w:pStyle w:val="4"/>
              <w:jc w:val="both"/>
              <w:rPr>
                <w:rFonts w:hint="default"/>
              </w:rPr>
            </w:pPr>
            <w:r>
              <w:t>1</w:t>
            </w:r>
          </w:p>
        </w:tc>
        <w:tc>
          <w:tcPr>
            <w:tcW w:w="3743" w:type="dxa"/>
            <w:vAlign w:val="center"/>
          </w:tcPr>
          <w:p w14:paraId="7740F9A4">
            <w:pPr>
              <w:pStyle w:val="4"/>
              <w:jc w:val="both"/>
              <w:rPr>
                <w:rFonts w:hint="default"/>
              </w:rPr>
            </w:pPr>
            <w:r>
              <w:t>★化学需氧量(COD)</w:t>
            </w:r>
          </w:p>
        </w:tc>
        <w:tc>
          <w:tcPr>
            <w:tcW w:w="3844" w:type="dxa"/>
            <w:vAlign w:val="center"/>
          </w:tcPr>
          <w:p w14:paraId="58C62C82">
            <w:pPr>
              <w:pStyle w:val="4"/>
              <w:jc w:val="both"/>
              <w:rPr>
                <w:rFonts w:hint="default"/>
              </w:rPr>
            </w:pPr>
            <w:r>
              <w:t>30</w:t>
            </w:r>
          </w:p>
        </w:tc>
      </w:tr>
      <w:tr w14:paraId="7DD7C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03" w:type="dxa"/>
            <w:vAlign w:val="center"/>
          </w:tcPr>
          <w:p w14:paraId="5775B039">
            <w:pPr>
              <w:pStyle w:val="4"/>
              <w:jc w:val="both"/>
              <w:rPr>
                <w:rFonts w:hint="default"/>
              </w:rPr>
            </w:pPr>
            <w:r>
              <w:t>2</w:t>
            </w:r>
          </w:p>
        </w:tc>
        <w:tc>
          <w:tcPr>
            <w:tcW w:w="3743" w:type="dxa"/>
            <w:vAlign w:val="center"/>
          </w:tcPr>
          <w:p w14:paraId="6F43D224">
            <w:pPr>
              <w:pStyle w:val="4"/>
              <w:jc w:val="both"/>
              <w:rPr>
                <w:rFonts w:hint="default"/>
              </w:rPr>
            </w:pPr>
            <w:r>
              <w:t>★总氮(以N计)</w:t>
            </w:r>
          </w:p>
        </w:tc>
        <w:tc>
          <w:tcPr>
            <w:tcW w:w="3844" w:type="dxa"/>
            <w:vAlign w:val="center"/>
          </w:tcPr>
          <w:p w14:paraId="4E1F044A">
            <w:pPr>
              <w:pStyle w:val="4"/>
              <w:jc w:val="both"/>
              <w:rPr>
                <w:rFonts w:hint="default"/>
              </w:rPr>
            </w:pPr>
            <w:r>
              <w:t>15</w:t>
            </w:r>
          </w:p>
        </w:tc>
      </w:tr>
      <w:tr w14:paraId="26DE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03" w:type="dxa"/>
            <w:vAlign w:val="center"/>
          </w:tcPr>
          <w:p w14:paraId="5BD1A294">
            <w:pPr>
              <w:pStyle w:val="4"/>
              <w:jc w:val="both"/>
              <w:rPr>
                <w:rFonts w:hint="default"/>
              </w:rPr>
            </w:pPr>
            <w:r>
              <w:t>3</w:t>
            </w:r>
          </w:p>
        </w:tc>
        <w:tc>
          <w:tcPr>
            <w:tcW w:w="3743" w:type="dxa"/>
            <w:vAlign w:val="center"/>
          </w:tcPr>
          <w:p w14:paraId="01C0CD8D">
            <w:pPr>
              <w:pStyle w:val="4"/>
              <w:jc w:val="both"/>
              <w:rPr>
                <w:rFonts w:hint="default"/>
              </w:rPr>
            </w:pPr>
            <w:r>
              <w:t>★氨氮(以N计)</w:t>
            </w:r>
          </w:p>
        </w:tc>
        <w:tc>
          <w:tcPr>
            <w:tcW w:w="3844" w:type="dxa"/>
            <w:vAlign w:val="center"/>
          </w:tcPr>
          <w:p w14:paraId="0D75859C">
            <w:pPr>
              <w:pStyle w:val="4"/>
              <w:jc w:val="both"/>
              <w:rPr>
                <w:rFonts w:hint="default"/>
              </w:rPr>
            </w:pPr>
            <w:r>
              <w:t>1.5(3)</w:t>
            </w:r>
          </w:p>
        </w:tc>
      </w:tr>
      <w:tr w14:paraId="6406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03" w:type="dxa"/>
            <w:vAlign w:val="center"/>
          </w:tcPr>
          <w:p w14:paraId="46BB69EC">
            <w:pPr>
              <w:pStyle w:val="4"/>
              <w:jc w:val="both"/>
              <w:rPr>
                <w:rFonts w:hint="default"/>
              </w:rPr>
            </w:pPr>
            <w:r>
              <w:t>4</w:t>
            </w:r>
          </w:p>
        </w:tc>
        <w:tc>
          <w:tcPr>
            <w:tcW w:w="3743" w:type="dxa"/>
            <w:vAlign w:val="center"/>
          </w:tcPr>
          <w:p w14:paraId="76677E10">
            <w:pPr>
              <w:pStyle w:val="4"/>
              <w:jc w:val="both"/>
              <w:rPr>
                <w:rFonts w:hint="default"/>
              </w:rPr>
            </w:pPr>
            <w:r>
              <w:t>★总磷(以N计)</w:t>
            </w:r>
          </w:p>
        </w:tc>
        <w:tc>
          <w:tcPr>
            <w:tcW w:w="3844" w:type="dxa"/>
            <w:vAlign w:val="center"/>
          </w:tcPr>
          <w:p w14:paraId="4D101B27">
            <w:pPr>
              <w:pStyle w:val="4"/>
              <w:jc w:val="both"/>
              <w:rPr>
                <w:rFonts w:hint="default"/>
              </w:rPr>
            </w:pPr>
            <w:r>
              <w:t>0.3</w:t>
            </w:r>
          </w:p>
        </w:tc>
      </w:tr>
      <w:tr w14:paraId="15748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615BD208">
            <w:pPr>
              <w:pStyle w:val="4"/>
              <w:jc w:val="both"/>
              <w:rPr>
                <w:rFonts w:hint="default"/>
                <w:lang w:eastAsia="zh-CN"/>
              </w:rPr>
            </w:pPr>
            <w:r>
              <w:rPr>
                <w:lang w:eastAsia="zh-CN"/>
              </w:rPr>
              <w:t>5</w:t>
            </w:r>
          </w:p>
        </w:tc>
        <w:tc>
          <w:tcPr>
            <w:tcW w:w="3743" w:type="dxa"/>
            <w:vAlign w:val="center"/>
          </w:tcPr>
          <w:p w14:paraId="44F56E6E">
            <w:pPr>
              <w:pStyle w:val="4"/>
              <w:jc w:val="both"/>
              <w:rPr>
                <w:rFonts w:hint="default"/>
              </w:rPr>
            </w:pPr>
            <w:r>
              <w:t>★五日生化需氧量</w:t>
            </w:r>
          </w:p>
        </w:tc>
        <w:tc>
          <w:tcPr>
            <w:tcW w:w="3844" w:type="dxa"/>
            <w:vAlign w:val="center"/>
          </w:tcPr>
          <w:p w14:paraId="4EFA123A">
            <w:pPr>
              <w:pStyle w:val="4"/>
              <w:jc w:val="both"/>
              <w:rPr>
                <w:rFonts w:hint="default"/>
              </w:rPr>
            </w:pPr>
            <w:r>
              <w:t>6</w:t>
            </w:r>
          </w:p>
        </w:tc>
      </w:tr>
      <w:tr w14:paraId="5C999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29BF450E">
            <w:pPr>
              <w:pStyle w:val="4"/>
              <w:jc w:val="both"/>
              <w:rPr>
                <w:rFonts w:hint="default"/>
              </w:rPr>
            </w:pPr>
            <w:r>
              <w:t>6</w:t>
            </w:r>
          </w:p>
        </w:tc>
        <w:tc>
          <w:tcPr>
            <w:tcW w:w="3743" w:type="dxa"/>
            <w:vAlign w:val="center"/>
          </w:tcPr>
          <w:p w14:paraId="22287926">
            <w:pPr>
              <w:pStyle w:val="4"/>
              <w:jc w:val="both"/>
              <w:rPr>
                <w:rFonts w:hint="default"/>
              </w:rPr>
            </w:pPr>
            <w:r>
              <w:t>★PH值(无量纲)</w:t>
            </w:r>
          </w:p>
        </w:tc>
        <w:tc>
          <w:tcPr>
            <w:tcW w:w="3844" w:type="dxa"/>
            <w:vAlign w:val="center"/>
          </w:tcPr>
          <w:p w14:paraId="303DB1C8">
            <w:pPr>
              <w:pStyle w:val="4"/>
              <w:jc w:val="both"/>
              <w:rPr>
                <w:rFonts w:hint="default"/>
              </w:rPr>
            </w:pPr>
            <w:r>
              <w:t>6-9</w:t>
            </w:r>
          </w:p>
        </w:tc>
      </w:tr>
      <w:tr w14:paraId="518A6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03" w:type="dxa"/>
            <w:vAlign w:val="center"/>
          </w:tcPr>
          <w:p w14:paraId="6F04D12B">
            <w:pPr>
              <w:pStyle w:val="4"/>
              <w:jc w:val="both"/>
              <w:rPr>
                <w:rFonts w:hint="default"/>
              </w:rPr>
            </w:pPr>
            <w:r>
              <w:t>7</w:t>
            </w:r>
          </w:p>
        </w:tc>
        <w:tc>
          <w:tcPr>
            <w:tcW w:w="3743" w:type="dxa"/>
            <w:vAlign w:val="center"/>
          </w:tcPr>
          <w:p w14:paraId="5C24197F">
            <w:pPr>
              <w:pStyle w:val="4"/>
              <w:jc w:val="both"/>
              <w:rPr>
                <w:rFonts w:hint="default"/>
              </w:rPr>
            </w:pPr>
            <w:r>
              <w:t>色度(稀释倍数)</w:t>
            </w:r>
          </w:p>
        </w:tc>
        <w:tc>
          <w:tcPr>
            <w:tcW w:w="3844" w:type="dxa"/>
            <w:vAlign w:val="center"/>
          </w:tcPr>
          <w:p w14:paraId="078D27F9">
            <w:pPr>
              <w:pStyle w:val="4"/>
              <w:jc w:val="both"/>
              <w:rPr>
                <w:rFonts w:hint="default"/>
              </w:rPr>
            </w:pPr>
            <w:r>
              <w:t>30</w:t>
            </w:r>
          </w:p>
        </w:tc>
      </w:tr>
      <w:tr w14:paraId="1EAAB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5A1DC24B">
            <w:pPr>
              <w:pStyle w:val="4"/>
              <w:jc w:val="both"/>
              <w:rPr>
                <w:rFonts w:hint="default"/>
              </w:rPr>
            </w:pPr>
            <w:r>
              <w:t>8</w:t>
            </w:r>
          </w:p>
        </w:tc>
        <w:tc>
          <w:tcPr>
            <w:tcW w:w="3743" w:type="dxa"/>
            <w:vAlign w:val="center"/>
          </w:tcPr>
          <w:p w14:paraId="003E1BFD">
            <w:pPr>
              <w:pStyle w:val="4"/>
              <w:jc w:val="both"/>
              <w:rPr>
                <w:rFonts w:hint="default"/>
              </w:rPr>
            </w:pPr>
            <w:r>
              <w:t>悬浮物</w:t>
            </w:r>
          </w:p>
        </w:tc>
        <w:tc>
          <w:tcPr>
            <w:tcW w:w="3844" w:type="dxa"/>
            <w:vAlign w:val="center"/>
          </w:tcPr>
          <w:p w14:paraId="3BCAEDEB">
            <w:pPr>
              <w:pStyle w:val="4"/>
              <w:jc w:val="both"/>
              <w:rPr>
                <w:rFonts w:hint="default"/>
              </w:rPr>
            </w:pPr>
            <w:r>
              <w:t>10</w:t>
            </w:r>
          </w:p>
        </w:tc>
      </w:tr>
      <w:tr w14:paraId="4C325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31C50B40">
            <w:pPr>
              <w:pStyle w:val="4"/>
              <w:jc w:val="both"/>
              <w:rPr>
                <w:rFonts w:hint="default"/>
              </w:rPr>
            </w:pPr>
            <w:r>
              <w:t>9</w:t>
            </w:r>
          </w:p>
        </w:tc>
        <w:tc>
          <w:tcPr>
            <w:tcW w:w="3743" w:type="dxa"/>
            <w:vAlign w:val="center"/>
          </w:tcPr>
          <w:p w14:paraId="3DD25B62">
            <w:pPr>
              <w:pStyle w:val="4"/>
              <w:jc w:val="both"/>
              <w:rPr>
                <w:rFonts w:hint="default"/>
              </w:rPr>
            </w:pPr>
            <w:r>
              <w:t>动植物油</w:t>
            </w:r>
          </w:p>
        </w:tc>
        <w:tc>
          <w:tcPr>
            <w:tcW w:w="3844" w:type="dxa"/>
            <w:vAlign w:val="center"/>
          </w:tcPr>
          <w:p w14:paraId="53DF44B3">
            <w:pPr>
              <w:pStyle w:val="4"/>
              <w:jc w:val="both"/>
              <w:rPr>
                <w:rFonts w:hint="default"/>
              </w:rPr>
            </w:pPr>
            <w:r>
              <w:t>1.0</w:t>
            </w:r>
          </w:p>
        </w:tc>
      </w:tr>
      <w:tr w14:paraId="2B47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03" w:type="dxa"/>
            <w:vAlign w:val="center"/>
          </w:tcPr>
          <w:p w14:paraId="4E2C9723">
            <w:pPr>
              <w:pStyle w:val="4"/>
              <w:jc w:val="both"/>
              <w:rPr>
                <w:rFonts w:hint="default"/>
              </w:rPr>
            </w:pPr>
            <w:r>
              <w:t>10</w:t>
            </w:r>
          </w:p>
        </w:tc>
        <w:tc>
          <w:tcPr>
            <w:tcW w:w="3743" w:type="dxa"/>
            <w:vAlign w:val="center"/>
          </w:tcPr>
          <w:p w14:paraId="5B6B8086">
            <w:pPr>
              <w:pStyle w:val="4"/>
              <w:jc w:val="both"/>
              <w:rPr>
                <w:rFonts w:hint="default"/>
              </w:rPr>
            </w:pPr>
            <w:r>
              <w:t>石油类</w:t>
            </w:r>
          </w:p>
        </w:tc>
        <w:tc>
          <w:tcPr>
            <w:tcW w:w="3844" w:type="dxa"/>
            <w:vAlign w:val="center"/>
          </w:tcPr>
          <w:p w14:paraId="027154CC">
            <w:pPr>
              <w:pStyle w:val="4"/>
              <w:jc w:val="both"/>
              <w:rPr>
                <w:rFonts w:hint="default"/>
              </w:rPr>
            </w:pPr>
            <w:r>
              <w:t>1.0</w:t>
            </w:r>
          </w:p>
        </w:tc>
      </w:tr>
      <w:tr w14:paraId="57007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03" w:type="dxa"/>
            <w:vAlign w:val="center"/>
          </w:tcPr>
          <w:p w14:paraId="7AC9A5FD">
            <w:pPr>
              <w:pStyle w:val="4"/>
              <w:jc w:val="both"/>
              <w:rPr>
                <w:rFonts w:hint="default"/>
              </w:rPr>
            </w:pPr>
            <w:r>
              <w:t>11</w:t>
            </w:r>
          </w:p>
        </w:tc>
        <w:tc>
          <w:tcPr>
            <w:tcW w:w="3743" w:type="dxa"/>
            <w:vAlign w:val="center"/>
          </w:tcPr>
          <w:p w14:paraId="18F8B45C">
            <w:pPr>
              <w:pStyle w:val="4"/>
              <w:jc w:val="both"/>
              <w:rPr>
                <w:rFonts w:hint="default"/>
              </w:rPr>
            </w:pPr>
            <w:r>
              <w:t>阴离子表面活性剂</w:t>
            </w:r>
          </w:p>
        </w:tc>
        <w:tc>
          <w:tcPr>
            <w:tcW w:w="3844" w:type="dxa"/>
            <w:vAlign w:val="center"/>
          </w:tcPr>
          <w:p w14:paraId="543AA608">
            <w:pPr>
              <w:pStyle w:val="4"/>
              <w:jc w:val="both"/>
              <w:rPr>
                <w:rFonts w:hint="default"/>
              </w:rPr>
            </w:pPr>
            <w:r>
              <w:t>0.5</w:t>
            </w:r>
          </w:p>
        </w:tc>
      </w:tr>
      <w:tr w14:paraId="2E264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303" w:type="dxa"/>
            <w:vAlign w:val="center"/>
          </w:tcPr>
          <w:p w14:paraId="0EE20A09">
            <w:pPr>
              <w:pStyle w:val="4"/>
              <w:jc w:val="both"/>
              <w:rPr>
                <w:rFonts w:hint="default"/>
              </w:rPr>
            </w:pPr>
            <w:r>
              <w:t>12</w:t>
            </w:r>
          </w:p>
        </w:tc>
        <w:tc>
          <w:tcPr>
            <w:tcW w:w="3743" w:type="dxa"/>
            <w:vAlign w:val="center"/>
          </w:tcPr>
          <w:p w14:paraId="2BC91085">
            <w:pPr>
              <w:pStyle w:val="4"/>
              <w:jc w:val="both"/>
              <w:rPr>
                <w:rFonts w:hint="default"/>
              </w:rPr>
            </w:pPr>
            <w:r>
              <w:t>粪大肠杆菌数(个/L)</w:t>
            </w:r>
          </w:p>
        </w:tc>
        <w:tc>
          <w:tcPr>
            <w:tcW w:w="3844" w:type="dxa"/>
            <w:vAlign w:val="center"/>
          </w:tcPr>
          <w:p w14:paraId="0EDB04BE">
            <w:pPr>
              <w:pStyle w:val="4"/>
              <w:jc w:val="both"/>
              <w:rPr>
                <w:rFonts w:hint="default"/>
              </w:rPr>
            </w:pPr>
            <w:r>
              <w:t>1000</w:t>
            </w:r>
          </w:p>
        </w:tc>
      </w:tr>
      <w:tr w14:paraId="4C85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543EE534">
            <w:pPr>
              <w:pStyle w:val="4"/>
              <w:jc w:val="both"/>
              <w:rPr>
                <w:rFonts w:hint="default"/>
              </w:rPr>
            </w:pPr>
            <w:r>
              <w:t>13</w:t>
            </w:r>
          </w:p>
        </w:tc>
        <w:tc>
          <w:tcPr>
            <w:tcW w:w="3743" w:type="dxa"/>
            <w:vAlign w:val="center"/>
          </w:tcPr>
          <w:p w14:paraId="145CF61B">
            <w:pPr>
              <w:pStyle w:val="4"/>
              <w:jc w:val="both"/>
              <w:rPr>
                <w:rFonts w:hint="default"/>
              </w:rPr>
            </w:pPr>
            <w:r>
              <w:t>总汞</w:t>
            </w:r>
          </w:p>
        </w:tc>
        <w:tc>
          <w:tcPr>
            <w:tcW w:w="3844" w:type="dxa"/>
            <w:vAlign w:val="center"/>
          </w:tcPr>
          <w:p w14:paraId="059EBC70">
            <w:pPr>
              <w:pStyle w:val="4"/>
              <w:jc w:val="both"/>
              <w:rPr>
                <w:rFonts w:hint="default"/>
              </w:rPr>
            </w:pPr>
            <w:r>
              <w:t>0.001</w:t>
            </w:r>
          </w:p>
        </w:tc>
      </w:tr>
      <w:tr w14:paraId="67FDD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03" w:type="dxa"/>
            <w:vAlign w:val="center"/>
          </w:tcPr>
          <w:p w14:paraId="65258B94">
            <w:pPr>
              <w:pStyle w:val="4"/>
              <w:jc w:val="both"/>
              <w:rPr>
                <w:rFonts w:hint="default"/>
              </w:rPr>
            </w:pPr>
            <w:r>
              <w:t>14</w:t>
            </w:r>
          </w:p>
        </w:tc>
        <w:tc>
          <w:tcPr>
            <w:tcW w:w="3743" w:type="dxa"/>
            <w:vAlign w:val="center"/>
          </w:tcPr>
          <w:p w14:paraId="42F6F933">
            <w:pPr>
              <w:pStyle w:val="4"/>
              <w:jc w:val="both"/>
              <w:rPr>
                <w:rFonts w:hint="default"/>
              </w:rPr>
            </w:pPr>
            <w:r>
              <w:t>烷基汞</w:t>
            </w:r>
          </w:p>
        </w:tc>
        <w:tc>
          <w:tcPr>
            <w:tcW w:w="3844" w:type="dxa"/>
            <w:vAlign w:val="center"/>
          </w:tcPr>
          <w:p w14:paraId="21AD86A6">
            <w:pPr>
              <w:pStyle w:val="4"/>
              <w:jc w:val="both"/>
              <w:rPr>
                <w:rFonts w:hint="default"/>
              </w:rPr>
            </w:pPr>
            <w:r>
              <w:t>不得检出</w:t>
            </w:r>
          </w:p>
        </w:tc>
      </w:tr>
      <w:tr w14:paraId="6B1F3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42352592">
            <w:pPr>
              <w:pStyle w:val="4"/>
              <w:jc w:val="both"/>
              <w:rPr>
                <w:rFonts w:hint="default"/>
              </w:rPr>
            </w:pPr>
            <w:r>
              <w:t>15</w:t>
            </w:r>
          </w:p>
        </w:tc>
        <w:tc>
          <w:tcPr>
            <w:tcW w:w="3743" w:type="dxa"/>
            <w:vAlign w:val="center"/>
          </w:tcPr>
          <w:p w14:paraId="59164901">
            <w:pPr>
              <w:pStyle w:val="4"/>
              <w:jc w:val="both"/>
              <w:rPr>
                <w:rFonts w:hint="default"/>
              </w:rPr>
            </w:pPr>
            <w:r>
              <w:t>总镉</w:t>
            </w:r>
          </w:p>
        </w:tc>
        <w:tc>
          <w:tcPr>
            <w:tcW w:w="3844" w:type="dxa"/>
            <w:vAlign w:val="center"/>
          </w:tcPr>
          <w:p w14:paraId="69ED25A5">
            <w:pPr>
              <w:pStyle w:val="4"/>
              <w:jc w:val="both"/>
              <w:rPr>
                <w:rFonts w:hint="default"/>
              </w:rPr>
            </w:pPr>
            <w:r>
              <w:t>0.01</w:t>
            </w:r>
          </w:p>
        </w:tc>
      </w:tr>
      <w:tr w14:paraId="7A43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03" w:type="dxa"/>
            <w:vAlign w:val="center"/>
          </w:tcPr>
          <w:p w14:paraId="1F16362B">
            <w:pPr>
              <w:pStyle w:val="4"/>
              <w:jc w:val="both"/>
              <w:rPr>
                <w:rFonts w:hint="default"/>
              </w:rPr>
            </w:pPr>
            <w:r>
              <w:t>16</w:t>
            </w:r>
          </w:p>
        </w:tc>
        <w:tc>
          <w:tcPr>
            <w:tcW w:w="3743" w:type="dxa"/>
            <w:vAlign w:val="center"/>
          </w:tcPr>
          <w:p w14:paraId="3C13AF95">
            <w:pPr>
              <w:pStyle w:val="4"/>
              <w:jc w:val="both"/>
              <w:rPr>
                <w:rFonts w:hint="default"/>
              </w:rPr>
            </w:pPr>
            <w:r>
              <w:t>总铬</w:t>
            </w:r>
          </w:p>
        </w:tc>
        <w:tc>
          <w:tcPr>
            <w:tcW w:w="3844" w:type="dxa"/>
            <w:vAlign w:val="center"/>
          </w:tcPr>
          <w:p w14:paraId="02107E0E">
            <w:pPr>
              <w:pStyle w:val="4"/>
              <w:jc w:val="both"/>
              <w:rPr>
                <w:rFonts w:hint="default"/>
              </w:rPr>
            </w:pPr>
            <w:r>
              <w:t>0.1</w:t>
            </w:r>
          </w:p>
        </w:tc>
      </w:tr>
      <w:tr w14:paraId="3385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3" w:type="dxa"/>
            <w:vAlign w:val="center"/>
          </w:tcPr>
          <w:p w14:paraId="2329A018">
            <w:pPr>
              <w:pStyle w:val="4"/>
              <w:jc w:val="both"/>
              <w:rPr>
                <w:rFonts w:hint="default"/>
              </w:rPr>
            </w:pPr>
            <w:r>
              <w:t>17</w:t>
            </w:r>
          </w:p>
        </w:tc>
        <w:tc>
          <w:tcPr>
            <w:tcW w:w="3743" w:type="dxa"/>
            <w:vAlign w:val="center"/>
          </w:tcPr>
          <w:p w14:paraId="4133F0EE">
            <w:pPr>
              <w:pStyle w:val="4"/>
              <w:jc w:val="both"/>
              <w:rPr>
                <w:rFonts w:hint="default"/>
              </w:rPr>
            </w:pPr>
            <w:r>
              <w:t>六价铬</w:t>
            </w:r>
          </w:p>
        </w:tc>
        <w:tc>
          <w:tcPr>
            <w:tcW w:w="3844" w:type="dxa"/>
            <w:vAlign w:val="center"/>
          </w:tcPr>
          <w:p w14:paraId="516119DA">
            <w:pPr>
              <w:pStyle w:val="4"/>
              <w:jc w:val="both"/>
              <w:rPr>
                <w:rFonts w:hint="default"/>
              </w:rPr>
            </w:pPr>
            <w:r>
              <w:t>0.05</w:t>
            </w:r>
          </w:p>
        </w:tc>
      </w:tr>
      <w:tr w14:paraId="394A6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303" w:type="dxa"/>
            <w:vAlign w:val="center"/>
          </w:tcPr>
          <w:p w14:paraId="5E6A0D6B">
            <w:pPr>
              <w:pStyle w:val="4"/>
              <w:jc w:val="both"/>
              <w:rPr>
                <w:rFonts w:hint="default"/>
              </w:rPr>
            </w:pPr>
            <w:r>
              <w:t>18</w:t>
            </w:r>
          </w:p>
        </w:tc>
        <w:tc>
          <w:tcPr>
            <w:tcW w:w="3743" w:type="dxa"/>
            <w:vAlign w:val="center"/>
          </w:tcPr>
          <w:p w14:paraId="1F84B8A6">
            <w:pPr>
              <w:pStyle w:val="4"/>
              <w:jc w:val="both"/>
              <w:rPr>
                <w:rFonts w:hint="default"/>
              </w:rPr>
            </w:pPr>
            <w:r>
              <w:t>总砷</w:t>
            </w:r>
          </w:p>
        </w:tc>
        <w:tc>
          <w:tcPr>
            <w:tcW w:w="3844" w:type="dxa"/>
            <w:vAlign w:val="center"/>
          </w:tcPr>
          <w:p w14:paraId="6F113CE9">
            <w:pPr>
              <w:pStyle w:val="4"/>
              <w:jc w:val="both"/>
              <w:rPr>
                <w:rFonts w:hint="default"/>
              </w:rPr>
            </w:pPr>
            <w:r>
              <w:t>0.1</w:t>
            </w:r>
          </w:p>
        </w:tc>
      </w:tr>
      <w:tr w14:paraId="29F7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03" w:type="dxa"/>
            <w:vAlign w:val="center"/>
          </w:tcPr>
          <w:p w14:paraId="46BA118F">
            <w:pPr>
              <w:pStyle w:val="4"/>
              <w:jc w:val="both"/>
              <w:rPr>
                <w:rFonts w:hint="default"/>
              </w:rPr>
            </w:pPr>
            <w:r>
              <w:t>19</w:t>
            </w:r>
          </w:p>
        </w:tc>
        <w:tc>
          <w:tcPr>
            <w:tcW w:w="3743" w:type="dxa"/>
            <w:vAlign w:val="center"/>
          </w:tcPr>
          <w:p w14:paraId="7F72908A">
            <w:pPr>
              <w:pStyle w:val="4"/>
              <w:jc w:val="both"/>
              <w:rPr>
                <w:rFonts w:hint="default"/>
              </w:rPr>
            </w:pPr>
            <w:r>
              <w:t>总铅</w:t>
            </w:r>
          </w:p>
        </w:tc>
        <w:tc>
          <w:tcPr>
            <w:tcW w:w="3844" w:type="dxa"/>
            <w:vAlign w:val="center"/>
          </w:tcPr>
          <w:p w14:paraId="51D5DE3A">
            <w:pPr>
              <w:pStyle w:val="4"/>
              <w:jc w:val="both"/>
              <w:rPr>
                <w:rFonts w:hint="default"/>
              </w:rPr>
            </w:pPr>
            <w:r>
              <w:t>0.1</w:t>
            </w:r>
          </w:p>
        </w:tc>
      </w:tr>
      <w:tr w14:paraId="01EF4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890" w:type="dxa"/>
            <w:gridSpan w:val="3"/>
            <w:vAlign w:val="center"/>
          </w:tcPr>
          <w:p w14:paraId="6F30525F">
            <w:pPr>
              <w:pStyle w:val="4"/>
              <w:jc w:val="both"/>
              <w:rPr>
                <w:rFonts w:hint="default"/>
              </w:rPr>
            </w:pPr>
            <w:r>
              <w:t>备注：括号外数值为水温&gt;12℃时的控制指标，括号内数值为水温≤12℃的控制指标。</w:t>
            </w:r>
          </w:p>
        </w:tc>
      </w:tr>
    </w:tbl>
    <w:p w14:paraId="7FE2405F">
      <w:pPr>
        <w:pStyle w:val="4"/>
        <w:jc w:val="both"/>
        <w:rPr>
          <w:rFonts w:hint="default"/>
        </w:rPr>
      </w:pPr>
      <w:r>
        <w:rPr>
          <w:rFonts w:hint="default"/>
        </w:rPr>
        <w:t>4</w:t>
      </w:r>
      <w:r>
        <w:t>.技术规格要求</w:t>
      </w:r>
    </w:p>
    <w:p w14:paraId="6059DC10">
      <w:pPr>
        <w:pStyle w:val="4"/>
        <w:jc w:val="both"/>
        <w:rPr>
          <w:rFonts w:hint="default"/>
          <w:lang w:eastAsia="zh-CN"/>
        </w:rPr>
      </w:pPr>
      <w:r>
        <w:t>供应商需提供产品说明书或产品技术参数及宣传彩页等能够支撑下列要求的资料，作为评审依据</w:t>
      </w:r>
      <w:r>
        <w:rPr>
          <w:lang w:eastAsia="zh-CN"/>
        </w:rPr>
        <w:t>。</w:t>
      </w:r>
    </w:p>
    <w:p w14:paraId="2B682437">
      <w:pPr>
        <w:pStyle w:val="4"/>
        <w:jc w:val="both"/>
        <w:rPr>
          <w:rFonts w:hint="default"/>
        </w:rPr>
      </w:pPr>
    </w:p>
    <w:tbl>
      <w:tblPr>
        <w:tblStyle w:val="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534"/>
        <w:gridCol w:w="6586"/>
      </w:tblGrid>
      <w:tr w14:paraId="7A6FF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84" w:type="dxa"/>
            <w:vAlign w:val="center"/>
          </w:tcPr>
          <w:p w14:paraId="0D06CBBB">
            <w:pPr>
              <w:pStyle w:val="4"/>
              <w:jc w:val="both"/>
              <w:rPr>
                <w:rFonts w:hint="default"/>
              </w:rPr>
            </w:pPr>
            <w:r>
              <w:t>序号</w:t>
            </w:r>
          </w:p>
        </w:tc>
        <w:tc>
          <w:tcPr>
            <w:tcW w:w="1534" w:type="dxa"/>
            <w:vAlign w:val="center"/>
          </w:tcPr>
          <w:p w14:paraId="64DCDC27">
            <w:pPr>
              <w:pStyle w:val="4"/>
              <w:jc w:val="both"/>
              <w:rPr>
                <w:rFonts w:hint="default"/>
              </w:rPr>
            </w:pPr>
            <w:r>
              <w:t>项 目</w:t>
            </w:r>
          </w:p>
        </w:tc>
        <w:tc>
          <w:tcPr>
            <w:tcW w:w="6586" w:type="dxa"/>
            <w:vAlign w:val="center"/>
          </w:tcPr>
          <w:p w14:paraId="657AF998">
            <w:pPr>
              <w:pStyle w:val="4"/>
              <w:jc w:val="both"/>
              <w:rPr>
                <w:rFonts w:hint="default"/>
              </w:rPr>
            </w:pPr>
            <w:r>
              <w:t>要求</w:t>
            </w:r>
          </w:p>
        </w:tc>
      </w:tr>
      <w:tr w14:paraId="67060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4" w:type="dxa"/>
            <w:vAlign w:val="center"/>
          </w:tcPr>
          <w:p w14:paraId="09482E4F">
            <w:pPr>
              <w:pStyle w:val="4"/>
              <w:jc w:val="both"/>
              <w:rPr>
                <w:rFonts w:hint="default"/>
              </w:rPr>
            </w:pPr>
            <w:r>
              <w:t>1</w:t>
            </w:r>
          </w:p>
        </w:tc>
        <w:tc>
          <w:tcPr>
            <w:tcW w:w="1534" w:type="dxa"/>
            <w:vAlign w:val="center"/>
          </w:tcPr>
          <w:p w14:paraId="078EFFA9">
            <w:pPr>
              <w:pStyle w:val="4"/>
              <w:jc w:val="both"/>
              <w:rPr>
                <w:rFonts w:hint="default"/>
              </w:rPr>
            </w:pPr>
            <w:r>
              <w:t>处理量</w:t>
            </w:r>
          </w:p>
        </w:tc>
        <w:tc>
          <w:tcPr>
            <w:tcW w:w="6586" w:type="dxa"/>
            <w:vAlign w:val="center"/>
          </w:tcPr>
          <w:p w14:paraId="6D9492C8">
            <w:pPr>
              <w:pStyle w:val="4"/>
              <w:jc w:val="both"/>
              <w:rPr>
                <w:rFonts w:hint="default"/>
              </w:rPr>
            </w:pPr>
            <w:r>
              <w:t>≥</w:t>
            </w:r>
            <w:r>
              <w:rPr>
                <w:lang w:eastAsia="zh-CN"/>
              </w:rPr>
              <w:t>500</w:t>
            </w:r>
            <w:r>
              <w:t>吨/日</w:t>
            </w:r>
          </w:p>
        </w:tc>
      </w:tr>
      <w:tr w14:paraId="1EFA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784" w:type="dxa"/>
            <w:vAlign w:val="center"/>
          </w:tcPr>
          <w:p w14:paraId="30555523">
            <w:pPr>
              <w:pStyle w:val="4"/>
              <w:jc w:val="both"/>
              <w:rPr>
                <w:rFonts w:hint="default"/>
              </w:rPr>
            </w:pPr>
            <w:r>
              <w:t>2</w:t>
            </w:r>
          </w:p>
        </w:tc>
        <w:tc>
          <w:tcPr>
            <w:tcW w:w="1534" w:type="dxa"/>
            <w:vAlign w:val="center"/>
          </w:tcPr>
          <w:p w14:paraId="3D66746E">
            <w:pPr>
              <w:pStyle w:val="4"/>
              <w:jc w:val="both"/>
              <w:rPr>
                <w:rFonts w:hint="eastAsia" w:ascii="宋体" w:hAnsi="宋体" w:eastAsia="宋体" w:cs="宋体"/>
                <w:sz w:val="20"/>
                <w:szCs w:val="20"/>
                <w:lang w:val="en-US" w:eastAsia="zh-CN"/>
              </w:rPr>
            </w:pPr>
            <w:r>
              <w:rPr>
                <w:rFonts w:hint="eastAsia" w:ascii="宋体" w:hAnsi="宋体" w:eastAsia="宋体" w:cs="宋体"/>
                <w:sz w:val="20"/>
                <w:szCs w:val="20"/>
              </w:rPr>
              <w:t>★处理工艺</w:t>
            </w:r>
            <w:r>
              <w:rPr>
                <w:rFonts w:hint="eastAsia" w:ascii="宋体" w:hAnsi="宋体" w:eastAsia="宋体" w:cs="宋体"/>
                <w:sz w:val="20"/>
                <w:szCs w:val="20"/>
                <w:lang w:val="en-US" w:eastAsia="zh-CN"/>
              </w:rPr>
              <w:t>及参数</w:t>
            </w:r>
          </w:p>
        </w:tc>
        <w:tc>
          <w:tcPr>
            <w:tcW w:w="6586" w:type="dxa"/>
            <w:vAlign w:val="center"/>
          </w:tcPr>
          <w:p w14:paraId="665C681D">
            <w:pPr>
              <w:bidi w:val="0"/>
              <w:rPr>
                <w:rFonts w:hint="eastAsia" w:ascii="宋体" w:hAnsi="宋体" w:eastAsia="宋体" w:cs="宋体"/>
                <w:sz w:val="20"/>
                <w:szCs w:val="20"/>
                <w:lang w:val="en-US" w:eastAsia="zh-CN"/>
              </w:rPr>
            </w:pPr>
            <w:r>
              <w:rPr>
                <w:rFonts w:hint="eastAsia" w:ascii="宋体" w:hAnsi="宋体" w:eastAsia="宋体" w:cs="宋体"/>
                <w:sz w:val="20"/>
                <w:szCs w:val="20"/>
              </w:rPr>
              <w:t>A²/0+MBR工艺</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生化处理停留时间不小于20h，硝化液回流不小于500%</w:t>
            </w:r>
          </w:p>
        </w:tc>
      </w:tr>
      <w:tr w14:paraId="7A4CF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4" w:type="dxa"/>
            <w:vAlign w:val="center"/>
          </w:tcPr>
          <w:p w14:paraId="1A556495">
            <w:pPr>
              <w:pStyle w:val="4"/>
              <w:jc w:val="both"/>
              <w:rPr>
                <w:rFonts w:hint="default"/>
              </w:rPr>
            </w:pPr>
            <w:r>
              <w:t>3</w:t>
            </w:r>
          </w:p>
        </w:tc>
        <w:tc>
          <w:tcPr>
            <w:tcW w:w="1534" w:type="dxa"/>
            <w:vAlign w:val="center"/>
          </w:tcPr>
          <w:p w14:paraId="0ABBC951">
            <w:pPr>
              <w:pStyle w:val="4"/>
              <w:jc w:val="both"/>
              <w:rPr>
                <w:rFonts w:hint="default"/>
              </w:rPr>
            </w:pPr>
            <w:r>
              <w:t>设备材质</w:t>
            </w:r>
          </w:p>
        </w:tc>
        <w:tc>
          <w:tcPr>
            <w:tcW w:w="6586" w:type="dxa"/>
            <w:vAlign w:val="center"/>
          </w:tcPr>
          <w:p w14:paraId="238B9186">
            <w:pPr>
              <w:pStyle w:val="4"/>
              <w:jc w:val="both"/>
              <w:rPr>
                <w:rFonts w:hint="default"/>
              </w:rPr>
            </w:pPr>
            <w:r>
              <w:t>设备主体采用碳钢防腐材质</w:t>
            </w:r>
          </w:p>
        </w:tc>
      </w:tr>
      <w:tr w14:paraId="1E44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84" w:type="dxa"/>
            <w:vAlign w:val="center"/>
          </w:tcPr>
          <w:p w14:paraId="794CBDCF">
            <w:pPr>
              <w:pStyle w:val="4"/>
              <w:jc w:val="both"/>
              <w:rPr>
                <w:rFonts w:hint="default"/>
              </w:rPr>
            </w:pPr>
            <w:r>
              <w:t>4</w:t>
            </w:r>
          </w:p>
        </w:tc>
        <w:tc>
          <w:tcPr>
            <w:tcW w:w="1534" w:type="dxa"/>
            <w:vAlign w:val="center"/>
          </w:tcPr>
          <w:p w14:paraId="124D5531">
            <w:pPr>
              <w:pStyle w:val="4"/>
              <w:jc w:val="both"/>
              <w:rPr>
                <w:rFonts w:hint="default"/>
              </w:rPr>
            </w:pPr>
            <w:r>
              <w:t>电源电压</w:t>
            </w:r>
          </w:p>
        </w:tc>
        <w:tc>
          <w:tcPr>
            <w:tcW w:w="6586" w:type="dxa"/>
            <w:vAlign w:val="center"/>
          </w:tcPr>
          <w:p w14:paraId="292A5B49">
            <w:pPr>
              <w:pStyle w:val="4"/>
              <w:jc w:val="both"/>
              <w:rPr>
                <w:rFonts w:hint="default"/>
              </w:rPr>
            </w:pPr>
            <w:r>
              <w:t>380V</w:t>
            </w:r>
          </w:p>
        </w:tc>
      </w:tr>
      <w:tr w14:paraId="40129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84" w:type="dxa"/>
            <w:vAlign w:val="center"/>
          </w:tcPr>
          <w:p w14:paraId="147796BC">
            <w:pPr>
              <w:pStyle w:val="4"/>
              <w:jc w:val="both"/>
              <w:rPr>
                <w:rFonts w:hint="default"/>
              </w:rPr>
            </w:pPr>
            <w:r>
              <w:t>5</w:t>
            </w:r>
          </w:p>
        </w:tc>
        <w:tc>
          <w:tcPr>
            <w:tcW w:w="1534" w:type="dxa"/>
            <w:vAlign w:val="center"/>
          </w:tcPr>
          <w:p w14:paraId="1BD27357">
            <w:pPr>
              <w:pStyle w:val="4"/>
              <w:jc w:val="both"/>
              <w:rPr>
                <w:rFonts w:hint="default"/>
              </w:rPr>
            </w:pPr>
            <w:r>
              <w:t>安装方式</w:t>
            </w:r>
          </w:p>
        </w:tc>
        <w:tc>
          <w:tcPr>
            <w:tcW w:w="6586" w:type="dxa"/>
            <w:vAlign w:val="center"/>
          </w:tcPr>
          <w:p w14:paraId="0652DE02">
            <w:pPr>
              <w:pStyle w:val="4"/>
              <w:jc w:val="both"/>
              <w:rPr>
                <w:rFonts w:hint="default"/>
              </w:rPr>
            </w:pPr>
            <w:r>
              <w:t>地上式安装</w:t>
            </w:r>
          </w:p>
        </w:tc>
      </w:tr>
      <w:tr w14:paraId="0821F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4" w:type="dxa"/>
            <w:vAlign w:val="center"/>
          </w:tcPr>
          <w:p w14:paraId="4AE7C9B7">
            <w:pPr>
              <w:pStyle w:val="4"/>
              <w:jc w:val="both"/>
              <w:rPr>
                <w:rFonts w:hint="default"/>
              </w:rPr>
            </w:pPr>
            <w:r>
              <w:t>6</w:t>
            </w:r>
          </w:p>
        </w:tc>
        <w:tc>
          <w:tcPr>
            <w:tcW w:w="1534" w:type="dxa"/>
            <w:vAlign w:val="center"/>
          </w:tcPr>
          <w:p w14:paraId="39C97CF2">
            <w:pPr>
              <w:pStyle w:val="4"/>
              <w:jc w:val="both"/>
              <w:rPr>
                <w:rFonts w:hint="default"/>
              </w:rPr>
            </w:pPr>
            <w:r>
              <w:t>控制要求</w:t>
            </w:r>
          </w:p>
        </w:tc>
        <w:tc>
          <w:tcPr>
            <w:tcW w:w="6586" w:type="dxa"/>
            <w:vAlign w:val="center"/>
          </w:tcPr>
          <w:p w14:paraId="2FD2B379">
            <w:pPr>
              <w:pStyle w:val="4"/>
              <w:jc w:val="both"/>
              <w:rPr>
                <w:rFonts w:hint="default"/>
              </w:rPr>
            </w:pPr>
            <w:r>
              <w:t>全自动运行，可手自动运行切换</w:t>
            </w:r>
          </w:p>
        </w:tc>
      </w:tr>
      <w:tr w14:paraId="7700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784" w:type="dxa"/>
            <w:vAlign w:val="center"/>
          </w:tcPr>
          <w:p w14:paraId="743C8314">
            <w:pPr>
              <w:pStyle w:val="4"/>
              <w:jc w:val="both"/>
              <w:rPr>
                <w:rFonts w:hint="default"/>
              </w:rPr>
            </w:pPr>
            <w:r>
              <w:t>7</w:t>
            </w:r>
          </w:p>
        </w:tc>
        <w:tc>
          <w:tcPr>
            <w:tcW w:w="1534" w:type="dxa"/>
            <w:vAlign w:val="center"/>
          </w:tcPr>
          <w:p w14:paraId="601869E4">
            <w:pPr>
              <w:pStyle w:val="4"/>
              <w:jc w:val="both"/>
              <w:rPr>
                <w:rFonts w:hint="default"/>
              </w:rPr>
            </w:pPr>
            <w:r>
              <w:t>MBR膜要求</w:t>
            </w:r>
          </w:p>
        </w:tc>
        <w:tc>
          <w:tcPr>
            <w:tcW w:w="6586" w:type="dxa"/>
            <w:vAlign w:val="center"/>
          </w:tcPr>
          <w:p w14:paraId="28D76E00">
            <w:pPr>
              <w:pStyle w:val="4"/>
              <w:jc w:val="both"/>
              <w:rPr>
                <w:rFonts w:hint="default"/>
              </w:rPr>
            </w:pPr>
            <w:r>
              <w:t>中空纤维帘式膜组件，膜材质：PVDF复合膜(带加强支 撑层),平均膜孔径：≤0.4μm,抗拉强度：≥100N。</w:t>
            </w:r>
          </w:p>
        </w:tc>
      </w:tr>
    </w:tbl>
    <w:p w14:paraId="4DBBFF87">
      <w:pPr>
        <w:pStyle w:val="4"/>
        <w:jc w:val="both"/>
        <w:rPr>
          <w:rFonts w:hint="default"/>
          <w:highlight w:val="none"/>
          <w:lang w:eastAsia="zh-CN"/>
        </w:rPr>
      </w:pPr>
      <w:r>
        <w:rPr>
          <w:lang w:eastAsia="zh-CN"/>
        </w:rPr>
        <w:t>注：供应商应充分考虑进水污水中总氮</w:t>
      </w:r>
      <w:r>
        <w:rPr>
          <w:highlight w:val="none"/>
          <w:lang w:eastAsia="zh-CN"/>
        </w:rPr>
        <w:t>、氨氮、总磷、COD等指标相对于一般生活污水指标较高带来的影响（部分指标可达常规生活污水指标的2倍或以上）</w:t>
      </w:r>
      <w:r>
        <w:rPr>
          <w:rFonts w:hint="eastAsia"/>
          <w:highlight w:val="none"/>
          <w:lang w:eastAsia="zh-CN"/>
        </w:rPr>
        <w:t>，</w:t>
      </w:r>
      <w:r>
        <w:rPr>
          <w:rFonts w:hint="eastAsia"/>
          <w:highlight w:val="none"/>
          <w:lang w:val="en-US" w:eastAsia="zh-CN"/>
        </w:rPr>
        <w:t>设备冬季的保温问题</w:t>
      </w:r>
      <w:r>
        <w:rPr>
          <w:highlight w:val="none"/>
          <w:lang w:eastAsia="zh-CN"/>
        </w:rPr>
        <w:t>。</w:t>
      </w:r>
    </w:p>
    <w:p w14:paraId="6564A960">
      <w:pPr>
        <w:pStyle w:val="4"/>
        <w:jc w:val="both"/>
        <w:rPr>
          <w:rFonts w:hint="default"/>
          <w:highlight w:val="none"/>
          <w:lang w:eastAsia="zh-CN"/>
        </w:rPr>
      </w:pPr>
      <w:r>
        <w:rPr>
          <w:highlight w:val="none"/>
          <w:lang w:eastAsia="zh-CN"/>
        </w:rPr>
        <w:t>5</w:t>
      </w:r>
      <w:r>
        <w:rPr>
          <w:highlight w:val="none"/>
        </w:rPr>
        <w:t>.</w:t>
      </w:r>
      <w:r>
        <w:rPr>
          <w:highlight w:val="none"/>
          <w:lang w:eastAsia="zh-CN"/>
        </w:rPr>
        <w:t>技术</w:t>
      </w:r>
      <w:r>
        <w:rPr>
          <w:highlight w:val="none"/>
        </w:rPr>
        <w:t>服务</w:t>
      </w:r>
      <w:r>
        <w:rPr>
          <w:highlight w:val="none"/>
          <w:lang w:eastAsia="zh-CN"/>
        </w:rPr>
        <w:t>要求</w:t>
      </w:r>
    </w:p>
    <w:p w14:paraId="0DD7F0E1">
      <w:pPr>
        <w:pStyle w:val="4"/>
        <w:jc w:val="both"/>
        <w:rPr>
          <w:rFonts w:hint="default"/>
          <w:highlight w:val="none"/>
          <w:lang w:eastAsia="zh-CN"/>
        </w:rPr>
      </w:pPr>
      <w:r>
        <w:rPr>
          <w:highlight w:val="none"/>
          <w:lang w:eastAsia="zh-CN"/>
        </w:rPr>
        <w:t>5.1供货：</w:t>
      </w:r>
    </w:p>
    <w:p w14:paraId="14FD48DC">
      <w:pPr>
        <w:pStyle w:val="4"/>
        <w:jc w:val="both"/>
        <w:rPr>
          <w:rFonts w:hint="default"/>
        </w:rPr>
      </w:pPr>
      <w:r>
        <w:t>采购人负责提供场地以及通水、通路、通电。供应商负责污水处理服务所需要的相关设施设备的供货、安装、调试，供应商需自行完成进出水管线铺设、外接电源、污泥管道等配套基础设施。</w:t>
      </w:r>
    </w:p>
    <w:p w14:paraId="09F11100">
      <w:pPr>
        <w:pStyle w:val="4"/>
        <w:jc w:val="both"/>
        <w:rPr>
          <w:rFonts w:hint="default"/>
        </w:rPr>
      </w:pPr>
      <w:r>
        <w:t>5.2运营：</w:t>
      </w:r>
    </w:p>
    <w:p w14:paraId="67228B02">
      <w:pPr>
        <w:pStyle w:val="4"/>
        <w:jc w:val="both"/>
        <w:rPr>
          <w:rFonts w:hint="default"/>
        </w:rPr>
      </w:pPr>
      <w:r>
        <w:t>(1)供应商负责此次租赁的污水处理设备的日常运营，确保污水处理设施运行正常，出水水质达标排放。</w:t>
      </w:r>
    </w:p>
    <w:p w14:paraId="60E8BE57">
      <w:pPr>
        <w:pStyle w:val="4"/>
        <w:jc w:val="both"/>
        <w:rPr>
          <w:rFonts w:hint="default"/>
        </w:rPr>
      </w:pPr>
      <w:r>
        <w:t>(2)供应商应制订污水处理管理应急预案，确保紧急情况下对污水的妥善处置。</w:t>
      </w:r>
    </w:p>
    <w:p w14:paraId="0831D643">
      <w:pPr>
        <w:pStyle w:val="4"/>
        <w:jc w:val="both"/>
        <w:rPr>
          <w:rFonts w:hint="default"/>
        </w:rPr>
      </w:pPr>
      <w:r>
        <w:t>(3)供应商污水临时处理设施产生的污泥规范化处理，包括但不限于无害化处置、焚烧处置、园林绿化利用、资源化利用等方式，处置方式需要达到当地环保要求，费用由供应商承担。</w:t>
      </w:r>
    </w:p>
    <w:p w14:paraId="53C9CDD2">
      <w:pPr>
        <w:pStyle w:val="4"/>
        <w:jc w:val="both"/>
        <w:rPr>
          <w:rFonts w:hint="default"/>
          <w:lang w:eastAsia="zh-CN"/>
        </w:rPr>
      </w:pPr>
      <w:r>
        <w:t>(4)供应商应建立完备的检测、记录、存档和报告制度，运行期满将档案资料移交给采购人</w:t>
      </w:r>
      <w:r>
        <w:rPr>
          <w:lang w:eastAsia="zh-CN"/>
        </w:rPr>
        <w:t>。</w:t>
      </w:r>
    </w:p>
    <w:p w14:paraId="0B3DB764">
      <w:pPr>
        <w:pStyle w:val="4"/>
        <w:jc w:val="both"/>
        <w:rPr>
          <w:rFonts w:hint="default"/>
        </w:rPr>
      </w:pPr>
      <w:r>
        <w:t>(5)供应商需派驻现场运维人员至少2人。</w:t>
      </w:r>
    </w:p>
    <w:p w14:paraId="02AEFDBF">
      <w:pPr>
        <w:pStyle w:val="4"/>
        <w:jc w:val="both"/>
        <w:rPr>
          <w:rFonts w:hint="default"/>
        </w:rPr>
      </w:pPr>
      <w:r>
        <w:t>6.运行服务要求</w:t>
      </w:r>
    </w:p>
    <w:p w14:paraId="2B86A8DB">
      <w:pPr>
        <w:pStyle w:val="4"/>
        <w:jc w:val="both"/>
        <w:rPr>
          <w:rFonts w:hint="default"/>
        </w:rPr>
      </w:pPr>
      <w:r>
        <w:t>6.1在污水处理设备运营期内，供应商确保设备的正常使用，采购人按《陕西省黄河流域污水综合排放标准》DB61/224-2018表1中A标准限制要求，委托第三方检测机构对处理后的污水水质进行检测。供应商应无条件接受考核，并按相应规定进行惩戒：</w:t>
      </w:r>
    </w:p>
    <w:p w14:paraId="65E2BE92">
      <w:pPr>
        <w:pStyle w:val="4"/>
        <w:jc w:val="both"/>
        <w:rPr>
          <w:rFonts w:hint="default"/>
        </w:rPr>
      </w:pPr>
      <w:r>
        <w:t>(1)检测分为定期检测和不定期抽检，定期检测为每月1次；</w:t>
      </w:r>
    </w:p>
    <w:p w14:paraId="5658CBEA">
      <w:pPr>
        <w:pStyle w:val="4"/>
        <w:jc w:val="both"/>
        <w:rPr>
          <w:rFonts w:hint="default"/>
        </w:rPr>
      </w:pPr>
      <w:r>
        <w:t>(2)检测费用由供应商承担，费用从每月污水处理服务费中扣除；</w:t>
      </w:r>
    </w:p>
    <w:p w14:paraId="02027833">
      <w:pPr>
        <w:pStyle w:val="4"/>
        <w:jc w:val="both"/>
        <w:rPr>
          <w:rFonts w:hint="default"/>
        </w:rPr>
      </w:pPr>
      <w:r>
        <w:t>(3)若检测未达标，处以当日租赁费用3倍的处罚；</w:t>
      </w:r>
    </w:p>
    <w:p w14:paraId="240E4304">
      <w:pPr>
        <w:pStyle w:val="4"/>
        <w:jc w:val="both"/>
        <w:rPr>
          <w:rFonts w:hint="default"/>
        </w:rPr>
      </w:pPr>
      <w:r>
        <w:t>(4)若连续两次检测未达标，扣除该月污水处理服务费用；</w:t>
      </w:r>
    </w:p>
    <w:p w14:paraId="61F4D4C6">
      <w:pPr>
        <w:pStyle w:val="4"/>
        <w:jc w:val="both"/>
        <w:rPr>
          <w:rFonts w:hint="default"/>
          <w:lang w:eastAsia="zh-CN"/>
        </w:rPr>
      </w:pPr>
      <w:r>
        <w:t>(5)若连续三次抽检未达标，采购人有权终止合同，没收履约保证金且不支付该月污水处理服务费用</w:t>
      </w:r>
      <w:r>
        <w:rPr>
          <w:lang w:eastAsia="zh-CN"/>
        </w:rPr>
        <w:t>。</w:t>
      </w:r>
    </w:p>
    <w:p w14:paraId="35AB3DEA">
      <w:pPr>
        <w:pStyle w:val="4"/>
        <w:jc w:val="both"/>
        <w:rPr>
          <w:rFonts w:hint="default"/>
        </w:rPr>
      </w:pPr>
      <w:r>
        <w:t>6.2在服务期间，如因供应商管理、操作或经营不善等原因造成的人员安全事故、环境安全事故等一系列安全事故问题，均由供应商自行承担。</w:t>
      </w:r>
    </w:p>
    <w:p w14:paraId="162B1291">
      <w:pPr>
        <w:pStyle w:val="4"/>
        <w:jc w:val="both"/>
        <w:rPr>
          <w:rFonts w:hint="default"/>
        </w:rPr>
      </w:pPr>
      <w:r>
        <w:t>6.3在服务期内，若因污水处理设备出水水质不达标而造成的各项整改、罚款由供应商负责承担。</w:t>
      </w:r>
    </w:p>
    <w:p w14:paraId="615A73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JmZWU3ZmQ1Nzc1YTZkNWJlMTk0YzgzOTY4NDEifQ=="/>
  </w:docVars>
  <w:rsids>
    <w:rsidRoot w:val="15A021CF"/>
    <w:rsid w:val="15A0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仿宋" w:cs="Arial"/>
      <w:snapToGrid w:val="0"/>
      <w:color w:val="000000"/>
      <w:sz w:val="24"/>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2024-08-22T03:17:00Z</dcterms:created>
  <dc:creator>®</dc:creator>
  <cp:lastModifiedBy>®</cp:lastModifiedBy>
  <dcterms:modified xsi:type="dcterms:W3CDTF">2024-08-22T03:17:24Z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41269FDD37374284939C90FC7FEA068E_11</vt:lpwstr>
  </property>
</Properties>
</file>