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8E851">
      <w:pPr>
        <w:pStyle w:val="2"/>
        <w:ind w:firstLine="480" w:firstLineChars="200"/>
        <w:rPr>
          <w:rFonts w:hint="eastAsia" w:ascii="仿宋" w:hAnsi="仿宋" w:eastAsia="仿宋" w:cs="仿宋"/>
          <w:sz w:val="24"/>
          <w:szCs w:val="24"/>
          <w:highlight w:val="none"/>
        </w:rPr>
      </w:pPr>
    </w:p>
    <w:p w14:paraId="31444C57">
      <w:pPr>
        <w:pStyle w:val="2"/>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合同模板仅为参考</w:t>
      </w:r>
      <w:bookmarkStart w:id="0" w:name="_GoBack"/>
      <w:bookmarkEnd w:id="0"/>
      <w:r>
        <w:rPr>
          <w:rFonts w:hint="eastAsia" w:ascii="仿宋" w:hAnsi="仿宋" w:eastAsia="仿宋" w:cs="仿宋"/>
          <w:sz w:val="24"/>
          <w:szCs w:val="24"/>
          <w:highlight w:val="none"/>
          <w:lang w:eastAsia="zh-CN"/>
        </w:rPr>
        <w:t>）</w:t>
      </w:r>
    </w:p>
    <w:p w14:paraId="175D736E">
      <w:pPr>
        <w:keepNext w:val="0"/>
        <w:keepLines w:val="0"/>
        <w:pageBreakBefore w:val="0"/>
        <w:kinsoku/>
        <w:wordWrap/>
        <w:overflowPunct/>
        <w:autoSpaceDE/>
        <w:autoSpaceDN/>
        <w:bidi w:val="0"/>
        <w:adjustRightInd/>
        <w:snapToGrid/>
        <w:spacing w:line="500" w:lineRule="exact"/>
        <w:ind w:left="0" w:leftChars="0" w:firstLine="138" w:firstLineChars="49"/>
        <w:textAlignment w:val="auto"/>
        <w:rPr>
          <w:rFonts w:hint="eastAsia" w:ascii="仿宋" w:hAnsi="仿宋" w:eastAsia="仿宋" w:cs="仿宋"/>
          <w:b/>
          <w:sz w:val="28"/>
          <w:szCs w:val="28"/>
        </w:rPr>
      </w:pPr>
      <w:r>
        <w:rPr>
          <w:rFonts w:hint="eastAsia" w:ascii="仿宋" w:hAnsi="仿宋" w:eastAsia="仿宋" w:cs="仿宋"/>
          <w:b/>
          <w:sz w:val="28"/>
          <w:szCs w:val="28"/>
        </w:rPr>
        <w:t>合同编号：</w:t>
      </w:r>
    </w:p>
    <w:p w14:paraId="38D0021B">
      <w:pPr>
        <w:keepNext w:val="0"/>
        <w:keepLines w:val="0"/>
        <w:pageBreakBefore w:val="0"/>
        <w:kinsoku/>
        <w:wordWrap/>
        <w:overflowPunct/>
        <w:autoSpaceDE/>
        <w:autoSpaceDN/>
        <w:bidi w:val="0"/>
        <w:adjustRightInd/>
        <w:snapToGrid/>
        <w:spacing w:line="500" w:lineRule="exact"/>
        <w:ind w:left="0" w:leftChars="0" w:firstLine="643"/>
        <w:textAlignment w:val="auto"/>
        <w:rPr>
          <w:rFonts w:hint="eastAsia" w:ascii="仿宋" w:hAnsi="仿宋" w:eastAsia="仿宋" w:cs="仿宋"/>
          <w:b/>
          <w:sz w:val="28"/>
          <w:szCs w:val="28"/>
        </w:rPr>
      </w:pPr>
    </w:p>
    <w:p w14:paraId="40481894">
      <w:pPr>
        <w:keepNext w:val="0"/>
        <w:keepLines w:val="0"/>
        <w:pageBreakBefore w:val="0"/>
        <w:kinsoku/>
        <w:wordWrap/>
        <w:overflowPunct/>
        <w:autoSpaceDE/>
        <w:autoSpaceDN/>
        <w:bidi w:val="0"/>
        <w:adjustRightInd/>
        <w:snapToGrid/>
        <w:spacing w:line="500" w:lineRule="exact"/>
        <w:ind w:left="0" w:leftChars="0"/>
        <w:jc w:val="both"/>
        <w:textAlignment w:val="auto"/>
        <w:rPr>
          <w:rFonts w:hint="eastAsia" w:ascii="仿宋" w:hAnsi="仿宋" w:eastAsia="仿宋" w:cs="仿宋"/>
          <w:b/>
          <w:kern w:val="0"/>
          <w:sz w:val="28"/>
          <w:szCs w:val="28"/>
        </w:rPr>
      </w:pPr>
    </w:p>
    <w:p w14:paraId="16FF6086">
      <w:pPr>
        <w:keepNext w:val="0"/>
        <w:keepLines w:val="0"/>
        <w:pageBreakBefore w:val="0"/>
        <w:kinsoku/>
        <w:wordWrap/>
        <w:overflowPunct/>
        <w:autoSpaceDE/>
        <w:autoSpaceDN/>
        <w:bidi w:val="0"/>
        <w:adjustRightInd/>
        <w:snapToGrid/>
        <w:spacing w:line="360" w:lineRule="auto"/>
        <w:ind w:left="0" w:leftChars="0"/>
        <w:jc w:val="center"/>
        <w:textAlignment w:val="auto"/>
        <w:rPr>
          <w:rFonts w:hint="eastAsia" w:ascii="仿宋" w:hAnsi="仿宋" w:eastAsia="仿宋" w:cs="仿宋"/>
          <w:b/>
          <w:sz w:val="36"/>
          <w:szCs w:val="36"/>
          <w:lang w:eastAsia="zh-CN"/>
        </w:rPr>
      </w:pPr>
      <w:r>
        <w:rPr>
          <w:rFonts w:hint="eastAsia" w:ascii="仿宋" w:hAnsi="仿宋" w:eastAsia="仿宋" w:cs="仿宋"/>
          <w:b/>
          <w:sz w:val="36"/>
          <w:szCs w:val="36"/>
        </w:rPr>
        <w:t>陕西省康复医院</w:t>
      </w:r>
      <w:r>
        <w:rPr>
          <w:rFonts w:hint="eastAsia" w:ascii="仿宋" w:hAnsi="仿宋" w:eastAsia="仿宋" w:cs="仿宋"/>
          <w:b/>
          <w:sz w:val="36"/>
          <w:szCs w:val="36"/>
          <w:lang w:eastAsia="zh-CN"/>
        </w:rPr>
        <w:t>2024年陕西省残疾人康复中心职业及康复医疗建设项目</w:t>
      </w:r>
    </w:p>
    <w:p w14:paraId="482F3490">
      <w:pPr>
        <w:keepNext w:val="0"/>
        <w:keepLines w:val="0"/>
        <w:pageBreakBefore w:val="0"/>
        <w:kinsoku/>
        <w:wordWrap/>
        <w:overflowPunct/>
        <w:autoSpaceDE/>
        <w:autoSpaceDN/>
        <w:bidi w:val="0"/>
        <w:adjustRightInd/>
        <w:snapToGrid/>
        <w:spacing w:line="500" w:lineRule="exact"/>
        <w:ind w:left="0" w:leftChars="0"/>
        <w:jc w:val="center"/>
        <w:textAlignment w:val="auto"/>
        <w:rPr>
          <w:rFonts w:hint="eastAsia" w:ascii="仿宋" w:hAnsi="仿宋" w:eastAsia="仿宋" w:cs="仿宋"/>
          <w:b/>
          <w:bCs/>
          <w:sz w:val="28"/>
          <w:szCs w:val="28"/>
        </w:rPr>
      </w:pPr>
      <w:r>
        <w:rPr>
          <w:rFonts w:hint="eastAsia" w:ascii="仿宋" w:hAnsi="仿宋" w:eastAsia="仿宋" w:cs="仿宋"/>
          <w:b/>
          <w:sz w:val="28"/>
          <w:szCs w:val="28"/>
        </w:rPr>
        <w:t>（项目编号：ZX2024-08-</w:t>
      </w:r>
      <w:r>
        <w:rPr>
          <w:rFonts w:hint="eastAsia" w:ascii="仿宋" w:hAnsi="仿宋" w:eastAsia="仿宋" w:cs="仿宋"/>
          <w:b/>
          <w:sz w:val="28"/>
          <w:szCs w:val="28"/>
          <w:lang w:val="en-US" w:eastAsia="zh-CN"/>
        </w:rPr>
        <w:t>4</w:t>
      </w:r>
      <w:r>
        <w:rPr>
          <w:rFonts w:hint="eastAsia" w:ascii="仿宋" w:hAnsi="仿宋" w:eastAsia="仿宋" w:cs="仿宋"/>
          <w:b/>
          <w:sz w:val="28"/>
          <w:szCs w:val="28"/>
        </w:rPr>
        <w:t>2）</w:t>
      </w:r>
    </w:p>
    <w:p w14:paraId="02F73C77">
      <w:pPr>
        <w:pStyle w:val="9"/>
        <w:keepNext w:val="0"/>
        <w:keepLines w:val="0"/>
        <w:pageBreakBefore w:val="0"/>
        <w:kinsoku/>
        <w:wordWrap/>
        <w:overflowPunct/>
        <w:autoSpaceDE/>
        <w:autoSpaceDN/>
        <w:bidi w:val="0"/>
        <w:adjustRightInd/>
        <w:snapToGrid/>
        <w:spacing w:line="500" w:lineRule="exact"/>
        <w:ind w:left="0" w:leftChars="0"/>
        <w:textAlignment w:val="auto"/>
        <w:rPr>
          <w:rFonts w:hint="eastAsia" w:ascii="仿宋" w:hAnsi="仿宋" w:eastAsia="仿宋" w:cs="仿宋"/>
          <w:b/>
          <w:snapToGrid w:val="0"/>
          <w:sz w:val="28"/>
          <w:szCs w:val="28"/>
        </w:rPr>
      </w:pPr>
    </w:p>
    <w:p w14:paraId="13A51C39">
      <w:pPr>
        <w:pStyle w:val="9"/>
        <w:keepNext w:val="0"/>
        <w:keepLines w:val="0"/>
        <w:pageBreakBefore w:val="0"/>
        <w:kinsoku/>
        <w:wordWrap/>
        <w:overflowPunct/>
        <w:autoSpaceDE/>
        <w:autoSpaceDN/>
        <w:bidi w:val="0"/>
        <w:adjustRightInd/>
        <w:snapToGrid/>
        <w:spacing w:line="500" w:lineRule="exact"/>
        <w:ind w:left="0" w:leftChars="0"/>
        <w:textAlignment w:val="auto"/>
        <w:rPr>
          <w:rFonts w:hint="eastAsia" w:ascii="仿宋" w:hAnsi="仿宋" w:eastAsia="仿宋" w:cs="仿宋"/>
          <w:b/>
          <w:snapToGrid w:val="0"/>
          <w:sz w:val="28"/>
          <w:szCs w:val="28"/>
        </w:rPr>
      </w:pPr>
    </w:p>
    <w:p w14:paraId="3B0C7C7D">
      <w:pPr>
        <w:keepNext w:val="0"/>
        <w:keepLines w:val="0"/>
        <w:pageBreakBefore w:val="0"/>
        <w:kinsoku/>
        <w:wordWrap/>
        <w:overflowPunct/>
        <w:autoSpaceDE/>
        <w:autoSpaceDN/>
        <w:bidi w:val="0"/>
        <w:adjustRightInd/>
        <w:snapToGrid/>
        <w:spacing w:line="500" w:lineRule="exact"/>
        <w:ind w:left="0" w:leftChars="0"/>
        <w:jc w:val="center"/>
        <w:textAlignment w:val="auto"/>
        <w:rPr>
          <w:rFonts w:hint="eastAsia" w:ascii="仿宋" w:hAnsi="仿宋" w:eastAsia="仿宋" w:cs="仿宋"/>
          <w:sz w:val="28"/>
          <w:szCs w:val="28"/>
        </w:rPr>
      </w:pPr>
      <w:r>
        <w:rPr>
          <w:rFonts w:hint="eastAsia" w:ascii="仿宋" w:hAnsi="仿宋" w:eastAsia="仿宋" w:cs="仿宋"/>
          <w:b/>
          <w:sz w:val="28"/>
          <w:szCs w:val="28"/>
        </w:rPr>
        <w:t xml:space="preserve"> 采 购 合 同</w:t>
      </w:r>
    </w:p>
    <w:p w14:paraId="2E25F251">
      <w:pPr>
        <w:keepNext w:val="0"/>
        <w:keepLines w:val="0"/>
        <w:pageBreakBefore w:val="0"/>
        <w:kinsoku/>
        <w:wordWrap/>
        <w:overflowPunct/>
        <w:autoSpaceDE/>
        <w:autoSpaceDN/>
        <w:bidi w:val="0"/>
        <w:adjustRightInd/>
        <w:snapToGrid/>
        <w:spacing w:line="500" w:lineRule="exact"/>
        <w:ind w:left="0" w:leftChars="0" w:firstLine="1820" w:firstLineChars="650"/>
        <w:textAlignment w:val="auto"/>
        <w:rPr>
          <w:rFonts w:hint="eastAsia" w:ascii="仿宋" w:hAnsi="仿宋" w:eastAsia="仿宋" w:cs="仿宋"/>
          <w:sz w:val="28"/>
          <w:szCs w:val="28"/>
        </w:rPr>
      </w:pPr>
    </w:p>
    <w:p w14:paraId="6843B50B">
      <w:pPr>
        <w:pStyle w:val="8"/>
        <w:rPr>
          <w:rFonts w:hint="eastAsia" w:ascii="仿宋" w:hAnsi="仿宋" w:eastAsia="仿宋" w:cs="仿宋"/>
          <w:sz w:val="28"/>
          <w:szCs w:val="28"/>
        </w:rPr>
      </w:pPr>
    </w:p>
    <w:p w14:paraId="7A278E9F">
      <w:pPr>
        <w:pStyle w:val="4"/>
        <w:rPr>
          <w:rFonts w:hint="eastAsia" w:ascii="仿宋" w:hAnsi="仿宋" w:eastAsia="仿宋" w:cs="仿宋"/>
          <w:sz w:val="28"/>
          <w:szCs w:val="28"/>
        </w:rPr>
      </w:pPr>
    </w:p>
    <w:p w14:paraId="7F2ADC93">
      <w:pPr>
        <w:pStyle w:val="4"/>
        <w:rPr>
          <w:rFonts w:hint="eastAsia" w:ascii="仿宋" w:hAnsi="仿宋" w:eastAsia="仿宋" w:cs="仿宋"/>
          <w:sz w:val="28"/>
          <w:szCs w:val="28"/>
        </w:rPr>
      </w:pPr>
    </w:p>
    <w:p w14:paraId="6EC5C2EF">
      <w:pPr>
        <w:pStyle w:val="4"/>
        <w:rPr>
          <w:rFonts w:hint="eastAsia" w:ascii="仿宋" w:hAnsi="仿宋" w:eastAsia="仿宋" w:cs="仿宋"/>
          <w:sz w:val="28"/>
          <w:szCs w:val="28"/>
        </w:rPr>
      </w:pPr>
    </w:p>
    <w:p w14:paraId="4F78653B">
      <w:pPr>
        <w:keepNext w:val="0"/>
        <w:keepLines w:val="0"/>
        <w:pageBreakBefore w:val="0"/>
        <w:kinsoku/>
        <w:wordWrap/>
        <w:overflowPunct/>
        <w:autoSpaceDE/>
        <w:autoSpaceDN/>
        <w:bidi w:val="0"/>
        <w:adjustRightInd/>
        <w:snapToGrid/>
        <w:spacing w:line="500" w:lineRule="exact"/>
        <w:ind w:left="0" w:leftChars="0" w:firstLine="1820" w:firstLineChars="650"/>
        <w:textAlignment w:val="auto"/>
        <w:rPr>
          <w:rFonts w:hint="eastAsia" w:ascii="仿宋" w:hAnsi="仿宋" w:eastAsia="仿宋" w:cs="仿宋"/>
          <w:sz w:val="28"/>
          <w:szCs w:val="28"/>
        </w:rPr>
      </w:pPr>
      <w:r>
        <w:rPr>
          <w:rFonts w:hint="eastAsia" w:ascii="仿宋" w:hAnsi="仿宋" w:eastAsia="仿宋" w:cs="仿宋"/>
          <w:sz w:val="28"/>
          <w:szCs w:val="28"/>
        </w:rPr>
        <w:t xml:space="preserve">甲  方：陕西省康复医院 </w:t>
      </w:r>
    </w:p>
    <w:p w14:paraId="0013912C">
      <w:pPr>
        <w:keepNext w:val="0"/>
        <w:keepLines w:val="0"/>
        <w:pageBreakBefore w:val="0"/>
        <w:tabs>
          <w:tab w:val="left" w:pos="480"/>
        </w:tabs>
        <w:kinsoku/>
        <w:wordWrap/>
        <w:overflowPunct/>
        <w:autoSpaceDE/>
        <w:autoSpaceDN/>
        <w:bidi w:val="0"/>
        <w:adjustRightInd/>
        <w:snapToGrid/>
        <w:spacing w:line="500" w:lineRule="exact"/>
        <w:ind w:left="0" w:leftChars="0" w:firstLine="64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乙  方：</w:t>
      </w:r>
    </w:p>
    <w:p w14:paraId="6656BB35">
      <w:pPr>
        <w:keepNext w:val="0"/>
        <w:keepLines w:val="0"/>
        <w:pageBreakBefore w:val="0"/>
        <w:kinsoku/>
        <w:wordWrap/>
        <w:overflowPunct/>
        <w:autoSpaceDE/>
        <w:autoSpaceDN/>
        <w:bidi w:val="0"/>
        <w:adjustRightInd/>
        <w:snapToGrid/>
        <w:spacing w:line="500" w:lineRule="exact"/>
        <w:ind w:left="0" w:leftChars="0"/>
        <w:jc w:val="center"/>
        <w:textAlignment w:val="auto"/>
        <w:rPr>
          <w:rFonts w:hint="eastAsia" w:ascii="仿宋" w:hAnsi="仿宋" w:eastAsia="仿宋" w:cs="仿宋"/>
          <w:sz w:val="28"/>
          <w:szCs w:val="28"/>
        </w:rPr>
      </w:pPr>
    </w:p>
    <w:p w14:paraId="33A0D593">
      <w:pPr>
        <w:keepNext w:val="0"/>
        <w:keepLines w:val="0"/>
        <w:pageBreakBefore w:val="0"/>
        <w:kinsoku/>
        <w:wordWrap/>
        <w:overflowPunct/>
        <w:autoSpaceDE/>
        <w:autoSpaceDN/>
        <w:bidi w:val="0"/>
        <w:adjustRightInd/>
        <w:snapToGrid/>
        <w:spacing w:line="500" w:lineRule="exact"/>
        <w:ind w:left="0" w:leftChars="0"/>
        <w:jc w:val="center"/>
        <w:textAlignment w:val="auto"/>
        <w:rPr>
          <w:rFonts w:hint="eastAsia" w:ascii="仿宋" w:hAnsi="仿宋" w:eastAsia="仿宋" w:cs="仿宋"/>
          <w:sz w:val="28"/>
          <w:szCs w:val="28"/>
        </w:rPr>
      </w:pPr>
    </w:p>
    <w:p w14:paraId="52F4B081">
      <w:pPr>
        <w:keepNext w:val="0"/>
        <w:keepLines w:val="0"/>
        <w:pageBreakBefore w:val="0"/>
        <w:kinsoku/>
        <w:wordWrap/>
        <w:overflowPunct/>
        <w:autoSpaceDE/>
        <w:autoSpaceDN/>
        <w:bidi w:val="0"/>
        <w:adjustRightInd/>
        <w:snapToGrid/>
        <w:spacing w:line="500" w:lineRule="exact"/>
        <w:ind w:left="0" w:leftChars="0"/>
        <w:jc w:val="center"/>
        <w:textAlignment w:val="auto"/>
        <w:rPr>
          <w:rFonts w:hint="eastAsia" w:ascii="仿宋" w:hAnsi="仿宋" w:eastAsia="仿宋" w:cs="仿宋"/>
          <w:sz w:val="28"/>
          <w:szCs w:val="28"/>
        </w:rPr>
      </w:pPr>
    </w:p>
    <w:p w14:paraId="666BDD0C">
      <w:pPr>
        <w:keepNext w:val="0"/>
        <w:keepLines w:val="0"/>
        <w:pageBreakBefore w:val="0"/>
        <w:kinsoku/>
        <w:wordWrap/>
        <w:overflowPunct/>
        <w:autoSpaceDE/>
        <w:autoSpaceDN/>
        <w:bidi w:val="0"/>
        <w:adjustRightInd/>
        <w:snapToGrid/>
        <w:spacing w:line="500" w:lineRule="exact"/>
        <w:ind w:left="0" w:leftChars="0"/>
        <w:jc w:val="center"/>
        <w:textAlignment w:val="auto"/>
        <w:rPr>
          <w:rFonts w:hint="eastAsia" w:ascii="仿宋" w:hAnsi="仿宋" w:eastAsia="仿宋" w:cs="仿宋"/>
          <w:sz w:val="28"/>
          <w:szCs w:val="28"/>
        </w:rPr>
      </w:pPr>
    </w:p>
    <w:p w14:paraId="4B734CB7">
      <w:pPr>
        <w:keepNext w:val="0"/>
        <w:keepLines w:val="0"/>
        <w:pageBreakBefore w:val="0"/>
        <w:kinsoku/>
        <w:wordWrap/>
        <w:overflowPunct/>
        <w:autoSpaceDE/>
        <w:autoSpaceDN/>
        <w:bidi w:val="0"/>
        <w:adjustRightInd/>
        <w:snapToGrid/>
        <w:spacing w:line="500" w:lineRule="exact"/>
        <w:ind w:left="0" w:leftChars="0"/>
        <w:jc w:val="center"/>
        <w:textAlignment w:val="auto"/>
        <w:rPr>
          <w:rFonts w:hint="eastAsia" w:ascii="仿宋" w:hAnsi="仿宋" w:eastAsia="仿宋" w:cs="仿宋"/>
          <w:sz w:val="28"/>
          <w:szCs w:val="28"/>
        </w:rPr>
      </w:pPr>
    </w:p>
    <w:p w14:paraId="71A7F0CB">
      <w:pPr>
        <w:pStyle w:val="5"/>
        <w:keepNext w:val="0"/>
        <w:keepLines w:val="0"/>
        <w:pageBreakBefore w:val="0"/>
        <w:kinsoku/>
        <w:wordWrap/>
        <w:overflowPunct/>
        <w:autoSpaceDE/>
        <w:autoSpaceDN/>
        <w:bidi w:val="0"/>
        <w:adjustRightInd/>
        <w:snapToGrid/>
        <w:spacing w:line="500" w:lineRule="exact"/>
        <w:ind w:left="0" w:leftChars="0"/>
        <w:textAlignment w:val="auto"/>
        <w:rPr>
          <w:rFonts w:hint="eastAsia" w:ascii="仿宋" w:hAnsi="仿宋" w:eastAsia="仿宋" w:cs="仿宋"/>
          <w:sz w:val="28"/>
          <w:szCs w:val="28"/>
        </w:rPr>
      </w:pPr>
    </w:p>
    <w:p w14:paraId="0F05EF86">
      <w:pPr>
        <w:keepNext w:val="0"/>
        <w:keepLines w:val="0"/>
        <w:pageBreakBefore w:val="0"/>
        <w:kinsoku/>
        <w:wordWrap/>
        <w:overflowPunct/>
        <w:autoSpaceDE/>
        <w:autoSpaceDN/>
        <w:bidi w:val="0"/>
        <w:adjustRightInd/>
        <w:snapToGrid/>
        <w:spacing w:line="500" w:lineRule="exact"/>
        <w:ind w:left="0" w:leftChars="0"/>
        <w:jc w:val="center"/>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2024</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月</w:t>
      </w:r>
    </w:p>
    <w:p w14:paraId="0F20B5C0">
      <w:pPr>
        <w:keepNext w:val="0"/>
        <w:keepLines w:val="0"/>
        <w:pageBreakBefore w:val="0"/>
        <w:kinsoku/>
        <w:wordWrap/>
        <w:overflowPunct/>
        <w:autoSpaceDE/>
        <w:autoSpaceDN/>
        <w:bidi w:val="0"/>
        <w:adjustRightInd/>
        <w:snapToGrid/>
        <w:spacing w:line="500" w:lineRule="exact"/>
        <w:ind w:left="0" w:leftChars="0" w:firstLine="700" w:firstLineChars="250"/>
        <w:textAlignment w:val="auto"/>
        <w:rPr>
          <w:rFonts w:hint="eastAsia" w:ascii="仿宋" w:hAnsi="仿宋" w:eastAsia="仿宋" w:cs="仿宋"/>
          <w:sz w:val="28"/>
          <w:szCs w:val="28"/>
        </w:rPr>
      </w:pPr>
    </w:p>
    <w:p w14:paraId="210835C6">
      <w:pPr>
        <w:keepNext w:val="0"/>
        <w:keepLines w:val="0"/>
        <w:pageBreakBefore w:val="0"/>
        <w:kinsoku/>
        <w:wordWrap/>
        <w:overflowPunct/>
        <w:autoSpaceDE/>
        <w:autoSpaceDN/>
        <w:bidi w:val="0"/>
        <w:adjustRightInd/>
        <w:snapToGrid/>
        <w:spacing w:line="500" w:lineRule="exact"/>
        <w:ind w:left="0" w:leftChars="0"/>
        <w:textAlignment w:val="auto"/>
        <w:rPr>
          <w:rFonts w:hint="eastAsia" w:ascii="仿宋" w:hAnsi="仿宋" w:eastAsia="仿宋" w:cs="仿宋"/>
          <w:b/>
          <w:bCs/>
          <w:kern w:val="28"/>
          <w:sz w:val="28"/>
          <w:szCs w:val="28"/>
        </w:rPr>
      </w:pPr>
      <w:r>
        <w:rPr>
          <w:rFonts w:hint="eastAsia" w:ascii="仿宋" w:hAnsi="仿宋" w:eastAsia="仿宋" w:cs="仿宋"/>
          <w:b/>
          <w:bCs/>
          <w:kern w:val="28"/>
          <w:sz w:val="28"/>
          <w:szCs w:val="28"/>
        </w:rPr>
        <w:br w:type="page"/>
      </w:r>
    </w:p>
    <w:p w14:paraId="61BFC2E0">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b/>
          <w:bCs/>
          <w:snapToGrid w:val="0"/>
          <w:color w:val="000000"/>
          <w:sz w:val="28"/>
          <w:szCs w:val="28"/>
          <w:lang w:val="en-US" w:eastAsia="zh-CN" w:bidi="ar-SA"/>
        </w:rPr>
      </w:pPr>
      <w:r>
        <w:rPr>
          <w:rFonts w:hint="eastAsia" w:ascii="仿宋" w:hAnsi="仿宋" w:eastAsia="仿宋" w:cs="仿宋"/>
          <w:b/>
          <w:bCs/>
          <w:snapToGrid w:val="0"/>
          <w:color w:val="000000"/>
          <w:sz w:val="28"/>
          <w:szCs w:val="28"/>
          <w:lang w:val="en-US" w:eastAsia="zh-CN" w:bidi="ar-SA"/>
        </w:rPr>
        <w:t>需方(甲方)：陕西省康复医院</w:t>
      </w:r>
    </w:p>
    <w:p w14:paraId="1364AD86">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地      址：西安市雁塔区电子二路52号</w:t>
      </w:r>
    </w:p>
    <w:p w14:paraId="6E759ABC">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电      话：029-89288722</w:t>
      </w:r>
    </w:p>
    <w:p w14:paraId="277CBE5D">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邮      编：710065</w:t>
      </w:r>
    </w:p>
    <w:p w14:paraId="1C19BBB6">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b/>
          <w:bCs/>
          <w:snapToGrid w:val="0"/>
          <w:color w:val="000000"/>
          <w:sz w:val="28"/>
          <w:szCs w:val="28"/>
          <w:lang w:val="en-US" w:eastAsia="zh-CN" w:bidi="ar-SA"/>
        </w:rPr>
      </w:pPr>
      <w:r>
        <w:rPr>
          <w:rFonts w:hint="eastAsia" w:ascii="仿宋" w:hAnsi="仿宋" w:eastAsia="仿宋" w:cs="仿宋"/>
          <w:b/>
          <w:bCs/>
          <w:snapToGrid w:val="0"/>
          <w:color w:val="000000"/>
          <w:sz w:val="28"/>
          <w:szCs w:val="28"/>
          <w:lang w:val="en-US" w:eastAsia="zh-CN" w:bidi="ar-SA"/>
        </w:rPr>
        <w:t xml:space="preserve">供方(乙方)： </w:t>
      </w:r>
    </w:p>
    <w:p w14:paraId="2D707F89">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地      址：</w:t>
      </w:r>
    </w:p>
    <w:p w14:paraId="7CF54EC9">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 xml:space="preserve">电      话：    </w:t>
      </w:r>
    </w:p>
    <w:p w14:paraId="010E9DF6">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邮      编：</w:t>
      </w:r>
    </w:p>
    <w:p w14:paraId="4F6D7F39">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联  系  人：</w:t>
      </w:r>
    </w:p>
    <w:p w14:paraId="7B209045">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 xml:space="preserve">签约地点：西安市雁塔区 </w:t>
      </w:r>
    </w:p>
    <w:p w14:paraId="6891FEC4">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根据《中华人民共和国民法典》的规定和甲方需求，本着平等互利、协商一致的原则，经甲乙双方友好协商，特订立本合同，共同遵守。</w:t>
      </w:r>
    </w:p>
    <w:p w14:paraId="5855FD93">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b/>
          <w:bCs/>
          <w:snapToGrid w:val="0"/>
          <w:color w:val="000000"/>
          <w:sz w:val="28"/>
          <w:szCs w:val="28"/>
          <w:lang w:val="en-US" w:eastAsia="zh-CN" w:bidi="ar-SA"/>
        </w:rPr>
      </w:pPr>
      <w:r>
        <w:rPr>
          <w:rFonts w:hint="eastAsia" w:ascii="仿宋" w:hAnsi="仿宋" w:eastAsia="仿宋" w:cs="仿宋"/>
          <w:b/>
          <w:bCs/>
          <w:snapToGrid w:val="0"/>
          <w:color w:val="000000"/>
          <w:sz w:val="28"/>
          <w:szCs w:val="28"/>
          <w:lang w:val="en-US" w:eastAsia="zh-CN" w:bidi="ar-SA"/>
        </w:rPr>
        <w:t>一、标的名称、规格型号、注册证号、制造厂商、数量、价款</w:t>
      </w:r>
    </w:p>
    <w:tbl>
      <w:tblPr>
        <w:tblStyle w:val="6"/>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375"/>
        <w:gridCol w:w="1188"/>
        <w:gridCol w:w="1560"/>
        <w:gridCol w:w="695"/>
        <w:gridCol w:w="491"/>
        <w:gridCol w:w="1700"/>
        <w:gridCol w:w="1709"/>
      </w:tblGrid>
      <w:tr w14:paraId="6F28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536D9A97">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标的名称</w:t>
            </w:r>
          </w:p>
        </w:tc>
        <w:tc>
          <w:tcPr>
            <w:tcW w:w="1375" w:type="dxa"/>
            <w:tcBorders>
              <w:top w:val="single" w:color="auto" w:sz="4" w:space="0"/>
              <w:left w:val="single" w:color="auto" w:sz="4" w:space="0"/>
              <w:bottom w:val="single" w:color="auto" w:sz="4" w:space="0"/>
              <w:right w:val="single" w:color="auto" w:sz="4" w:space="0"/>
            </w:tcBorders>
            <w:vAlign w:val="center"/>
          </w:tcPr>
          <w:p w14:paraId="751C2E9C">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品牌及规格型号</w:t>
            </w:r>
          </w:p>
        </w:tc>
        <w:tc>
          <w:tcPr>
            <w:tcW w:w="1188" w:type="dxa"/>
            <w:tcBorders>
              <w:top w:val="single" w:color="auto" w:sz="4" w:space="0"/>
              <w:left w:val="single" w:color="auto" w:sz="4" w:space="0"/>
              <w:bottom w:val="single" w:color="auto" w:sz="4" w:space="0"/>
              <w:right w:val="single" w:color="auto" w:sz="4" w:space="0"/>
            </w:tcBorders>
            <w:vAlign w:val="center"/>
          </w:tcPr>
          <w:p w14:paraId="595509D7">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注册证号</w:t>
            </w:r>
          </w:p>
        </w:tc>
        <w:tc>
          <w:tcPr>
            <w:tcW w:w="1560" w:type="dxa"/>
            <w:tcBorders>
              <w:top w:val="single" w:color="auto" w:sz="4" w:space="0"/>
              <w:left w:val="single" w:color="auto" w:sz="4" w:space="0"/>
              <w:bottom w:val="single" w:color="auto" w:sz="4" w:space="0"/>
              <w:right w:val="single" w:color="auto" w:sz="4" w:space="0"/>
            </w:tcBorders>
            <w:vAlign w:val="center"/>
          </w:tcPr>
          <w:p w14:paraId="017C5A20">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产地及制造厂商</w:t>
            </w:r>
          </w:p>
        </w:tc>
        <w:tc>
          <w:tcPr>
            <w:tcW w:w="695" w:type="dxa"/>
            <w:tcBorders>
              <w:top w:val="single" w:color="auto" w:sz="4" w:space="0"/>
              <w:left w:val="single" w:color="auto" w:sz="4" w:space="0"/>
              <w:bottom w:val="single" w:color="auto" w:sz="4" w:space="0"/>
              <w:right w:val="single" w:color="auto" w:sz="4" w:space="0"/>
            </w:tcBorders>
            <w:vAlign w:val="center"/>
          </w:tcPr>
          <w:p w14:paraId="1A5EBDAD">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数量</w:t>
            </w:r>
          </w:p>
        </w:tc>
        <w:tc>
          <w:tcPr>
            <w:tcW w:w="491" w:type="dxa"/>
            <w:tcBorders>
              <w:top w:val="single" w:color="auto" w:sz="4" w:space="0"/>
              <w:left w:val="single" w:color="auto" w:sz="4" w:space="0"/>
              <w:bottom w:val="single" w:color="auto" w:sz="4" w:space="0"/>
              <w:right w:val="single" w:color="auto" w:sz="4" w:space="0"/>
            </w:tcBorders>
            <w:vAlign w:val="center"/>
          </w:tcPr>
          <w:p w14:paraId="48802DA5">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单位</w:t>
            </w:r>
          </w:p>
        </w:tc>
        <w:tc>
          <w:tcPr>
            <w:tcW w:w="1700" w:type="dxa"/>
            <w:tcBorders>
              <w:top w:val="single" w:color="auto" w:sz="4" w:space="0"/>
              <w:left w:val="single" w:color="auto" w:sz="4" w:space="0"/>
              <w:bottom w:val="single" w:color="auto" w:sz="4" w:space="0"/>
              <w:right w:val="single" w:color="auto" w:sz="4" w:space="0"/>
            </w:tcBorders>
            <w:vAlign w:val="center"/>
          </w:tcPr>
          <w:p w14:paraId="553B85AA">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单价（元）</w:t>
            </w:r>
          </w:p>
        </w:tc>
        <w:tc>
          <w:tcPr>
            <w:tcW w:w="1709" w:type="dxa"/>
            <w:tcBorders>
              <w:top w:val="single" w:color="auto" w:sz="4" w:space="0"/>
              <w:left w:val="single" w:color="auto" w:sz="4" w:space="0"/>
              <w:bottom w:val="single" w:color="auto" w:sz="4" w:space="0"/>
              <w:right w:val="single" w:color="auto" w:sz="4" w:space="0"/>
            </w:tcBorders>
            <w:vAlign w:val="center"/>
          </w:tcPr>
          <w:p w14:paraId="2F896D74">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总价（元）</w:t>
            </w:r>
          </w:p>
        </w:tc>
      </w:tr>
      <w:tr w14:paraId="2E6D7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29342C0D">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p>
        </w:tc>
        <w:tc>
          <w:tcPr>
            <w:tcW w:w="1375" w:type="dxa"/>
            <w:tcBorders>
              <w:top w:val="single" w:color="auto" w:sz="4" w:space="0"/>
              <w:left w:val="single" w:color="auto" w:sz="4" w:space="0"/>
              <w:bottom w:val="single" w:color="auto" w:sz="4" w:space="0"/>
              <w:right w:val="single" w:color="auto" w:sz="4" w:space="0"/>
            </w:tcBorders>
            <w:vAlign w:val="center"/>
          </w:tcPr>
          <w:p w14:paraId="1C20D2FA">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p>
        </w:tc>
        <w:tc>
          <w:tcPr>
            <w:tcW w:w="1188" w:type="dxa"/>
            <w:tcBorders>
              <w:top w:val="single" w:color="auto" w:sz="4" w:space="0"/>
              <w:left w:val="single" w:color="auto" w:sz="4" w:space="0"/>
              <w:bottom w:val="single" w:color="auto" w:sz="4" w:space="0"/>
              <w:right w:val="single" w:color="auto" w:sz="4" w:space="0"/>
            </w:tcBorders>
            <w:vAlign w:val="center"/>
          </w:tcPr>
          <w:p w14:paraId="50373E64">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p>
        </w:tc>
        <w:tc>
          <w:tcPr>
            <w:tcW w:w="1560" w:type="dxa"/>
            <w:tcBorders>
              <w:top w:val="single" w:color="auto" w:sz="4" w:space="0"/>
              <w:left w:val="single" w:color="auto" w:sz="4" w:space="0"/>
              <w:bottom w:val="single" w:color="auto" w:sz="4" w:space="0"/>
              <w:right w:val="single" w:color="auto" w:sz="4" w:space="0"/>
            </w:tcBorders>
            <w:vAlign w:val="center"/>
          </w:tcPr>
          <w:p w14:paraId="77B2DB85">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p>
        </w:tc>
        <w:tc>
          <w:tcPr>
            <w:tcW w:w="695" w:type="dxa"/>
            <w:tcBorders>
              <w:top w:val="single" w:color="auto" w:sz="4" w:space="0"/>
              <w:left w:val="single" w:color="auto" w:sz="4" w:space="0"/>
              <w:bottom w:val="single" w:color="auto" w:sz="4" w:space="0"/>
              <w:right w:val="single" w:color="auto" w:sz="4" w:space="0"/>
            </w:tcBorders>
            <w:vAlign w:val="center"/>
          </w:tcPr>
          <w:p w14:paraId="1C570E9C">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p>
        </w:tc>
        <w:tc>
          <w:tcPr>
            <w:tcW w:w="491" w:type="dxa"/>
            <w:tcBorders>
              <w:top w:val="single" w:color="auto" w:sz="4" w:space="0"/>
              <w:left w:val="single" w:color="auto" w:sz="4" w:space="0"/>
              <w:bottom w:val="single" w:color="auto" w:sz="4" w:space="0"/>
              <w:right w:val="single" w:color="auto" w:sz="4" w:space="0"/>
            </w:tcBorders>
            <w:vAlign w:val="center"/>
          </w:tcPr>
          <w:p w14:paraId="5C470FFB">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p>
        </w:tc>
        <w:tc>
          <w:tcPr>
            <w:tcW w:w="1700" w:type="dxa"/>
            <w:tcBorders>
              <w:top w:val="single" w:color="auto" w:sz="4" w:space="0"/>
              <w:left w:val="single" w:color="auto" w:sz="4" w:space="0"/>
              <w:bottom w:val="single" w:color="auto" w:sz="4" w:space="0"/>
              <w:right w:val="single" w:color="auto" w:sz="4" w:space="0"/>
            </w:tcBorders>
            <w:vAlign w:val="center"/>
          </w:tcPr>
          <w:p w14:paraId="6FCDD5E4">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p>
        </w:tc>
        <w:tc>
          <w:tcPr>
            <w:tcW w:w="1709" w:type="dxa"/>
            <w:tcBorders>
              <w:top w:val="single" w:color="auto" w:sz="4" w:space="0"/>
              <w:left w:val="single" w:color="auto" w:sz="4" w:space="0"/>
              <w:bottom w:val="single" w:color="auto" w:sz="4" w:space="0"/>
              <w:right w:val="single" w:color="auto" w:sz="4" w:space="0"/>
            </w:tcBorders>
            <w:vAlign w:val="center"/>
          </w:tcPr>
          <w:p w14:paraId="5E847FC8">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p>
        </w:tc>
      </w:tr>
      <w:tr w14:paraId="02233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287612FC">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总价</w:t>
            </w:r>
          </w:p>
        </w:tc>
        <w:tc>
          <w:tcPr>
            <w:tcW w:w="8718" w:type="dxa"/>
            <w:gridSpan w:val="7"/>
            <w:tcBorders>
              <w:top w:val="single" w:color="auto" w:sz="4" w:space="0"/>
              <w:left w:val="single" w:color="auto" w:sz="4" w:space="0"/>
              <w:bottom w:val="single" w:color="auto" w:sz="4" w:space="0"/>
              <w:right w:val="single" w:color="auto" w:sz="4" w:space="0"/>
            </w:tcBorders>
          </w:tcPr>
          <w:p w14:paraId="582BA22E">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 xml:space="preserve">（小写）￥0000.00元 （大写）￥         元 </w:t>
            </w:r>
          </w:p>
        </w:tc>
      </w:tr>
      <w:tr w14:paraId="7223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599" w:type="dxa"/>
            <w:gridSpan w:val="8"/>
            <w:tcBorders>
              <w:top w:val="single" w:color="auto" w:sz="4" w:space="0"/>
              <w:left w:val="single" w:color="auto" w:sz="4" w:space="0"/>
              <w:bottom w:val="single" w:color="auto" w:sz="4" w:space="0"/>
              <w:right w:val="single" w:color="auto" w:sz="4" w:space="0"/>
            </w:tcBorders>
            <w:vAlign w:val="center"/>
          </w:tcPr>
          <w:p w14:paraId="7CEFD8B6">
            <w:pPr>
              <w:pStyle w:val="8"/>
              <w:keepNext w:val="0"/>
              <w:keepLines w:val="0"/>
              <w:pageBreakBefore w:val="0"/>
              <w:widowControl/>
              <w:kinsoku w:val="0"/>
              <w:wordWrap/>
              <w:overflowPunct/>
              <w:topLinePunct w:val="0"/>
              <w:autoSpaceDE w:val="0"/>
              <w:autoSpaceDN w:val="0"/>
              <w:bidi w:val="0"/>
              <w:adjustRightInd w:val="0"/>
              <w:snapToGrid w:val="0"/>
              <w:spacing w:line="500" w:lineRule="exact"/>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备注：</w:t>
            </w:r>
          </w:p>
        </w:tc>
      </w:tr>
    </w:tbl>
    <w:p w14:paraId="25FB4252">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说明：1、本合同价格为最终结算价格，包括安装、调试正常运行、验收合格后的价格（含保修费、零备件和运杂费、运输费、装卸费、仓储费、保险费、安装费、设备接口费（lis、his等系统）、验收费、人员培训费、关税及进口环节增值税等所有税费及其它一切费用）。</w:t>
      </w:r>
    </w:p>
    <w:p w14:paraId="7A4C4A54">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2、本合同为一次性包死，不受市场价格变化因素的影响。</w:t>
      </w:r>
    </w:p>
    <w:p w14:paraId="01077855">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3、设备配置：详见采购文件、响应文件设备配置清单、装箱单及产品彩页（含增配件）。有强制性安全标准的产品，乙方应提供该产品的制造许可证证明。</w:t>
      </w:r>
    </w:p>
    <w:p w14:paraId="3ED6628D">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b/>
          <w:bCs/>
          <w:snapToGrid w:val="0"/>
          <w:color w:val="000000"/>
          <w:sz w:val="28"/>
          <w:szCs w:val="28"/>
          <w:lang w:val="en-US" w:eastAsia="zh-CN" w:bidi="ar-SA"/>
        </w:rPr>
      </w:pPr>
      <w:r>
        <w:rPr>
          <w:rFonts w:hint="eastAsia" w:ascii="仿宋" w:hAnsi="仿宋" w:eastAsia="仿宋" w:cs="仿宋"/>
          <w:b/>
          <w:bCs/>
          <w:snapToGrid w:val="0"/>
          <w:color w:val="000000"/>
          <w:sz w:val="28"/>
          <w:szCs w:val="28"/>
          <w:lang w:val="en-US" w:eastAsia="zh-CN" w:bidi="ar-SA"/>
        </w:rPr>
        <w:t>二、交货、安装的期限和地点</w:t>
      </w:r>
    </w:p>
    <w:p w14:paraId="7EABF728">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（一）交货期：合同签订后</w:t>
      </w:r>
      <w:r>
        <w:rPr>
          <w:rFonts w:hint="eastAsia" w:ascii="仿宋" w:hAnsi="仿宋" w:eastAsia="仿宋" w:cs="仿宋"/>
          <w:snapToGrid w:val="0"/>
          <w:color w:val="000000"/>
          <w:sz w:val="28"/>
          <w:szCs w:val="28"/>
          <w:u w:val="single"/>
          <w:lang w:val="en-US" w:eastAsia="zh-CN" w:bidi="ar-SA"/>
        </w:rPr>
        <w:t xml:space="preserve">   7  </w:t>
      </w:r>
      <w:r>
        <w:rPr>
          <w:rFonts w:hint="eastAsia" w:ascii="仿宋" w:hAnsi="仿宋" w:eastAsia="仿宋" w:cs="仿宋"/>
          <w:snapToGrid w:val="0"/>
          <w:color w:val="000000"/>
          <w:sz w:val="28"/>
          <w:szCs w:val="28"/>
          <w:lang w:val="en-US" w:eastAsia="zh-CN" w:bidi="ar-SA"/>
        </w:rPr>
        <w:t>天。</w:t>
      </w:r>
    </w:p>
    <w:p w14:paraId="76E7CA72">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（二）交货及安装地点：乙方负责运输至甲方指定地点交货。</w:t>
      </w:r>
    </w:p>
    <w:p w14:paraId="03E72FC4">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（三）安装完成时间：接甲方通知后</w:t>
      </w:r>
      <w:r>
        <w:rPr>
          <w:rFonts w:hint="eastAsia" w:ascii="仿宋" w:hAnsi="仿宋" w:eastAsia="仿宋" w:cs="仿宋"/>
          <w:snapToGrid w:val="0"/>
          <w:color w:val="000000"/>
          <w:sz w:val="28"/>
          <w:szCs w:val="28"/>
          <w:u w:val="single"/>
          <w:lang w:val="en-US" w:eastAsia="zh-CN" w:bidi="ar-SA"/>
        </w:rPr>
        <w:t>2</w:t>
      </w:r>
      <w:r>
        <w:rPr>
          <w:rFonts w:hint="eastAsia" w:ascii="仿宋" w:hAnsi="仿宋" w:eastAsia="仿宋" w:cs="仿宋"/>
          <w:snapToGrid w:val="0"/>
          <w:color w:val="000000"/>
          <w:sz w:val="28"/>
          <w:szCs w:val="28"/>
          <w:lang w:val="en-US" w:eastAsia="zh-CN" w:bidi="ar-SA"/>
        </w:rPr>
        <w:t>个工作日内全部调试完成，并可正常使用。</w:t>
      </w:r>
    </w:p>
    <w:p w14:paraId="3A81B388">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b/>
          <w:bCs/>
          <w:snapToGrid w:val="0"/>
          <w:color w:val="000000"/>
          <w:sz w:val="28"/>
          <w:szCs w:val="28"/>
          <w:lang w:val="en-US" w:eastAsia="zh-CN" w:bidi="ar-SA"/>
        </w:rPr>
      </w:pPr>
      <w:r>
        <w:rPr>
          <w:rFonts w:hint="eastAsia" w:ascii="仿宋" w:hAnsi="仿宋" w:eastAsia="仿宋" w:cs="仿宋"/>
          <w:b/>
          <w:bCs/>
          <w:snapToGrid w:val="0"/>
          <w:color w:val="000000"/>
          <w:sz w:val="28"/>
          <w:szCs w:val="28"/>
          <w:lang w:val="en-US" w:eastAsia="zh-CN" w:bidi="ar-SA"/>
        </w:rPr>
        <w:t>三、验收标准和方法</w:t>
      </w:r>
    </w:p>
    <w:p w14:paraId="26DB1178">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（一）验收标准</w:t>
      </w:r>
    </w:p>
    <w:p w14:paraId="7F360B4E">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1、包装：符合出厂规范及符合《商品包装政府采购需求标准（试行）》《快递包装政府采购需求标准（试行）》,包装完整无破损，防雨、防潮等各种符号标识清楚，进口设备应具有原产国标识且标识清楚。</w:t>
      </w:r>
    </w:p>
    <w:p w14:paraId="08299C3C">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2、安装：符合本合同项下产品的全部相关国家安全技术标准及甲方要求。</w:t>
      </w:r>
    </w:p>
    <w:p w14:paraId="1DCF65F4">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w:t>
      </w:r>
    </w:p>
    <w:p w14:paraId="29217FD5">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（二）验收方法</w:t>
      </w:r>
    </w:p>
    <w:p w14:paraId="48D2CD58">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w:t>
      </w:r>
    </w:p>
    <w:p w14:paraId="09BD0285">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验收过程中发现设备存在瑕疵或质量问题的，乙方应无条件配合甲方进行维修、更换或退货工作，因此给甲方造成损失的，乙方就全部损失承担赔偿责任。</w:t>
      </w:r>
    </w:p>
    <w:p w14:paraId="00798332">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在甲方验收前，乙方须按照《商品包装政府采购需求标准（试行）》《快递包装政府采购需求标准（试行）》的环保要求出具检测报告。</w:t>
      </w:r>
    </w:p>
    <w:p w14:paraId="688DE8F5">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b/>
          <w:bCs/>
          <w:snapToGrid w:val="0"/>
          <w:color w:val="000000"/>
          <w:sz w:val="28"/>
          <w:szCs w:val="28"/>
          <w:lang w:val="en-US" w:eastAsia="zh-CN" w:bidi="ar-SA"/>
        </w:rPr>
      </w:pPr>
      <w:r>
        <w:rPr>
          <w:rFonts w:hint="eastAsia" w:ascii="仿宋" w:hAnsi="仿宋" w:eastAsia="仿宋" w:cs="仿宋"/>
          <w:b/>
          <w:bCs/>
          <w:snapToGrid w:val="0"/>
          <w:color w:val="000000"/>
          <w:sz w:val="28"/>
          <w:szCs w:val="28"/>
          <w:lang w:val="en-US" w:eastAsia="zh-CN" w:bidi="ar-SA"/>
        </w:rPr>
        <w:t>四、售后服务及保修</w:t>
      </w:r>
    </w:p>
    <w:p w14:paraId="29FD2647">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1、乙方所提供专职的维修售后保证维修及时、快捷24小时热线服务。</w:t>
      </w:r>
    </w:p>
    <w:p w14:paraId="0C94839D">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售后服务部门（单位）</w:t>
      </w:r>
    </w:p>
    <w:p w14:paraId="2BFCFD69">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 xml:space="preserve">名  称： </w:t>
      </w:r>
    </w:p>
    <w:p w14:paraId="1BE1816D">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 xml:space="preserve">地  址： </w:t>
      </w:r>
    </w:p>
    <w:p w14:paraId="5A54BF96">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 xml:space="preserve">联系人：  </w:t>
      </w:r>
    </w:p>
    <w:p w14:paraId="2AAEED03">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电  话：</w:t>
      </w:r>
    </w:p>
    <w:p w14:paraId="753F4B63">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2、维修服务： 响应时间1小时，4小时内到场进行维修，24小时内修复，如果超过48小时不能修复，提供同档次的备用机。质保期内，若同一硬件1个月内连续2次出现同一故障（非人为情况），乙方无条件为甲方无偿更换为同一档次机器。若同一台仪器1个月内累计3次出现故障（非人为情况）或换货后仍出现故障的，甲方有权要求退货。因乙方未及时维修给甲方造成的一切损失由乙方承担。</w:t>
      </w:r>
    </w:p>
    <w:p w14:paraId="65B75D71">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3、乙方定期派技术人员到现场走访，对设备给予检查维护。每季度免费上门对设备进行专业的保养和维护≥一次。维护内容包括：检查所有设备及设备间各连接件，设备内清洁和机械滑动上油，进行系统测试等、确保所有设备的正常使用。</w:t>
      </w:r>
    </w:p>
    <w:p w14:paraId="6DD56DA1">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4、质保期内：所有设备自验收合格之日（甲方出具书面验收合格证明文件落款之日）起质保   年。乙方提供最新产品软件升级和更新。</w:t>
      </w:r>
    </w:p>
    <w:p w14:paraId="7FF31881">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5、质保期内：设备年开机率达到98％，故障率低于2％。累计停机时长每满24小时一次，质保期顺延5个工作日（停机时长24小时，质保期顺延5个工作日，停机时长48小时，质保期顺延10个工作日，以此类推）。</w:t>
      </w:r>
    </w:p>
    <w:p w14:paraId="6D54D83F">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6、质保期满后乙方负责设备的终身维修服务。维修不收取服务费，只收取材料成本费并且保证零配件供应10年。售后服务标准按照质保期内的标准执行。</w:t>
      </w:r>
    </w:p>
    <w:p w14:paraId="3F989510">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b/>
          <w:bCs/>
          <w:snapToGrid w:val="0"/>
          <w:color w:val="000000"/>
          <w:sz w:val="28"/>
          <w:szCs w:val="28"/>
          <w:lang w:val="en-US" w:eastAsia="zh-CN" w:bidi="ar-SA"/>
        </w:rPr>
      </w:pPr>
      <w:r>
        <w:rPr>
          <w:rFonts w:hint="eastAsia" w:ascii="仿宋" w:hAnsi="仿宋" w:eastAsia="仿宋" w:cs="仿宋"/>
          <w:b/>
          <w:bCs/>
          <w:snapToGrid w:val="0"/>
          <w:color w:val="000000"/>
          <w:sz w:val="28"/>
          <w:szCs w:val="28"/>
          <w:lang w:val="en-US" w:eastAsia="zh-CN" w:bidi="ar-SA"/>
        </w:rPr>
        <w:t>五、人员培训</w:t>
      </w:r>
    </w:p>
    <w:p w14:paraId="352AA17E">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装机后乙方为甲方相关医护、技术及维修人员提供培训，直至双方认证合格，培训约定如下：</w:t>
      </w:r>
    </w:p>
    <w:p w14:paraId="03DA9BD2">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培训对象及人数：根据科室使用人数进行培训。</w:t>
      </w:r>
    </w:p>
    <w:p w14:paraId="786F2615">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培训方式及地点：现场培训</w:t>
      </w:r>
    </w:p>
    <w:p w14:paraId="2BF064FA">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培训时间及费用：设备安装完成后，免费培训，直至双方认证合格。</w:t>
      </w:r>
    </w:p>
    <w:p w14:paraId="6BA7837D">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b/>
          <w:bCs/>
          <w:snapToGrid w:val="0"/>
          <w:color w:val="000000"/>
          <w:sz w:val="28"/>
          <w:szCs w:val="28"/>
          <w:lang w:val="en-US" w:eastAsia="zh-CN" w:bidi="ar-SA"/>
        </w:rPr>
      </w:pPr>
      <w:r>
        <w:rPr>
          <w:rFonts w:hint="eastAsia" w:ascii="仿宋" w:hAnsi="仿宋" w:eastAsia="仿宋" w:cs="仿宋"/>
          <w:b/>
          <w:bCs/>
          <w:snapToGrid w:val="0"/>
          <w:color w:val="000000"/>
          <w:sz w:val="28"/>
          <w:szCs w:val="28"/>
          <w:lang w:val="en-US" w:eastAsia="zh-CN" w:bidi="ar-SA"/>
        </w:rPr>
        <w:t>六、付款方式和条件</w:t>
      </w:r>
    </w:p>
    <w:p w14:paraId="5E001F32">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（一）合同签订后，乙方提交付款申请，达到付款条件起10日内，支付合同金额的40％；货到安装培训验收合格后，乙方提起申请，90日内付款付款60％。</w:t>
      </w:r>
    </w:p>
    <w:p w14:paraId="2AAC39D7">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（二）支付方式通过银行转账方式将款项转入乙方银行账户。乙方银行账户信息如下:</w:t>
      </w:r>
    </w:p>
    <w:p w14:paraId="2E04395D">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 xml:space="preserve">账户全称: </w:t>
      </w:r>
    </w:p>
    <w:p w14:paraId="63588B3F">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 xml:space="preserve">账号: </w:t>
      </w:r>
    </w:p>
    <w:p w14:paraId="2342F32B">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 xml:space="preserve">开户行: </w:t>
      </w:r>
    </w:p>
    <w:p w14:paraId="0F52D7CF">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439E7472">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（三）结算要求：乙方迟延开具发票、无法开具发票或开具的发票金额低于约定金额的，甲方有权相应地迟延付款、暂不付款或按低于约定金额的发票金额来付款，并对此不承担任何责任。</w:t>
      </w:r>
    </w:p>
    <w:p w14:paraId="271D5DE4">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b/>
          <w:bCs/>
          <w:snapToGrid w:val="0"/>
          <w:color w:val="000000"/>
          <w:sz w:val="28"/>
          <w:szCs w:val="28"/>
          <w:lang w:val="en-US" w:eastAsia="zh-CN" w:bidi="ar-SA"/>
        </w:rPr>
      </w:pPr>
      <w:r>
        <w:rPr>
          <w:rFonts w:hint="eastAsia" w:ascii="仿宋" w:hAnsi="仿宋" w:eastAsia="仿宋" w:cs="仿宋"/>
          <w:b/>
          <w:bCs/>
          <w:snapToGrid w:val="0"/>
          <w:color w:val="000000"/>
          <w:sz w:val="28"/>
          <w:szCs w:val="28"/>
          <w:lang w:val="en-US" w:eastAsia="zh-CN" w:bidi="ar-SA"/>
        </w:rPr>
        <w:t>七、违约责任</w:t>
      </w:r>
    </w:p>
    <w:p w14:paraId="6FA7A1B5">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w:t>
      </w:r>
    </w:p>
    <w:p w14:paraId="26C9F4D1">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w:t>
      </w:r>
    </w:p>
    <w:p w14:paraId="5480A607">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3、乙方不能按期交货，每延迟壹天，应付不能交货部分货款5‰的延迟付款违约金。逾期交货超过20天，甲方有权单方解除合同，自甲方合同解除通知送达之日，合同解除生效。</w:t>
      </w:r>
    </w:p>
    <w:p w14:paraId="494A8B8E">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合同解除后，甲方有权拒收乙方货物且无需支付未交货部分货款。由此产生的全部法律责任及费用支出由乙方自行承担。</w:t>
      </w:r>
    </w:p>
    <w:p w14:paraId="638681CB">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4、乙方如没有按合同规定履行售后服务承诺，甲方可另行选择第三方单位进行修复，其费用全部由乙方支付，且甲方有权追究乙方的违约责任，包括为实现债权而支付的律师费、诉讼费、保全费等。</w:t>
      </w:r>
    </w:p>
    <w:p w14:paraId="26CB5EF6">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b/>
          <w:bCs/>
          <w:snapToGrid w:val="0"/>
          <w:color w:val="000000"/>
          <w:sz w:val="28"/>
          <w:szCs w:val="28"/>
          <w:lang w:val="en-US" w:eastAsia="zh-CN" w:bidi="ar-SA"/>
        </w:rPr>
      </w:pPr>
      <w:r>
        <w:rPr>
          <w:rFonts w:hint="eastAsia" w:ascii="仿宋" w:hAnsi="仿宋" w:eastAsia="仿宋" w:cs="仿宋"/>
          <w:b/>
          <w:bCs/>
          <w:snapToGrid w:val="0"/>
          <w:color w:val="000000"/>
          <w:sz w:val="28"/>
          <w:szCs w:val="28"/>
          <w:lang w:val="en-US" w:eastAsia="zh-CN" w:bidi="ar-SA"/>
        </w:rPr>
        <w:t>八、争议解决方式</w:t>
      </w:r>
    </w:p>
    <w:p w14:paraId="66C16860">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因本合同而发生的争议或纠纷，甲乙双方应先协商解决，协商不成时可向甲方所在地的人民法院提起诉讼。</w:t>
      </w:r>
    </w:p>
    <w:p w14:paraId="29F226B9">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b/>
          <w:bCs/>
          <w:snapToGrid w:val="0"/>
          <w:color w:val="000000"/>
          <w:sz w:val="28"/>
          <w:szCs w:val="28"/>
          <w:lang w:val="en-US" w:eastAsia="zh-CN" w:bidi="ar-SA"/>
        </w:rPr>
      </w:pPr>
      <w:r>
        <w:rPr>
          <w:rFonts w:hint="eastAsia" w:ascii="仿宋" w:hAnsi="仿宋" w:eastAsia="仿宋" w:cs="仿宋"/>
          <w:b/>
          <w:bCs/>
          <w:snapToGrid w:val="0"/>
          <w:color w:val="000000"/>
          <w:sz w:val="28"/>
          <w:szCs w:val="28"/>
          <w:lang w:val="en-US" w:eastAsia="zh-CN" w:bidi="ar-SA"/>
        </w:rPr>
        <w:t>九、其他约定</w:t>
      </w:r>
    </w:p>
    <w:p w14:paraId="4D65D5C8">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1、如因设备质量或原始标（警）示不清等原因，导致甲方损失，或造成甲方操作人员、第三方人员人身伤害，乙方应依法予以赔偿。</w:t>
      </w:r>
    </w:p>
    <w:p w14:paraId="199C84AB">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2、本协议项下的通知和送达均应通过本协议列明的途径进行。上述文件应由专人传递或通过电子邮箱送达，如由专人传送，则于送达指定专人接收之日视为正式送交；如由电子邮箱送达，则以发出之日为准。任何一方变更地址或法定代表人或企业名称等相关信息时，应当提前3个工作日内以书面形式通知对方。本合同载明的联系方式/通讯地址也适用于双方争议处理过程中人民法院等第三方机构送达法律文书及文件的有效联系方式和送达地址。</w:t>
      </w:r>
    </w:p>
    <w:p w14:paraId="4F68AAE5">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3、以下资料为本合同不可分割部分：（1）本合同所涉产品的国家标准及乙方宣传标准；（2）本产品的详细资料；（3）本套产品配置及配套设备报价详单；（4）本项目招投标文件、答疑文件及其他补充说明文件等招投标内容。</w:t>
      </w:r>
    </w:p>
    <w:p w14:paraId="66DDB229">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4、本合同一式肆份，甲方执叁份，乙方执壹份，均具有同等法律效力。</w:t>
      </w:r>
    </w:p>
    <w:p w14:paraId="52984E04">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5、本合同未尽事宜，由甲、乙双方另行签订补充协议。</w:t>
      </w:r>
    </w:p>
    <w:p w14:paraId="0141838B">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6、本合同自甲、乙双方盖章或签字之日起生效。</w:t>
      </w:r>
    </w:p>
    <w:p w14:paraId="08012F61">
      <w:pPr>
        <w:pStyle w:val="8"/>
        <w:keepNext w:val="0"/>
        <w:keepLines w:val="0"/>
        <w:pageBreakBefore w:val="0"/>
        <w:widowControl/>
        <w:kinsoku w:val="0"/>
        <w:wordWrap/>
        <w:overflowPunct/>
        <w:topLinePunct w:val="0"/>
        <w:autoSpaceDE w:val="0"/>
        <w:autoSpaceDN w:val="0"/>
        <w:bidi w:val="0"/>
        <w:adjustRightInd w:val="0"/>
        <w:snapToGrid w:val="0"/>
        <w:spacing w:line="336" w:lineRule="auto"/>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（以下无正文）</w:t>
      </w:r>
    </w:p>
    <w:p w14:paraId="56AB0540">
      <w:pPr>
        <w:pStyle w:val="8"/>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 xml:space="preserve"> </w:t>
      </w:r>
    </w:p>
    <w:p w14:paraId="3AF4EE05">
      <w:pPr>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br w:type="page"/>
      </w:r>
    </w:p>
    <w:p w14:paraId="0619938F">
      <w:pPr>
        <w:pStyle w:val="8"/>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甲  方（公章）陕西省康复医院        乙  方（公章）</w:t>
      </w:r>
    </w:p>
    <w:p w14:paraId="3627C2D0">
      <w:pPr>
        <w:pStyle w:val="8"/>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法定代表人或代理人：                法定代表人或代理人：</w:t>
      </w:r>
    </w:p>
    <w:p w14:paraId="5DC1AA78">
      <w:pPr>
        <w:pStyle w:val="8"/>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（签字）                             （签字）</w:t>
      </w:r>
    </w:p>
    <w:p w14:paraId="36A454A0">
      <w:pPr>
        <w:pStyle w:val="8"/>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签订日期： 年   月   日              签订日期：  年   月   日</w:t>
      </w:r>
    </w:p>
    <w:p w14:paraId="0ED6E4B0">
      <w:pPr>
        <w:pStyle w:val="8"/>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hint="eastAsia" w:ascii="仿宋" w:hAnsi="仿宋" w:eastAsia="仿宋" w:cs="仿宋"/>
          <w:snapToGrid w:val="0"/>
          <w:color w:val="000000"/>
          <w:sz w:val="28"/>
          <w:szCs w:val="28"/>
          <w:lang w:val="en-US" w:eastAsia="zh-CN" w:bidi="ar-SA"/>
        </w:rPr>
      </w:pPr>
    </w:p>
    <w:p w14:paraId="5BE4D994">
      <w:pPr>
        <w:pStyle w:val="8"/>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textAlignment w:val="baseline"/>
        <w:rPr>
          <w:rFonts w:hint="eastAsia" w:ascii="仿宋" w:hAnsi="仿宋" w:eastAsia="仿宋" w:cs="仿宋"/>
          <w:snapToGrid w:val="0"/>
          <w:color w:val="000000"/>
          <w:sz w:val="28"/>
          <w:szCs w:val="28"/>
          <w:lang w:val="en-US" w:eastAsia="zh-CN" w:bidi="ar-SA"/>
        </w:rPr>
      </w:pPr>
      <w:r>
        <w:rPr>
          <w:rFonts w:hint="eastAsia" w:ascii="仿宋" w:hAnsi="仿宋" w:eastAsia="仿宋" w:cs="仿宋"/>
          <w:snapToGrid w:val="0"/>
          <w:color w:val="000000"/>
          <w:sz w:val="28"/>
          <w:szCs w:val="28"/>
          <w:lang w:val="en-US" w:eastAsia="zh-CN" w:bidi="ar-SA"/>
        </w:rPr>
        <w:t>配置清单附后：</w:t>
      </w:r>
    </w:p>
    <w:p w14:paraId="54AA9246">
      <w:pPr>
        <w:pStyle w:val="8"/>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napToGrid w:val="0"/>
          <w:color w:val="000000"/>
          <w:sz w:val="28"/>
          <w:szCs w:val="28"/>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ZWQ2MGQxNmE1ODQyMmRiYjA3Yzk4MTMyMWVjOGQifQ=="/>
  </w:docVars>
  <w:rsids>
    <w:rsidRoot w:val="00000000"/>
    <w:rsid w:val="14034E32"/>
    <w:rsid w:val="4C0B7189"/>
    <w:rsid w:val="4F2845BB"/>
    <w:rsid w:val="5C3B4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 w:type="paragraph" w:styleId="3">
    <w:name w:val="footer"/>
    <w:basedOn w:val="1"/>
    <w:qFormat/>
    <w:uiPriority w:val="0"/>
    <w:pPr>
      <w:tabs>
        <w:tab w:val="center" w:pos="4153"/>
        <w:tab w:val="right" w:pos="8306"/>
      </w:tabs>
    </w:pPr>
    <w:rPr>
      <w:sz w:val="18"/>
    </w:rPr>
  </w:style>
  <w:style w:type="paragraph" w:styleId="4">
    <w:name w:val="Body Text Indent 3"/>
    <w:basedOn w:val="1"/>
    <w:semiHidden/>
    <w:unhideWhenUsed/>
    <w:qFormat/>
    <w:uiPriority w:val="99"/>
    <w:pPr>
      <w:spacing w:after="120"/>
      <w:ind w:left="420" w:leftChars="200"/>
    </w:pPr>
    <w:rPr>
      <w:sz w:val="16"/>
      <w:szCs w:val="16"/>
    </w:rPr>
  </w:style>
  <w:style w:type="paragraph" w:styleId="5">
    <w:name w:val="HTML Preformatted"/>
    <w:basedOn w:val="1"/>
    <w:unhideWhenUsed/>
    <w:qFormat/>
    <w:uiPriority w:val="99"/>
    <w:pPr>
      <w:widowControl/>
      <w:jc w:val="left"/>
    </w:pPr>
    <w:rPr>
      <w:rFonts w:ascii="黑体" w:hAnsi="Courier New" w:eastAsia="黑体" w:cs="宋体"/>
      <w:kern w:val="0"/>
      <w:sz w:val="20"/>
      <w:szCs w:val="20"/>
    </w:rPr>
  </w:style>
  <w:style w:type="paragraph" w:customStyle="1" w:styleId="8">
    <w:name w:val="_Style 3"/>
    <w:basedOn w:val="1"/>
    <w:next w:val="4"/>
    <w:qFormat/>
    <w:uiPriority w:val="34"/>
    <w:pPr>
      <w:ind w:firstLine="420" w:firstLineChars="200"/>
    </w:pPr>
    <w:rPr>
      <w:rFonts w:ascii="Calibri" w:hAnsi="Calibri" w:cs="Times New Roman"/>
      <w:szCs w:val="22"/>
    </w:rPr>
  </w:style>
  <w:style w:type="paragraph" w:customStyle="1" w:styleId="9">
    <w:name w:val="样式 10 磅"/>
    <w:basedOn w:val="1"/>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3317</Words>
  <Characters>3379</Characters>
  <Lines>0</Lines>
  <Paragraphs>0</Paragraphs>
  <TotalTime>7</TotalTime>
  <ScaleCrop>false</ScaleCrop>
  <LinksUpToDate>false</LinksUpToDate>
  <CharactersWithSpaces>3567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acer</dc:creator>
  <cp:lastModifiedBy>胡怡洁</cp:lastModifiedBy>
  <dcterms:modified xsi:type="dcterms:W3CDTF">2024-09-03T06:33:09Z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644E6A835A104DB6AB5B23C14F37A2CE_12</vt:lpwstr>
  </property>
</Properties>
</file>