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版本号：240910001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超快激光加工系统采购项目</w:t>
      </w:r>
    </w:p>
    <w:p>
      <w:pPr>
        <w:pStyle w:val="null3"/>
        <w:jc w:val="center"/>
        <w:outlineLvl w:val="2"/>
      </w:pPr>
      <w:r>
        <w:rPr>
          <w:sz w:val="28"/>
          <w:b/>
        </w:rPr>
        <w:t>采购项目编号：</w:t>
      </w:r>
      <w:r>
        <w:rPr>
          <w:sz w:val="28"/>
          <w:b/>
        </w:rPr>
        <w:t>【KRDL】K2-2408220</w:t>
      </w:r>
      <w:r>
        <w:br/>
      </w:r>
      <w:r>
        <w:br/>
      </w:r>
      <w:r>
        <w:br/>
      </w:r>
    </w:p>
    <w:p>
      <w:pPr>
        <w:pStyle w:val="null3"/>
        <w:jc w:val="center"/>
        <w:outlineLvl w:val="2"/>
      </w:pPr>
      <w:r>
        <w:rPr>
          <w:sz w:val="28"/>
          <w:b/>
        </w:rPr>
        <w:t>西安理工大学</w:t>
      </w:r>
    </w:p>
    <w:p>
      <w:pPr>
        <w:pStyle w:val="null3"/>
        <w:jc w:val="center"/>
        <w:outlineLvl w:val="2"/>
      </w:pPr>
      <w:r>
        <w:rPr>
          <w:sz w:val="28"/>
          <w:b/>
        </w:rPr>
        <w:t>开瑞项目管理有限公司</w:t>
      </w:r>
      <w:r>
        <w:rPr>
          <w:sz w:val="28"/>
          <w:b/>
        </w:rPr>
        <w:t>共同编制</w:t>
      </w:r>
    </w:p>
    <w:p>
      <w:pPr>
        <w:pStyle w:val="null3"/>
        <w:jc w:val="center"/>
        <w:outlineLvl w:val="2"/>
      </w:pPr>
      <w:r>
        <w:rPr>
          <w:sz w:val="28"/>
          <w:b/>
        </w:rPr>
        <w:t>2024年09月23日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开瑞项目管理有限公司</w:t>
      </w:r>
      <w:r>
        <w:rPr/>
        <w:t>（以下简称“代理机构”）受</w:t>
      </w:r>
      <w:r>
        <w:rPr/>
        <w:t>西安理工大学</w:t>
      </w:r>
      <w:r>
        <w:rPr/>
        <w:t>委托，拟对</w:t>
      </w:r>
      <w:r>
        <w:rPr/>
        <w:t>超快激光加工系统采购项目</w:t>
      </w:r>
      <w:r>
        <w:rPr/>
        <w:t>进行国内公开招标，兹邀请符合本次招标要求的供应商参加投标。</w:t>
      </w:r>
    </w:p>
    <w:p>
      <w:pPr>
        <w:pStyle w:val="null3"/>
        <w:outlineLvl w:val="2"/>
      </w:pPr>
      <w:r>
        <w:rPr>
          <w:sz w:val="28"/>
          <w:b/>
        </w:rPr>
        <w:t>一、采购项目编号：</w:t>
      </w:r>
      <w:r>
        <w:rPr>
          <w:sz w:val="28"/>
          <w:b/>
        </w:rPr>
        <w:t>【KRDL】K2-2408220</w:t>
      </w:r>
    </w:p>
    <w:p>
      <w:pPr>
        <w:pStyle w:val="null3"/>
        <w:outlineLvl w:val="2"/>
      </w:pPr>
      <w:r>
        <w:rPr>
          <w:sz w:val="28"/>
          <w:b/>
        </w:rPr>
        <w:t>二、采购项目名称：</w:t>
      </w:r>
      <w:r>
        <w:rPr>
          <w:sz w:val="28"/>
          <w:b/>
        </w:rPr>
        <w:t>超快激光加工系统采购项目</w:t>
      </w:r>
    </w:p>
    <w:p>
      <w:pPr>
        <w:pStyle w:val="null3"/>
        <w:outlineLvl w:val="2"/>
      </w:pPr>
      <w:r>
        <w:rPr>
          <w:sz w:val="28"/>
          <w:b/>
        </w:rPr>
        <w:t>三、招标项目简介</w:t>
      </w:r>
    </w:p>
    <w:p>
      <w:pPr>
        <w:pStyle w:val="null3"/>
        <w:ind w:firstLine="480"/>
      </w:pPr>
      <w:r>
        <w:rPr/>
        <w:t>本项目拟采购超快激光加工系统，包含机械运动平台及数控系统、光路传输与聚焦系统、大理石龙门支撑结构和护罩等，具体要求详见本项目招标文件。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1、主体资格：投标人为向招标人提供货物及相应服务的法人或其他组织;</w:t>
      </w:r>
    </w:p>
    <w:p>
      <w:pPr>
        <w:pStyle w:val="null3"/>
      </w:pPr>
      <w:r>
        <w:rPr/>
        <w:t>2、社会保障资金缴纳证明：投标人提供本单位2023年08月至今已缴纳的至少一个月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t>3、税收缴纳证明：投标人提供本单位2023年08月至今已缴纳的至少一个月纳税证明或完税证明，依法免税的单位应提供相关证明材料；</w:t>
      </w:r>
    </w:p>
    <w:p>
      <w:pPr>
        <w:pStyle w:val="null3"/>
      </w:pPr>
      <w:r>
        <w:rPr/>
        <w:t>4、财务状况证明：提供经会计师事务所审计的2023年的财务审计报告或在开标日期前六个月内其基本开户银行出具的资信证明；</w:t>
      </w:r>
    </w:p>
    <w:p>
      <w:pPr>
        <w:pStyle w:val="null3"/>
      </w:pPr>
      <w:r>
        <w:rPr/>
        <w:t>5、信誉要求：投标人应出具参加本次政府采购活动前3年内在经营活动中没有重大违法违纪，截止至投标文件递交截止时间之前，投标人未被“信用中国”列入严重失信主体名单查询及重点领域严重失信主体名单查询，未被列入“中国政府采购网(www.ccgp.gov.cn)”政府采购严重违法失信行为记录名单；</w:t>
      </w:r>
    </w:p>
    <w:p>
      <w:pPr>
        <w:pStyle w:val="null3"/>
      </w:pPr>
      <w:r>
        <w:rPr/>
        <w:t>6、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t>7、是否接受联合体投标：本项目不接受联合体投标;</w:t>
      </w:r>
    </w:p>
    <w:p>
      <w:pPr>
        <w:pStyle w:val="null3"/>
      </w:pPr>
      <w:r>
        <w:rPr/>
        <w:t>8、是否面向中小企业采购：本项目不专门面向中小企业。</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西安理工大学</w:t>
      </w:r>
    </w:p>
    <w:p>
      <w:pPr>
        <w:pStyle w:val="null3"/>
      </w:pPr>
      <w:r>
        <w:rPr/>
        <w:t xml:space="preserve"> 地址： </w:t>
      </w:r>
      <w:r>
        <w:rPr/>
        <w:t>西安市金花南路5号</w:t>
      </w:r>
    </w:p>
    <w:p>
      <w:pPr>
        <w:pStyle w:val="null3"/>
      </w:pPr>
      <w:r>
        <w:rPr/>
        <w:t xml:space="preserve"> 邮编： </w:t>
      </w:r>
      <w:r>
        <w:rPr/>
        <w:t>710000</w:t>
      </w:r>
    </w:p>
    <w:p>
      <w:pPr>
        <w:pStyle w:val="null3"/>
      </w:pPr>
      <w:r>
        <w:rPr/>
        <w:t xml:space="preserve"> 联系人： </w:t>
      </w:r>
      <w:r>
        <w:rPr/>
        <w:t>王老师</w:t>
      </w:r>
    </w:p>
    <w:p>
      <w:pPr>
        <w:pStyle w:val="null3"/>
      </w:pPr>
      <w:r>
        <w:rPr/>
        <w:t xml:space="preserve"> 联系电话： </w:t>
      </w:r>
      <w:r>
        <w:rPr/>
        <w:t>029-61125883</w:t>
      </w:r>
    </w:p>
    <w:p>
      <w:pPr>
        <w:pStyle w:val="null3"/>
        <w:outlineLvl w:val="2"/>
      </w:pPr>
      <w:r>
        <w:rPr>
          <w:sz w:val="28"/>
          <w:b/>
        </w:rPr>
        <w:t>代理机构：</w:t>
      </w:r>
      <w:r>
        <w:rPr>
          <w:sz w:val="28"/>
          <w:b/>
        </w:rPr>
        <w:t>开瑞项目管理有限公司</w:t>
      </w:r>
    </w:p>
    <w:p>
      <w:pPr>
        <w:pStyle w:val="null3"/>
      </w:pPr>
      <w:r>
        <w:rPr/>
        <w:t xml:space="preserve"> 地址： </w:t>
      </w:r>
      <w:r>
        <w:rPr/>
        <w:t>陕西省西安市莲湖区高新二路1号招商银行大厦19层</w:t>
      </w:r>
    </w:p>
    <w:p>
      <w:pPr>
        <w:pStyle w:val="null3"/>
      </w:pPr>
      <w:r>
        <w:rPr/>
        <w:t xml:space="preserve"> 邮编： </w:t>
      </w:r>
      <w:r>
        <w:rPr/>
        <w:t>710000</w:t>
      </w:r>
    </w:p>
    <w:p>
      <w:pPr>
        <w:pStyle w:val="null3"/>
      </w:pPr>
      <w:r>
        <w:rPr/>
        <w:t xml:space="preserve"> 联系人： </w:t>
      </w:r>
      <w:r>
        <w:rPr/>
        <w:t>王森、刘昆</w:t>
      </w:r>
    </w:p>
    <w:p>
      <w:pPr>
        <w:pStyle w:val="null3"/>
      </w:pPr>
      <w:r>
        <w:rPr/>
        <w:t xml:space="preserve"> 联系电话： </w:t>
      </w:r>
      <w:r>
        <w:rPr/>
        <w:t>029-89581311、17602924160</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采购包1：1,240,000.00元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采购包1保证金金额：10,002.00元</w:t>
            </w:r>
          </w:p>
          <w:p>
            <w:pPr>
              <w:pStyle w:val="null3"/>
            </w:pPr>
            <w:r>
              <w:rPr/>
              <w:t>缴交渠道：电子保函,转账、支票、汇票等（需通过实体账户、户名及开户行信息）</w:t>
            </w:r>
          </w:p>
          <w:p>
            <w:pPr>
              <w:pStyle w:val="null3"/>
            </w:pPr>
            <w:r>
              <w:rPr/>
              <w:t>开户名称：开瑞项目管理有限公司</w:t>
            </w:r>
          </w:p>
          <w:p>
            <w:pPr>
              <w:pStyle w:val="null3"/>
            </w:pPr>
            <w:r>
              <w:rPr/>
              <w:t>开户银行：招商银行股份有限公司西安分行营业部</w:t>
            </w:r>
          </w:p>
          <w:p>
            <w:pPr>
              <w:pStyle w:val="null3"/>
            </w:pPr>
            <w:r>
              <w:rPr/>
              <w:t>银行账号：129905724510703</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说明：签订合同前，中标人应向采购人缴纳合同金额5%的履约保证金。项目验收合格后，剩余5%的履约保证金产品无质量问题且不存在争议，采购人一次性无息付给中标人。</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代理服务费收费标准：参照国家计委颁发的《招标代理服务收费管理暂行办法》（计价格[2002]1980号）和国家发展改革委员会办公厅颁发的《关于招标代理服务收费有关问题的通知》（发改办价格[2003] 857号）的有关规定下浮30%向采购代理机构一次付清代理服务费。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西安理工大学</w:t>
      </w:r>
      <w:r>
        <w:rPr/>
        <w:t>和</w:t>
      </w:r>
      <w:r>
        <w:rPr/>
        <w:t>开瑞项目管理有限公司</w:t>
      </w:r>
      <w:r>
        <w:rPr/>
        <w:t>享有。对招标文件中供应商参加本次政府采购活动应当具备的条件，招标项目技术、服务、商务及其他要求，评标细则及标准由</w:t>
      </w:r>
      <w:r>
        <w:rPr/>
        <w:t>西安理工大学</w:t>
      </w:r>
      <w:r>
        <w:rPr/>
        <w:t>负责解释。除上述招标文件内容，其他内容由</w:t>
      </w:r>
      <w:r>
        <w:rPr/>
        <w:t>开瑞项目管理有限公司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西安理工大学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开瑞项目管理有限公司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详见合同附件。</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开瑞项目管理有限公司</w:t>
      </w:r>
      <w:r>
        <w:rPr/>
        <w:t xml:space="preserve"> 负责答复；供应商对除采购需求外的采购文件的询问、质疑由</w:t>
      </w:r>
      <w:r>
        <w:rPr/>
        <w:t>开瑞项目管理有限公司</w:t>
      </w:r>
      <w:r>
        <w:rPr/>
        <w:t xml:space="preserve"> 负责答复；供应商对采购过程、采购结果的询问、质疑由 </w:t>
      </w:r>
      <w:r>
        <w:rPr/>
        <w:t>开瑞项目管理有限公司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联系人：刘昆、王森</w:t>
      </w:r>
    </w:p>
    <w:p>
      <w:pPr>
        <w:pStyle w:val="null3"/>
      </w:pPr>
      <w:r>
        <w:rPr/>
        <w:t>联系电话：15829336226</w:t>
      </w:r>
    </w:p>
    <w:p>
      <w:pPr>
        <w:pStyle w:val="null3"/>
      </w:pPr>
      <w:r>
        <w:rPr/>
        <w:t>地址：陕西省西安市莲湖区高新二路1号招商银行大厦19层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本项目拟采购超快激光加工系统，包含机械运动平台及数控系统、光路传输与聚焦系统、大理石龙门支撑结构和护罩等，具体要求详见本项目招标文件。</w:t>
      </w:r>
    </w:p>
    <w:p>
      <w:pPr>
        <w:pStyle w:val="null3"/>
        <w:outlineLvl w:val="2"/>
      </w:pPr>
      <w:r>
        <w:rPr>
          <w:sz w:val="28"/>
          <w:b/>
        </w:rPr>
        <w:t>3.2采购内容</w:t>
      </w:r>
    </w:p>
    <w:p>
      <w:pPr>
        <w:pStyle w:val="null3"/>
      </w:pPr>
      <w:r>
        <w:rPr/>
        <w:t>采购包1：</w:t>
      </w:r>
    </w:p>
    <w:p>
      <w:pPr>
        <w:pStyle w:val="null3"/>
      </w:pPr>
      <w:r>
        <w:rPr/>
        <w:t>采购包预算金额（元）: 1,240,000.00</w:t>
      </w:r>
    </w:p>
    <w:p>
      <w:pPr>
        <w:pStyle w:val="null3"/>
      </w:pPr>
      <w:r>
        <w:rPr/>
        <w:t>采购包最高限价（元）: 1,240,000.00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超快激光微纳加工系统</w:t>
            </w:r>
          </w:p>
        </w:tc>
        <w:tc>
          <w:tcPr>
            <w:tcW w:type="dxa" w:w="831"/>
          </w:tcPr>
          <w:p>
            <w:pPr>
              <w:pStyle w:val="null3"/>
              <w:jc w:val="right"/>
            </w:pPr>
            <w:r>
              <w:rPr/>
              <w:t>1.00</w:t>
            </w:r>
          </w:p>
        </w:tc>
        <w:tc>
          <w:tcPr>
            <w:tcW w:type="dxa" w:w="831"/>
          </w:tcPr>
          <w:p>
            <w:pPr>
              <w:pStyle w:val="null3"/>
              <w:jc w:val="right"/>
            </w:pPr>
            <w:r>
              <w:rPr/>
              <w:t>1,240,000.00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标的名称：超快激光微纳加工系统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0"/>
              <w:jc w:val="both"/>
            </w:pPr>
            <w:r>
              <w:rPr>
                <w:rFonts w:ascii="宋体" w:hAnsi="宋体" w:cs="宋体" w:eastAsia="宋体"/>
                <w:sz w:val="24"/>
              </w:rPr>
              <w:t>一、机械运动平台及数控系统</w:t>
            </w:r>
          </w:p>
          <w:p>
            <w:pPr>
              <w:pStyle w:val="null3"/>
              <w:ind w:firstLine="480"/>
              <w:jc w:val="both"/>
            </w:pPr>
            <w:r>
              <w:rPr>
                <w:rFonts w:ascii="宋体" w:hAnsi="宋体" w:cs="宋体" w:eastAsia="宋体"/>
                <w:sz w:val="24"/>
              </w:rPr>
              <w:t>配置包括：</w:t>
            </w:r>
            <w:r>
              <w:rPr>
                <w:rFonts w:ascii="宋体" w:hAnsi="宋体" w:cs="宋体" w:eastAsia="宋体"/>
                <w:sz w:val="24"/>
              </w:rPr>
              <w:t>XY轴直位移台、Z轴直线位移台、运动控制器以及各运动轴配套的驱动器，出于对系统稳定性和可靠性考虑，三轴位移台、驱动器、运动控制器必须为同一品牌。</w:t>
            </w:r>
          </w:p>
          <w:p>
            <w:pPr>
              <w:pStyle w:val="null3"/>
              <w:ind w:firstLine="480"/>
              <w:jc w:val="both"/>
            </w:pPr>
            <w:r>
              <w:rPr>
                <w:rFonts w:ascii="宋体" w:hAnsi="宋体" w:cs="宋体" w:eastAsia="宋体"/>
                <w:sz w:val="24"/>
              </w:rPr>
              <w:t>1.XY轴行程：160mm × 160mm；</w:t>
            </w:r>
          </w:p>
          <w:p>
            <w:pPr>
              <w:pStyle w:val="null3"/>
              <w:ind w:firstLine="480"/>
              <w:jc w:val="both"/>
            </w:pPr>
            <w:r>
              <w:rPr>
                <w:rFonts w:ascii="宋体" w:hAnsi="宋体" w:cs="宋体" w:eastAsia="宋体"/>
                <w:sz w:val="24"/>
              </w:rPr>
              <w:t>2.XY轴定位精度：±0.3μm；</w:t>
            </w:r>
          </w:p>
          <w:p>
            <w:pPr>
              <w:pStyle w:val="null3"/>
              <w:ind w:firstLine="480"/>
              <w:jc w:val="both"/>
            </w:pPr>
            <w:r>
              <w:rPr>
                <w:rFonts w:ascii="宋体" w:hAnsi="宋体" w:cs="宋体" w:eastAsia="宋体"/>
                <w:sz w:val="24"/>
              </w:rPr>
              <w:t>3.★XY轴重复定位精度：±0.075μm；</w:t>
            </w:r>
          </w:p>
          <w:p>
            <w:pPr>
              <w:pStyle w:val="null3"/>
              <w:ind w:firstLine="480"/>
              <w:jc w:val="both"/>
            </w:pPr>
            <w:r>
              <w:rPr>
                <w:rFonts w:ascii="宋体" w:hAnsi="宋体" w:cs="宋体" w:eastAsia="宋体"/>
                <w:sz w:val="24"/>
              </w:rPr>
              <w:t>4.XY轴直线度：±2μm；</w:t>
            </w:r>
          </w:p>
          <w:p>
            <w:pPr>
              <w:pStyle w:val="null3"/>
              <w:ind w:firstLine="480"/>
              <w:jc w:val="both"/>
            </w:pPr>
            <w:r>
              <w:rPr>
                <w:rFonts w:ascii="宋体" w:hAnsi="宋体" w:cs="宋体" w:eastAsia="宋体"/>
                <w:sz w:val="24"/>
              </w:rPr>
              <w:t>5.XY轴平面度：±2μm；</w:t>
            </w:r>
          </w:p>
          <w:p>
            <w:pPr>
              <w:pStyle w:val="null3"/>
              <w:ind w:firstLine="480"/>
              <w:jc w:val="both"/>
            </w:pPr>
            <w:r>
              <w:rPr>
                <w:rFonts w:ascii="宋体" w:hAnsi="宋体" w:cs="宋体" w:eastAsia="宋体"/>
                <w:sz w:val="24"/>
              </w:rPr>
              <w:t>6.Z轴直线位移台行程：35mm；</w:t>
            </w:r>
          </w:p>
          <w:p>
            <w:pPr>
              <w:pStyle w:val="null3"/>
              <w:ind w:firstLine="480"/>
              <w:jc w:val="both"/>
            </w:pPr>
            <w:r>
              <w:rPr>
                <w:rFonts w:ascii="宋体" w:hAnsi="宋体" w:cs="宋体" w:eastAsia="宋体"/>
                <w:sz w:val="24"/>
              </w:rPr>
              <w:t>7.Z轴定位精度：±0.3μm；</w:t>
            </w:r>
          </w:p>
          <w:p>
            <w:pPr>
              <w:pStyle w:val="null3"/>
              <w:ind w:firstLine="480"/>
              <w:jc w:val="both"/>
            </w:pPr>
            <w:r>
              <w:rPr>
                <w:rFonts w:ascii="宋体" w:hAnsi="宋体" w:cs="宋体" w:eastAsia="宋体"/>
                <w:sz w:val="24"/>
              </w:rPr>
              <w:t>8.★Z轴重复定位精度：±0.075μm；</w:t>
            </w:r>
          </w:p>
          <w:p>
            <w:pPr>
              <w:pStyle w:val="null3"/>
              <w:ind w:firstLine="480"/>
              <w:jc w:val="both"/>
            </w:pPr>
            <w:r>
              <w:rPr>
                <w:rFonts w:ascii="宋体" w:hAnsi="宋体" w:cs="宋体" w:eastAsia="宋体"/>
                <w:sz w:val="24"/>
              </w:rPr>
              <w:t>9.Z轴直线度：±1.5μm；</w:t>
            </w:r>
          </w:p>
          <w:p>
            <w:pPr>
              <w:pStyle w:val="null3"/>
              <w:ind w:firstLine="480"/>
              <w:jc w:val="both"/>
            </w:pPr>
            <w:r>
              <w:rPr>
                <w:rFonts w:ascii="宋体" w:hAnsi="宋体" w:cs="宋体" w:eastAsia="宋体"/>
                <w:sz w:val="24"/>
              </w:rPr>
              <w:t>10.Z轴 平面度：±1.5μm；</w:t>
            </w:r>
          </w:p>
          <w:p>
            <w:pPr>
              <w:pStyle w:val="null3"/>
              <w:ind w:firstLine="480"/>
              <w:jc w:val="both"/>
            </w:pPr>
            <w:r>
              <w:rPr>
                <w:rFonts w:ascii="宋体" w:hAnsi="宋体" w:cs="宋体" w:eastAsia="宋体"/>
                <w:sz w:val="24"/>
              </w:rPr>
              <w:t>11.运动控制器及驱动器为PWM伺服驱动器，采用silicon carbide(SiC)功率放大器；</w:t>
            </w:r>
          </w:p>
          <w:p>
            <w:pPr>
              <w:pStyle w:val="null3"/>
              <w:ind w:firstLine="480"/>
              <w:jc w:val="both"/>
            </w:pPr>
            <w:r>
              <w:rPr>
                <w:rFonts w:ascii="宋体" w:hAnsi="宋体" w:cs="宋体" w:eastAsia="宋体"/>
                <w:sz w:val="24"/>
              </w:rPr>
              <w:t>12.驱动器最大支持65536倍信号细分；</w:t>
            </w:r>
          </w:p>
          <w:p>
            <w:pPr>
              <w:pStyle w:val="null3"/>
              <w:ind w:firstLine="480"/>
              <w:jc w:val="both"/>
            </w:pPr>
            <w:r>
              <w:rPr>
                <w:rFonts w:ascii="宋体" w:hAnsi="宋体" w:cs="宋体" w:eastAsia="宋体"/>
                <w:sz w:val="24"/>
              </w:rPr>
              <w:t>13.支持位置同步输出PSO功能（最大输出频率不小于12.5MHz）；</w:t>
            </w:r>
          </w:p>
          <w:p>
            <w:pPr>
              <w:pStyle w:val="null3"/>
              <w:ind w:firstLine="480"/>
              <w:jc w:val="both"/>
            </w:pPr>
            <w:r>
              <w:rPr>
                <w:rFonts w:ascii="宋体" w:hAnsi="宋体" w:cs="宋体" w:eastAsia="宋体"/>
                <w:sz w:val="24"/>
              </w:rPr>
              <w:t>14.每个驱动器配有8路光隔数字量输入，8路光隔数字量输出，1路16位差分±10 V；</w:t>
            </w:r>
          </w:p>
          <w:p>
            <w:pPr>
              <w:pStyle w:val="null3"/>
              <w:ind w:firstLine="480"/>
              <w:jc w:val="both"/>
            </w:pPr>
            <w:r>
              <w:rPr>
                <w:rFonts w:ascii="宋体" w:hAnsi="宋体" w:cs="宋体" w:eastAsia="宋体"/>
                <w:sz w:val="24"/>
              </w:rPr>
              <w:t>15.★每个驱动器配有2个小型可插拔光纤通讯接口；</w:t>
            </w:r>
          </w:p>
          <w:p>
            <w:pPr>
              <w:pStyle w:val="null3"/>
              <w:ind w:firstLine="480"/>
              <w:jc w:val="both"/>
            </w:pPr>
            <w:r>
              <w:rPr>
                <w:rFonts w:ascii="宋体" w:hAnsi="宋体" w:cs="宋体" w:eastAsia="宋体"/>
                <w:sz w:val="24"/>
              </w:rPr>
              <w:t>16.★运动控制器支持直线、圆弧、螺旋线等插补算法；</w:t>
            </w:r>
          </w:p>
          <w:p>
            <w:pPr>
              <w:pStyle w:val="null3"/>
              <w:ind w:firstLine="480"/>
              <w:jc w:val="both"/>
            </w:pPr>
            <w:r>
              <w:rPr>
                <w:rFonts w:ascii="宋体" w:hAnsi="宋体" w:cs="宋体" w:eastAsia="宋体"/>
                <w:sz w:val="24"/>
              </w:rPr>
              <w:t>17. 运动控制器支持.Net、AeroBasic语言、G代码、C++等编程语言进行二次开发；</w:t>
            </w:r>
          </w:p>
          <w:p>
            <w:pPr>
              <w:pStyle w:val="null3"/>
              <w:ind w:firstLine="480"/>
              <w:jc w:val="both"/>
            </w:pPr>
            <w:r>
              <w:rPr>
                <w:rFonts w:ascii="宋体" w:hAnsi="宋体" w:cs="宋体" w:eastAsia="宋体"/>
                <w:sz w:val="24"/>
              </w:rPr>
              <w:t>18.集成电控箱（含数控系统、3轴驱动器、直流电源等）</w:t>
            </w:r>
          </w:p>
          <w:p>
            <w:pPr>
              <w:pStyle w:val="null3"/>
              <w:ind w:firstLine="480"/>
              <w:jc w:val="both"/>
            </w:pPr>
            <w:r>
              <w:rPr>
                <w:rFonts w:ascii="宋体" w:hAnsi="宋体" w:cs="宋体" w:eastAsia="宋体"/>
                <w:sz w:val="24"/>
              </w:rPr>
              <w:t>19.气泵1台（含过滤器、干燥器）；</w:t>
            </w:r>
          </w:p>
          <w:p>
            <w:pPr>
              <w:pStyle w:val="null3"/>
              <w:ind w:firstLine="480"/>
              <w:jc w:val="both"/>
            </w:pPr>
            <w:r>
              <w:rPr>
                <w:rFonts w:ascii="宋体" w:hAnsi="宋体" w:cs="宋体" w:eastAsia="宋体"/>
                <w:sz w:val="24"/>
              </w:rPr>
              <w:t>二、光路传输与聚焦系统</w:t>
            </w:r>
          </w:p>
          <w:p>
            <w:pPr>
              <w:pStyle w:val="null3"/>
              <w:ind w:firstLine="480"/>
              <w:jc w:val="both"/>
            </w:pPr>
            <w:r>
              <w:rPr>
                <w:rFonts w:ascii="宋体" w:hAnsi="宋体" w:cs="宋体" w:eastAsia="宋体"/>
                <w:sz w:val="24"/>
              </w:rPr>
              <w:t>1.一维运动平台：行程25mm，精度≤10μm，数量2个；</w:t>
            </w:r>
          </w:p>
          <w:p>
            <w:pPr>
              <w:pStyle w:val="null3"/>
              <w:ind w:firstLine="480"/>
              <w:jc w:val="both"/>
            </w:pPr>
            <w:r>
              <w:rPr>
                <w:rFonts w:ascii="宋体" w:hAnsi="宋体" w:cs="宋体" w:eastAsia="宋体"/>
                <w:sz w:val="24"/>
              </w:rPr>
              <w:t>2.▲电动功率调节：功率衰减范围0.1~98%、调节时间≤0.2s、分度值0.002°；</w:t>
            </w:r>
          </w:p>
          <w:p>
            <w:pPr>
              <w:pStyle w:val="null3"/>
              <w:ind w:firstLine="480"/>
              <w:jc w:val="both"/>
            </w:pPr>
            <w:r>
              <w:rPr>
                <w:rFonts w:ascii="宋体" w:hAnsi="宋体" w:cs="宋体" w:eastAsia="宋体"/>
                <w:sz w:val="24"/>
              </w:rPr>
              <w:t>3.▲二倍频效率≥50%；</w:t>
            </w:r>
          </w:p>
          <w:p>
            <w:pPr>
              <w:pStyle w:val="null3"/>
              <w:ind w:firstLine="480"/>
              <w:jc w:val="both"/>
            </w:pPr>
            <w:r>
              <w:rPr>
                <w:rFonts w:ascii="宋体" w:hAnsi="宋体" w:cs="宋体" w:eastAsia="宋体"/>
                <w:sz w:val="24"/>
              </w:rPr>
              <w:t>4.快门：平均激光功率≤50W、最大开关频率50Hz、开关时间≤5ms；</w:t>
            </w:r>
          </w:p>
          <w:p>
            <w:pPr>
              <w:pStyle w:val="null3"/>
              <w:ind w:firstLine="480"/>
              <w:jc w:val="both"/>
            </w:pPr>
            <w:r>
              <w:rPr>
                <w:rFonts w:ascii="宋体" w:hAnsi="宋体" w:cs="宋体" w:eastAsia="宋体"/>
                <w:sz w:val="24"/>
              </w:rPr>
              <w:t>5.三丰近红外物镜：5X、NA0.14、工作距离37.5mm；</w:t>
            </w:r>
          </w:p>
          <w:p>
            <w:pPr>
              <w:pStyle w:val="null3"/>
              <w:ind w:firstLine="480"/>
              <w:jc w:val="both"/>
            </w:pPr>
            <w:r>
              <w:rPr>
                <w:rFonts w:ascii="宋体" w:hAnsi="宋体" w:cs="宋体" w:eastAsia="宋体"/>
                <w:sz w:val="24"/>
              </w:rPr>
              <w:t>6.三丰近红外物镜：10X、NA0.26、工作距离30.5mm；</w:t>
            </w:r>
          </w:p>
          <w:p>
            <w:pPr>
              <w:pStyle w:val="null3"/>
              <w:ind w:firstLine="480"/>
              <w:jc w:val="both"/>
            </w:pPr>
            <w:r>
              <w:rPr>
                <w:rFonts w:ascii="宋体" w:hAnsi="宋体" w:cs="宋体" w:eastAsia="宋体"/>
                <w:sz w:val="24"/>
              </w:rPr>
              <w:t>7.三丰近红外物镜：20X、NA0.40、工作距离20mm；</w:t>
            </w:r>
          </w:p>
          <w:p>
            <w:pPr>
              <w:pStyle w:val="null3"/>
              <w:ind w:firstLine="480"/>
              <w:jc w:val="both"/>
            </w:pPr>
            <w:r>
              <w:rPr>
                <w:rFonts w:ascii="宋体" w:hAnsi="宋体" w:cs="宋体" w:eastAsia="宋体"/>
                <w:sz w:val="24"/>
              </w:rPr>
              <w:t>8.光学镜架等30套、1064nm反射镜10片、532nm反射镜10片、双色镜5片；</w:t>
            </w:r>
          </w:p>
          <w:p>
            <w:pPr>
              <w:pStyle w:val="null3"/>
              <w:ind w:firstLine="480"/>
              <w:jc w:val="both"/>
            </w:pPr>
            <w:r>
              <w:rPr>
                <w:rFonts w:ascii="宋体" w:hAnsi="宋体" w:cs="宋体" w:eastAsia="宋体"/>
                <w:sz w:val="24"/>
              </w:rPr>
              <w:t>9.小孔光阑3个；</w:t>
            </w:r>
          </w:p>
          <w:p>
            <w:pPr>
              <w:pStyle w:val="null3"/>
              <w:ind w:firstLine="480"/>
              <w:jc w:val="both"/>
            </w:pPr>
            <w:r>
              <w:rPr>
                <w:rFonts w:ascii="宋体" w:hAnsi="宋体" w:cs="宋体" w:eastAsia="宋体"/>
                <w:sz w:val="24"/>
              </w:rPr>
              <w:t>10.标准光学爬高架组件1套；</w:t>
            </w:r>
          </w:p>
          <w:p>
            <w:pPr>
              <w:pStyle w:val="null3"/>
              <w:ind w:firstLine="480"/>
              <w:jc w:val="both"/>
            </w:pPr>
            <w:r>
              <w:rPr>
                <w:rFonts w:ascii="宋体" w:hAnsi="宋体" w:cs="宋体" w:eastAsia="宋体"/>
                <w:sz w:val="24"/>
              </w:rPr>
              <w:t>11.相机分辨率：不小于1920 × 1080像素；</w:t>
            </w:r>
          </w:p>
          <w:p>
            <w:pPr>
              <w:pStyle w:val="null3"/>
              <w:ind w:firstLine="480"/>
              <w:jc w:val="both"/>
            </w:pPr>
            <w:r>
              <w:rPr>
                <w:rFonts w:ascii="宋体" w:hAnsi="宋体" w:cs="宋体" w:eastAsia="宋体"/>
                <w:sz w:val="24"/>
              </w:rPr>
              <w:t>12.图像分辨率：≤1μm；</w:t>
            </w:r>
          </w:p>
          <w:p>
            <w:pPr>
              <w:pStyle w:val="null3"/>
              <w:ind w:firstLine="480"/>
              <w:jc w:val="both"/>
            </w:pPr>
            <w:r>
              <w:rPr>
                <w:rFonts w:ascii="宋体" w:hAnsi="宋体" w:cs="宋体" w:eastAsia="宋体"/>
                <w:sz w:val="24"/>
              </w:rPr>
              <w:t>13.图像采集最高帧速：60.0 fps；</w:t>
            </w:r>
          </w:p>
          <w:p>
            <w:pPr>
              <w:pStyle w:val="null3"/>
              <w:ind w:firstLine="480"/>
              <w:jc w:val="both"/>
            </w:pPr>
            <w:r>
              <w:rPr>
                <w:rFonts w:ascii="宋体" w:hAnsi="宋体" w:cs="宋体" w:eastAsia="宋体"/>
                <w:sz w:val="24"/>
              </w:rPr>
              <w:t>三、大理石龙门支撑结构和护罩</w:t>
            </w:r>
          </w:p>
          <w:p>
            <w:pPr>
              <w:pStyle w:val="null3"/>
              <w:ind w:firstLine="480"/>
              <w:jc w:val="both"/>
            </w:pPr>
            <w:r>
              <w:rPr>
                <w:rFonts w:ascii="宋体" w:hAnsi="宋体" w:cs="宋体" w:eastAsia="宋体"/>
                <w:sz w:val="24"/>
              </w:rPr>
              <w:t>1.大理石龙门框架及光学平台1套；</w:t>
            </w:r>
          </w:p>
          <w:p>
            <w:pPr>
              <w:pStyle w:val="null3"/>
              <w:ind w:firstLine="480"/>
              <w:jc w:val="both"/>
            </w:pPr>
            <w:r>
              <w:rPr>
                <w:rFonts w:ascii="宋体" w:hAnsi="宋体" w:cs="宋体" w:eastAsia="宋体"/>
                <w:sz w:val="24"/>
              </w:rPr>
              <w:t>2.光学平台：尺寸1.35×2.4米、1.5×0.75米，面型≤10μm，固有频率≤</w:t>
            </w:r>
            <w:r>
              <w:rPr>
                <w:rFonts w:ascii="宋体" w:hAnsi="宋体" w:cs="宋体" w:eastAsia="宋体"/>
                <w:sz w:val="24"/>
              </w:rPr>
              <w:t xml:space="preserve">10Hz </w:t>
            </w:r>
            <w:r>
              <w:rPr>
                <w:rFonts w:ascii="宋体" w:hAnsi="宋体" w:cs="宋体" w:eastAsia="宋体"/>
                <w:sz w:val="24"/>
              </w:rPr>
              <w:t>，</w:t>
            </w:r>
            <w:r>
              <w:rPr>
                <w:rFonts w:ascii="宋体" w:hAnsi="宋体" w:cs="宋体" w:eastAsia="宋体"/>
                <w:sz w:val="24"/>
              </w:rPr>
              <w:t>台面厚度</w:t>
            </w:r>
            <w:r>
              <w:rPr>
                <w:rFonts w:ascii="宋体" w:hAnsi="宋体" w:cs="宋体" w:eastAsia="宋体"/>
                <w:sz w:val="24"/>
              </w:rPr>
              <w:t>200mm；</w:t>
            </w:r>
          </w:p>
          <w:p>
            <w:pPr>
              <w:pStyle w:val="null3"/>
              <w:ind w:firstLine="480"/>
              <w:jc w:val="both"/>
            </w:pPr>
            <w:r>
              <w:rPr>
                <w:rFonts w:ascii="宋体" w:hAnsi="宋体" w:cs="宋体" w:eastAsia="宋体"/>
                <w:sz w:val="24"/>
              </w:rPr>
              <w:t>3.★激光功率计：10W量程；Nova表头1台；</w:t>
            </w:r>
          </w:p>
          <w:p>
            <w:pPr>
              <w:pStyle w:val="null3"/>
              <w:ind w:firstLine="480"/>
              <w:jc w:val="both"/>
            </w:pPr>
            <w:r>
              <w:rPr>
                <w:rFonts w:ascii="宋体" w:hAnsi="宋体" w:cs="宋体" w:eastAsia="宋体"/>
                <w:sz w:val="24"/>
              </w:rPr>
              <w:t>4.铁皮柜2个；</w:t>
            </w:r>
          </w:p>
          <w:p>
            <w:pPr>
              <w:pStyle w:val="null3"/>
              <w:ind w:firstLine="480"/>
              <w:jc w:val="both"/>
            </w:pPr>
            <w:r>
              <w:rPr>
                <w:rFonts w:ascii="宋体" w:hAnsi="宋体" w:cs="宋体" w:eastAsia="宋体"/>
                <w:sz w:val="24"/>
              </w:rPr>
              <w:t>5.UPS电源：4000W，1个。</w:t>
            </w:r>
          </w:p>
          <w:p>
            <w:pPr>
              <w:pStyle w:val="null3"/>
              <w:ind w:firstLine="480"/>
              <w:jc w:val="both"/>
            </w:pPr>
            <w:r>
              <w:rPr/>
              <w:t xml:space="preserve"> </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合同签订后，接招标人通知后30个日历日完成全部项目内容，并交付招标人验收合格。</w:t>
      </w:r>
    </w:p>
    <w:p>
      <w:pPr>
        <w:pStyle w:val="null3"/>
        <w:outlineLvl w:val="3"/>
      </w:pPr>
      <w:r>
        <w:rPr>
          <w:sz w:val="24"/>
          <w:b/>
        </w:rPr>
        <w:t>3.4.2交货地点</w:t>
      </w:r>
    </w:p>
    <w:p>
      <w:pPr>
        <w:pStyle w:val="null3"/>
      </w:pPr>
      <w:r>
        <w:rPr/>
        <w:t>采购包1：</w:t>
      </w:r>
    </w:p>
    <w:p>
      <w:pPr>
        <w:pStyle w:val="null3"/>
      </w:pPr>
      <w:r>
        <w:rPr/>
        <w:t>西安理工大学。</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所有设备安装、调试、验收合格后，支付合同总金额的 95.00%</w:t>
      </w:r>
      <w:r>
        <w:rPr/>
        <w:t xml:space="preserve"> ，达到付款条件起 </w:t>
      </w:r>
      <w:r>
        <w:rPr/>
        <w:t>30</w:t>
      </w:r>
      <w:r>
        <w:rPr/>
        <w:t xml:space="preserve"> 日内，支付合同总金额的 </w:t>
      </w:r>
      <w:r>
        <w:rPr/>
        <w:t>95.00</w:t>
      </w:r>
      <w:r>
        <w:rPr/>
        <w:t>%。</w:t>
      </w:r>
    </w:p>
    <w:p>
      <w:pPr>
        <w:pStyle w:val="null3"/>
      </w:pPr>
      <w:r>
        <w:rPr/>
        <w:t>采购包1：</w:t>
      </w:r>
      <w:r>
        <w:rPr/>
        <w:t xml:space="preserve"> 付款条件说明： </w:t>
      </w:r>
      <w:r>
        <w:rPr/>
        <w:t>剩余5％符合验收条件并试用180天后向中标人无息支付</w:t>
      </w:r>
      <w:r>
        <w:rPr/>
        <w:t xml:space="preserve"> ，达到付款条件起 </w:t>
      </w:r>
      <w:r>
        <w:rPr/>
        <w:t>30</w:t>
      </w:r>
      <w:r>
        <w:rPr/>
        <w:t xml:space="preserve"> 日内，支付合同总金额的 </w:t>
      </w:r>
      <w:r>
        <w:rPr/>
        <w:t>5.00</w:t>
      </w:r>
      <w:r>
        <w:rPr/>
        <w:t>%。</w:t>
      </w:r>
    </w:p>
    <w:p>
      <w:pPr>
        <w:pStyle w:val="null3"/>
        <w:outlineLvl w:val="3"/>
      </w:pPr>
      <w:r>
        <w:rPr>
          <w:sz w:val="24"/>
          <w:b/>
        </w:rPr>
        <w:t>3.4.5验收标准和方法</w:t>
      </w:r>
    </w:p>
    <w:p>
      <w:pPr>
        <w:pStyle w:val="null3"/>
      </w:pPr>
      <w:r>
        <w:rPr/>
        <w:t>采购包1：</w:t>
      </w:r>
    </w:p>
    <w:p>
      <w:pPr>
        <w:pStyle w:val="null3"/>
      </w:pPr>
      <w:r>
        <w:rPr/>
        <w:t>详见合同附件。</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（1）中标人提供的产品必须满足招标文件及合同的技术参数要求。 （2）中标人保证货物应是全新、未曾使用过的、优质工艺及材料制造的产品，并保证所供设备的完整性 (包括满足设备完整运行的附件、备件、配套件、技术手册等) 。 （3）中标人保证所提供的设备质量可靠、进货渠道正规、配置合理、技术性能完全满足招标文件要求。 （4）中标人应随产品提供检验报告等相关材料。 （5）设备性能未达到招标文件技术参数要求的，招标人有权拒收产品或拒绝验收，中标人可进行限期整改；整改后仍达不到要求的，招标人有权解除合同，保留依法索赔的权利。 （6）设备的质保期为项目验收合格后不少于2年。</w:t>
      </w:r>
    </w:p>
    <w:p>
      <w:pPr>
        <w:pStyle w:val="null3"/>
        <w:outlineLvl w:val="3"/>
      </w:pPr>
      <w:r>
        <w:rPr>
          <w:sz w:val="24"/>
          <w:b/>
        </w:rPr>
        <w:t>3.4.8违约责任与解决争议的方法</w:t>
      </w:r>
    </w:p>
    <w:p>
      <w:pPr>
        <w:pStyle w:val="null3"/>
      </w:pPr>
      <w:r>
        <w:rPr/>
        <w:t>采购包1：</w:t>
      </w:r>
    </w:p>
    <w:p>
      <w:pPr>
        <w:pStyle w:val="null3"/>
      </w:pPr>
      <w:r>
        <w:rPr/>
        <w:t>（1）按《中华人民共和国民法典》中的相关条款执行。 （2）乙方未按合同要求的提供产品或设备质量不能满足技术要求，甲方有权终止合同，甚至对乙方违约行为进行追究。</w:t>
      </w:r>
    </w:p>
    <w:p>
      <w:pPr>
        <w:pStyle w:val="null3"/>
        <w:jc w:val="left"/>
        <w:outlineLvl w:val="2"/>
      </w:pPr>
      <w:r>
        <w:rPr>
          <w:sz w:val="28"/>
          <w:b/>
        </w:rPr>
        <w:t>3.5其他要求</w:t>
      </w:r>
    </w:p>
    <w:p>
      <w:pPr>
        <w:pStyle w:val="null3"/>
      </w:pPr>
      <w:r>
        <w:rPr/>
        <w:t>1.投标报价要求：投标人在填报投标报价时应综合考虑以下各类价格组成内容，包括但不限于人工费、设备费（主材及辅材）、保险、利润、规费、税金、货物运至最终目的地的运输费、专用工具使用费、伴随货物交运的有关费用等与之相关的一切直接费、间接费。要求的其他相关费用以本招标文件的内容和要求作为投标依据。2.招标文件“第五章 评标办法”评分标准中标记“（”表示赋分值须大于，“]”表示赋分值须小于等于。</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供应商应提交的相关资格证明文件8</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w:t>
            </w:r>
          </w:p>
        </w:tc>
        <w:tc>
          <w:tcPr>
            <w:tcW w:type="dxa" w:w="3322"/>
          </w:tcPr>
          <w:p>
            <w:pPr>
              <w:pStyle w:val="null3"/>
            </w:pPr>
            <w:r>
              <w:rPr/>
              <w:t>投标人为向招标人提供货物及相应服务的法人或其他组织;</w:t>
            </w:r>
          </w:p>
        </w:tc>
        <w:tc>
          <w:tcPr>
            <w:tcW w:type="dxa" w:w="1661"/>
          </w:tcPr>
          <w:p>
            <w:pPr>
              <w:pStyle w:val="null3"/>
            </w:pPr>
            <w:r>
              <w:rPr/>
              <w:t>供应商应提交的相关资格证明文件8</w:t>
            </w:r>
          </w:p>
        </w:tc>
      </w:tr>
      <w:tr>
        <w:tc>
          <w:tcPr>
            <w:tcW w:type="dxa" w:w="831"/>
          </w:tcPr>
          <w:p>
            <w:pPr>
              <w:pStyle w:val="null3"/>
            </w:pPr>
            <w:r>
              <w:rPr/>
              <w:t>2</w:t>
            </w:r>
          </w:p>
        </w:tc>
        <w:tc>
          <w:tcPr>
            <w:tcW w:type="dxa" w:w="2492"/>
          </w:tcPr>
          <w:p>
            <w:pPr>
              <w:pStyle w:val="null3"/>
            </w:pPr>
            <w:r>
              <w:rPr/>
              <w:t>社会保障资金缴纳证明</w:t>
            </w:r>
          </w:p>
        </w:tc>
        <w:tc>
          <w:tcPr>
            <w:tcW w:type="dxa" w:w="3322"/>
          </w:tcPr>
          <w:p>
            <w:pPr>
              <w:pStyle w:val="null3"/>
            </w:pPr>
            <w:r>
              <w:rPr/>
              <w:t>投标人提供本单位2023年08月至今已缴纳的至少一个月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t>供应商应提交的相关资格证明文件8</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投标人提供本单位2023年08月至今已缴纳的至少一个月纳税证明或完税证明，依法免税的单位应提供相关证明材料；</w:t>
            </w:r>
          </w:p>
        </w:tc>
        <w:tc>
          <w:tcPr>
            <w:tcW w:type="dxa" w:w="1661"/>
          </w:tcPr>
          <w:p>
            <w:pPr>
              <w:pStyle w:val="null3"/>
            </w:pPr>
            <w:r>
              <w:rPr/>
              <w:t>供应商应提交的相关资格证明文件8</w:t>
            </w:r>
          </w:p>
        </w:tc>
      </w:tr>
      <w:tr>
        <w:tc>
          <w:tcPr>
            <w:tcW w:type="dxa" w:w="831"/>
          </w:tcPr>
          <w:p>
            <w:pPr>
              <w:pStyle w:val="null3"/>
            </w:pPr>
            <w:r>
              <w:rPr/>
              <w:t>4</w:t>
            </w:r>
          </w:p>
        </w:tc>
        <w:tc>
          <w:tcPr>
            <w:tcW w:type="dxa" w:w="2492"/>
          </w:tcPr>
          <w:p>
            <w:pPr>
              <w:pStyle w:val="null3"/>
            </w:pPr>
            <w:r>
              <w:rPr/>
              <w:t>财务状况证明</w:t>
            </w:r>
          </w:p>
        </w:tc>
        <w:tc>
          <w:tcPr>
            <w:tcW w:type="dxa" w:w="3322"/>
          </w:tcPr>
          <w:p>
            <w:pPr>
              <w:pStyle w:val="null3"/>
            </w:pPr>
            <w:r>
              <w:rPr/>
              <w:t>提供经会计师事务所审计的2023年的财务审计报告或在开标日期前六个月内其基本开户银行出具的资信证明；</w:t>
            </w:r>
          </w:p>
        </w:tc>
        <w:tc>
          <w:tcPr>
            <w:tcW w:type="dxa" w:w="1661"/>
          </w:tcPr>
          <w:p>
            <w:pPr>
              <w:pStyle w:val="null3"/>
            </w:pPr>
            <w:r>
              <w:rPr/>
              <w:t>供应商应提交的相关资格证明文件8</w:t>
            </w:r>
          </w:p>
        </w:tc>
      </w:tr>
      <w:tr>
        <w:tc>
          <w:tcPr>
            <w:tcW w:type="dxa" w:w="831"/>
          </w:tcPr>
          <w:p>
            <w:pPr>
              <w:pStyle w:val="null3"/>
            </w:pPr>
            <w:r>
              <w:rPr/>
              <w:t>5</w:t>
            </w:r>
          </w:p>
        </w:tc>
        <w:tc>
          <w:tcPr>
            <w:tcW w:type="dxa" w:w="2492"/>
          </w:tcPr>
          <w:p>
            <w:pPr>
              <w:pStyle w:val="null3"/>
            </w:pPr>
            <w:r>
              <w:rPr/>
              <w:t>信誉要求</w:t>
            </w:r>
          </w:p>
        </w:tc>
        <w:tc>
          <w:tcPr>
            <w:tcW w:type="dxa" w:w="3322"/>
          </w:tcPr>
          <w:p>
            <w:pPr>
              <w:pStyle w:val="null3"/>
            </w:pPr>
            <w:r>
              <w:rPr/>
              <w:t>投标人应出具参加本次政府采购活动前3年内在经营活动中没有重大违法违纪，截止至投标文件递交截止时间之前，投标人未被“信用中国”列入严重失信主体名单查询及重点领域严重失信主体名单查询，未被列入“中国政府采购网(www.ccgp.gov.cn)”政府采购严重违法失信行为记录名单；</w:t>
            </w:r>
          </w:p>
        </w:tc>
        <w:tc>
          <w:tcPr>
            <w:tcW w:type="dxa" w:w="1661"/>
          </w:tcPr>
          <w:p>
            <w:pPr>
              <w:pStyle w:val="null3"/>
            </w:pPr>
            <w:r>
              <w:rPr/>
              <w:t>供应商应提交的相关资格证明文件8</w:t>
            </w:r>
          </w:p>
        </w:tc>
      </w:tr>
      <w:tr>
        <w:tc>
          <w:tcPr>
            <w:tcW w:type="dxa" w:w="831"/>
          </w:tcPr>
          <w:p>
            <w:pPr>
              <w:pStyle w:val="null3"/>
            </w:pPr>
            <w:r>
              <w:rPr/>
              <w:t>6</w:t>
            </w:r>
          </w:p>
        </w:tc>
        <w:tc>
          <w:tcPr>
            <w:tcW w:type="dxa" w:w="2492"/>
          </w:tcPr>
          <w:p>
            <w:pPr>
              <w:pStyle w:val="null3"/>
            </w:pPr>
            <w:r>
              <w:rPr/>
              <w:t>投标授权代表</w:t>
            </w:r>
          </w:p>
        </w:tc>
        <w:tc>
          <w:tcPr>
            <w:tcW w:type="dxa" w:w="3322"/>
          </w:tcPr>
          <w:p>
            <w:pPr>
              <w:pStyle w:val="null3"/>
            </w:pPr>
            <w:r>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t>供应商应提交的相关资格证明文件8</w:t>
            </w:r>
          </w:p>
        </w:tc>
      </w:tr>
      <w:tr>
        <w:tc>
          <w:tcPr>
            <w:tcW w:type="dxa" w:w="831"/>
          </w:tcPr>
          <w:p>
            <w:pPr>
              <w:pStyle w:val="null3"/>
            </w:pPr>
            <w:r>
              <w:rPr/>
              <w:t>7</w:t>
            </w:r>
          </w:p>
        </w:tc>
        <w:tc>
          <w:tcPr>
            <w:tcW w:type="dxa" w:w="2492"/>
          </w:tcPr>
          <w:p>
            <w:pPr>
              <w:pStyle w:val="null3"/>
            </w:pPr>
            <w:r>
              <w:rPr/>
              <w:t>是否接受联合体投标</w:t>
            </w:r>
          </w:p>
        </w:tc>
        <w:tc>
          <w:tcPr>
            <w:tcW w:type="dxa" w:w="3322"/>
          </w:tcPr>
          <w:p>
            <w:pPr>
              <w:pStyle w:val="null3"/>
            </w:pPr>
            <w:r>
              <w:rPr/>
              <w:t>本项目不接受联合体投标;</w:t>
            </w:r>
          </w:p>
        </w:tc>
        <w:tc>
          <w:tcPr>
            <w:tcW w:type="dxa" w:w="1661"/>
          </w:tcPr>
          <w:p>
            <w:pPr>
              <w:pStyle w:val="null3"/>
            </w:pPr>
            <w:r>
              <w:rPr/>
              <w:t>供应商应提交的相关资格证明文件8</w:t>
            </w:r>
          </w:p>
        </w:tc>
      </w:tr>
      <w:tr>
        <w:tc>
          <w:tcPr>
            <w:tcW w:type="dxa" w:w="831"/>
          </w:tcPr>
          <w:p>
            <w:pPr>
              <w:pStyle w:val="null3"/>
            </w:pPr>
            <w:r>
              <w:rPr/>
              <w:t>8</w:t>
            </w:r>
          </w:p>
        </w:tc>
        <w:tc>
          <w:tcPr>
            <w:tcW w:type="dxa" w:w="2492"/>
          </w:tcPr>
          <w:p>
            <w:pPr>
              <w:pStyle w:val="null3"/>
            </w:pPr>
            <w:r>
              <w:rPr/>
              <w:t>是否面向中小企业采购</w:t>
            </w:r>
          </w:p>
        </w:tc>
        <w:tc>
          <w:tcPr>
            <w:tcW w:type="dxa" w:w="3322"/>
          </w:tcPr>
          <w:p>
            <w:pPr>
              <w:pStyle w:val="null3"/>
            </w:pPr>
            <w:r>
              <w:rPr/>
              <w:t>本项目不专门面向中小企业。</w:t>
            </w:r>
          </w:p>
        </w:tc>
        <w:tc>
          <w:tcPr>
            <w:tcW w:type="dxa" w:w="1661"/>
          </w:tcPr>
          <w:p>
            <w:pPr>
              <w:pStyle w:val="null3"/>
            </w:pPr>
            <w:r>
              <w:rPr/>
              <w:t>供应商应提交的相关资格证明文件8</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1）《关于在政府采购活动中查询及使用信用记录有关问题的通知》（财库〔2016〕125号）；（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投标文件是否按招标文件要求签署、盖章的</w:t>
            </w:r>
          </w:p>
        </w:tc>
        <w:tc>
          <w:tcPr>
            <w:tcW w:type="dxa" w:w="3322"/>
          </w:tcPr>
          <w:p>
            <w:pPr>
              <w:pStyle w:val="null3"/>
            </w:pPr>
            <w:r>
              <w:rPr/>
              <w:t>按招标文件要求签署、盖章的</w:t>
            </w:r>
          </w:p>
        </w:tc>
        <w:tc>
          <w:tcPr>
            <w:tcW w:type="dxa" w:w="1661"/>
          </w:tcPr>
          <w:p>
            <w:pPr>
              <w:pStyle w:val="null3"/>
            </w:pPr>
            <w:r>
              <w:rPr/>
              <w:t>投标函 投标文件封面</w:t>
            </w:r>
          </w:p>
        </w:tc>
      </w:tr>
      <w:tr>
        <w:tc>
          <w:tcPr>
            <w:tcW w:type="dxa" w:w="831"/>
          </w:tcPr>
          <w:p>
            <w:pPr>
              <w:pStyle w:val="null3"/>
            </w:pPr>
            <w:r>
              <w:rPr/>
              <w:t>3</w:t>
            </w:r>
          </w:p>
        </w:tc>
        <w:tc>
          <w:tcPr>
            <w:tcW w:type="dxa" w:w="2492"/>
          </w:tcPr>
          <w:p>
            <w:pPr>
              <w:pStyle w:val="null3"/>
            </w:pPr>
            <w:r>
              <w:rPr/>
              <w:t>报价是否超过招标文件中规定的最高限价的</w:t>
            </w:r>
          </w:p>
        </w:tc>
        <w:tc>
          <w:tcPr>
            <w:tcW w:type="dxa" w:w="3322"/>
          </w:tcPr>
          <w:p>
            <w:pPr>
              <w:pStyle w:val="null3"/>
            </w:pPr>
            <w:r>
              <w:rPr/>
              <w:t>报价未超过招标文件中规定的最高限价的</w:t>
            </w:r>
          </w:p>
        </w:tc>
        <w:tc>
          <w:tcPr>
            <w:tcW w:type="dxa" w:w="1661"/>
          </w:tcPr>
          <w:p>
            <w:pPr>
              <w:pStyle w:val="null3"/>
            </w:pPr>
            <w:r>
              <w:rPr/>
              <w:t>开标一览表 投标函 标的清单</w:t>
            </w:r>
          </w:p>
        </w:tc>
      </w:tr>
      <w:tr>
        <w:tc>
          <w:tcPr>
            <w:tcW w:type="dxa" w:w="831"/>
          </w:tcPr>
          <w:p>
            <w:pPr>
              <w:pStyle w:val="null3"/>
            </w:pPr>
            <w:r>
              <w:rPr/>
              <w:t>4</w:t>
            </w:r>
          </w:p>
        </w:tc>
        <w:tc>
          <w:tcPr>
            <w:tcW w:type="dxa" w:w="2492"/>
          </w:tcPr>
          <w:p>
            <w:pPr>
              <w:pStyle w:val="null3"/>
            </w:pPr>
            <w:r>
              <w:rPr/>
              <w:t>投标文件是否含有招标人不能接受的附加条件的或其他情形</w:t>
            </w:r>
          </w:p>
        </w:tc>
        <w:tc>
          <w:tcPr>
            <w:tcW w:type="dxa" w:w="3322"/>
          </w:tcPr>
          <w:p>
            <w:pPr>
              <w:pStyle w:val="null3"/>
            </w:pPr>
            <w:r>
              <w:rPr/>
              <w:t>投标文件未含有招标人不能接受的附加条件的或其他情形</w:t>
            </w:r>
          </w:p>
        </w:tc>
        <w:tc>
          <w:tcPr>
            <w:tcW w:type="dxa" w:w="1661"/>
          </w:tcPr>
          <w:p>
            <w:pPr>
              <w:pStyle w:val="null3"/>
            </w:pPr>
            <w:r>
              <w:rPr/>
              <w:t>开标一览表 投标函 商务应答表</w:t>
            </w:r>
          </w:p>
        </w:tc>
      </w:tr>
      <w:tr>
        <w:tc>
          <w:tcPr>
            <w:tcW w:type="dxa" w:w="831"/>
          </w:tcPr>
          <w:p>
            <w:pPr>
              <w:pStyle w:val="null3"/>
            </w:pPr>
            <w:r>
              <w:rPr/>
              <w:t>5</w:t>
            </w:r>
          </w:p>
        </w:tc>
        <w:tc>
          <w:tcPr>
            <w:tcW w:type="dxa" w:w="2492"/>
          </w:tcPr>
          <w:p>
            <w:pPr>
              <w:pStyle w:val="null3"/>
            </w:pPr>
            <w:r>
              <w:rPr/>
              <w:t>投标文件是否响应本项目“招标项目技术、服务、商务及其他”中的标记“★”条款</w:t>
            </w:r>
          </w:p>
        </w:tc>
        <w:tc>
          <w:tcPr>
            <w:tcW w:type="dxa" w:w="3322"/>
          </w:tcPr>
          <w:p>
            <w:pPr>
              <w:pStyle w:val="null3"/>
            </w:pPr>
            <w:r>
              <w:rPr/>
              <w:t>投标文件响应本项目“招标项目技术、服务、商务及其他”中的标记“★”条款</w:t>
            </w:r>
          </w:p>
        </w:tc>
        <w:tc>
          <w:tcPr>
            <w:tcW w:type="dxa" w:w="1661"/>
          </w:tcPr>
          <w:p>
            <w:pPr>
              <w:pStyle w:val="null3"/>
            </w:pPr>
            <w:r>
              <w:rPr/>
              <w:t>技术方案要求响应偏离表8 商务应答表</w:t>
            </w:r>
          </w:p>
        </w:tc>
      </w:tr>
      <w:tr>
        <w:tc>
          <w:tcPr>
            <w:tcW w:type="dxa" w:w="831"/>
          </w:tcPr>
          <w:p>
            <w:pPr>
              <w:pStyle w:val="null3"/>
            </w:pPr>
            <w:r>
              <w:rPr/>
              <w:t>6</w:t>
            </w:r>
          </w:p>
        </w:tc>
        <w:tc>
          <w:tcPr>
            <w:tcW w:type="dxa" w:w="2492"/>
          </w:tcPr>
          <w:p>
            <w:pPr>
              <w:pStyle w:val="null3"/>
            </w:pPr>
            <w:r>
              <w:rPr/>
              <w:t>是否发现法律、法规和招标文件规定的其他无效情形</w:t>
            </w:r>
          </w:p>
        </w:tc>
        <w:tc>
          <w:tcPr>
            <w:tcW w:type="dxa" w:w="3322"/>
          </w:tcPr>
          <w:p>
            <w:pPr>
              <w:pStyle w:val="null3"/>
            </w:pPr>
            <w:r>
              <w:rPr/>
              <w:t>未发现法律、法规和招标文件规定的其他无效情形</w:t>
            </w:r>
          </w:p>
        </w:tc>
        <w:tc>
          <w:tcPr>
            <w:tcW w:type="dxa" w:w="1661"/>
          </w:tcPr>
          <w:p>
            <w:pPr>
              <w:pStyle w:val="null3"/>
            </w:pPr>
            <w:r>
              <w:rPr/>
              <w:t>投标函 投标文件封面</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技术指标响应情况</w:t>
            </w:r>
          </w:p>
        </w:tc>
        <w:tc>
          <w:tcPr>
            <w:tcW w:type="dxa" w:w="2492"/>
          </w:tcPr>
          <w:p>
            <w:pPr>
              <w:pStyle w:val="null3"/>
            </w:pPr>
            <w:r>
              <w:rPr/>
              <w:t>根据产品技术和性能响应情况打分，完全满足采购技术要求的，得50分；标记为“★”的指标是关键技术条款，正偏离不加分，如不满足其投标予以拒绝；标记为“▲”为重要技术条款，“▲”技术指标每负偏离一项扣4分，非“▲”技术指标每负偏离一项扣1.5分，扣完为止。 （包含但不限于投标人出具的产品技术说明书或产品彩页、使用说明书、第三方出具的检验报告或证明等技术指标和参数证明或支持文件为准，投标人应在投标文件中给出明确的证明材料索引。）</w:t>
            </w:r>
          </w:p>
        </w:tc>
        <w:tc>
          <w:tcPr>
            <w:tcW w:type="dxa" w:w="831"/>
          </w:tcPr>
          <w:p>
            <w:pPr>
              <w:pStyle w:val="null3"/>
              <w:jc w:val="right"/>
            </w:pPr>
            <w:r>
              <w:rPr/>
              <w:t>50.0000</w:t>
            </w:r>
          </w:p>
        </w:tc>
        <w:tc>
          <w:tcPr>
            <w:tcW w:type="dxa" w:w="831"/>
          </w:tcPr>
          <w:p>
            <w:pPr>
              <w:pStyle w:val="null3"/>
            </w:pPr>
            <w:r>
              <w:rPr/>
              <w:t>客观</w:t>
            </w:r>
          </w:p>
        </w:tc>
        <w:tc>
          <w:tcPr>
            <w:tcW w:type="dxa" w:w="1661"/>
          </w:tcPr>
          <w:p>
            <w:pPr>
              <w:pStyle w:val="null3"/>
            </w:pPr>
            <w:r>
              <w:rPr/>
              <w:t>技术方案要求响应偏离表8</w:t>
            </w:r>
          </w:p>
        </w:tc>
      </w:tr>
      <w:tr>
        <w:tc>
          <w:tcPr>
            <w:tcW w:type="dxa" w:w="831"/>
            <w:vMerge/>
          </w:tcPr>
          <w:p/>
        </w:tc>
        <w:tc>
          <w:tcPr>
            <w:tcW w:type="dxa" w:w="1661"/>
          </w:tcPr>
          <w:p>
            <w:pPr>
              <w:pStyle w:val="null3"/>
            </w:pPr>
            <w:r>
              <w:rPr/>
              <w:t>产品来源及质量保证措施1</w:t>
            </w:r>
          </w:p>
        </w:tc>
        <w:tc>
          <w:tcPr>
            <w:tcW w:type="dxa" w:w="2492"/>
          </w:tcPr>
          <w:p>
            <w:pPr>
              <w:pStyle w:val="null3"/>
            </w:pPr>
            <w:r>
              <w:rPr/>
              <w:t>1.根据投标人针对本项目拟投产品来源的相关证明材料（内容包含但不限于对产品的检测报告、货源渠道材料、链条的清晰及完整度）进行评审： 产品相关证明材料齐全、货源渠道正规、链条清晰完整，完全满足本项目对产品的质量要求得（1-2]分； 产品相关证明材料有缺失、链条模糊不完整，不能完全满足本项目对产品的质量要求得（0-1]分；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实施方案8</w:t>
            </w:r>
          </w:p>
        </w:tc>
      </w:tr>
      <w:tr>
        <w:tc>
          <w:tcPr>
            <w:tcW w:type="dxa" w:w="831"/>
            <w:vMerge/>
          </w:tcPr>
          <w:p/>
        </w:tc>
        <w:tc>
          <w:tcPr>
            <w:tcW w:type="dxa" w:w="1661"/>
          </w:tcPr>
          <w:p>
            <w:pPr>
              <w:pStyle w:val="null3"/>
            </w:pPr>
            <w:r>
              <w:rPr/>
              <w:t>产品来源及质量保证措施2</w:t>
            </w:r>
          </w:p>
        </w:tc>
        <w:tc>
          <w:tcPr>
            <w:tcW w:type="dxa" w:w="2492"/>
          </w:tcPr>
          <w:p>
            <w:pPr>
              <w:pStyle w:val="null3"/>
            </w:pPr>
            <w:r>
              <w:rPr/>
              <w:t>2.根据投标人提供的质量保证措施进行评审： 投标人提供的质量保证措施切实合理可行、针对性强，完全满足项目要求的得（1-2]分； 投标人提供的质量保证措施有较多欠缺的得（0-1]分； 投标人未提供方案得0分。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实施方案8</w:t>
            </w:r>
          </w:p>
        </w:tc>
      </w:tr>
      <w:tr>
        <w:tc>
          <w:tcPr>
            <w:tcW w:type="dxa" w:w="831"/>
            <w:vMerge/>
          </w:tcPr>
          <w:p/>
        </w:tc>
        <w:tc>
          <w:tcPr>
            <w:tcW w:type="dxa" w:w="1661"/>
          </w:tcPr>
          <w:p>
            <w:pPr>
              <w:pStyle w:val="null3"/>
            </w:pPr>
            <w:r>
              <w:rPr/>
              <w:t>供货方案</w:t>
            </w:r>
          </w:p>
        </w:tc>
        <w:tc>
          <w:tcPr>
            <w:tcW w:type="dxa" w:w="2492"/>
          </w:tcPr>
          <w:p>
            <w:pPr>
              <w:pStyle w:val="null3"/>
            </w:pPr>
            <w:r>
              <w:rPr/>
              <w:t>根据投标人针对本项目提供的供货、安装调试、人员配备等方面制订具体的实施方案，做出合理计划及制订工作保障措施，进行评审： 实施方案完整、科学合理、操作性强的得（1-2]分； 实施方案粗略，可执行性差，缺项、漏项的（0-1]分；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实施方案8</w:t>
            </w:r>
          </w:p>
        </w:tc>
      </w:tr>
      <w:tr>
        <w:tc>
          <w:tcPr>
            <w:tcW w:type="dxa" w:w="831"/>
            <w:vMerge/>
          </w:tcPr>
          <w:p/>
        </w:tc>
        <w:tc>
          <w:tcPr>
            <w:tcW w:type="dxa" w:w="1661"/>
          </w:tcPr>
          <w:p>
            <w:pPr>
              <w:pStyle w:val="null3"/>
            </w:pPr>
            <w:r>
              <w:rPr/>
              <w:t>售后服务方案1</w:t>
            </w:r>
          </w:p>
        </w:tc>
        <w:tc>
          <w:tcPr>
            <w:tcW w:type="dxa" w:w="2492"/>
          </w:tcPr>
          <w:p>
            <w:pPr>
              <w:pStyle w:val="null3"/>
            </w:pPr>
            <w:r>
              <w:rPr/>
              <w:t>1.根据投标人的售后服务方案（包括但不限于①服务标准；②响应时间；③质保期满后的承诺等）进行评审： 售后服务方案有具体、详细、可行的方案及措施，对响应及上门时间有明确表述，能够完全满足采购需求的得（1-2]分； 售后服务方案及措施欠缺较多，对响应及上门时间有相应表述，不能完全满足采购需求的得（0-1]分；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实施方案8</w:t>
            </w:r>
          </w:p>
        </w:tc>
      </w:tr>
      <w:tr>
        <w:tc>
          <w:tcPr>
            <w:tcW w:type="dxa" w:w="831"/>
            <w:vMerge/>
          </w:tcPr>
          <w:p/>
        </w:tc>
        <w:tc>
          <w:tcPr>
            <w:tcW w:type="dxa" w:w="1661"/>
          </w:tcPr>
          <w:p>
            <w:pPr>
              <w:pStyle w:val="null3"/>
            </w:pPr>
            <w:r>
              <w:rPr/>
              <w:t>售后服务方案2</w:t>
            </w:r>
          </w:p>
        </w:tc>
        <w:tc>
          <w:tcPr>
            <w:tcW w:type="dxa" w:w="2492"/>
          </w:tcPr>
          <w:p>
            <w:pPr>
              <w:pStyle w:val="null3"/>
            </w:pPr>
            <w:r>
              <w:rPr/>
              <w:t>2.根据投标人针对本项目提供在质保期内针对设备出现故障或不能正常工作时候的应急方案（包括但不限于确保设备正常使用的应急措施、提供相同产品或不低于故障产品规格档次的备用产品供招标人使用的使用承诺）进行评审： 方案完善、科学合理，针对性强、服务承诺明确的得（1-2]分； 方案完整性、合理性差的得计（0-1]分；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实施方案8</w:t>
            </w:r>
          </w:p>
        </w:tc>
      </w:tr>
      <w:tr>
        <w:tc>
          <w:tcPr>
            <w:tcW w:type="dxa" w:w="831"/>
            <w:vMerge/>
          </w:tcPr>
          <w:p/>
        </w:tc>
        <w:tc>
          <w:tcPr>
            <w:tcW w:type="dxa" w:w="1661"/>
          </w:tcPr>
          <w:p>
            <w:pPr>
              <w:pStyle w:val="null3"/>
            </w:pPr>
            <w:r>
              <w:rPr/>
              <w:t>培训服务方案</w:t>
            </w:r>
          </w:p>
        </w:tc>
        <w:tc>
          <w:tcPr>
            <w:tcW w:type="dxa" w:w="2492"/>
          </w:tcPr>
          <w:p>
            <w:pPr>
              <w:pStyle w:val="null3"/>
            </w:pPr>
            <w:r>
              <w:rPr/>
              <w:t>根据投标人针对本项目提供的培训服务方案（包括但不限于所提供设备的原理和技术性能、操作维护方法等培训内容、培训人员、培训时长，培训次数，培训方式等）进行评审： 培训方案内容完整详细、有人员安排及执行计划方案，培训时长、次数、方式等科学合理有保障、针对性强得（1-2]分； 培训方案内容简单，人员安排、培训计划等稍有欠缺得（0-1]分；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实施方案8</w:t>
            </w:r>
          </w:p>
        </w:tc>
      </w:tr>
      <w:tr>
        <w:tc>
          <w:tcPr>
            <w:tcW w:type="dxa" w:w="831"/>
            <w:vMerge/>
          </w:tcPr>
          <w:p/>
        </w:tc>
        <w:tc>
          <w:tcPr>
            <w:tcW w:type="dxa" w:w="1661"/>
          </w:tcPr>
          <w:p>
            <w:pPr>
              <w:pStyle w:val="null3"/>
            </w:pPr>
            <w:r>
              <w:rPr/>
              <w:t>零配件及耗材承诺</w:t>
            </w:r>
          </w:p>
        </w:tc>
        <w:tc>
          <w:tcPr>
            <w:tcW w:type="dxa" w:w="2492"/>
          </w:tcPr>
          <w:p>
            <w:pPr>
              <w:pStyle w:val="null3"/>
            </w:pPr>
            <w:r>
              <w:rPr/>
              <w:t>根据投标人针对本项目提供的零配件耗材清单及承诺进行评审： 投标人提供详细具体的零配件及耗材的承诺，投标文件中附有详细配置清单，并有所投设备各种规格的耗材及易损件的单独报价，报价合理的得（1-2]分。 投标人提供的零配件清单及报价有缺项漏项且承诺简单粗略的得（0-1]分； 未提供的得0分。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实施方案8</w:t>
            </w:r>
          </w:p>
          <w:p>
            <w:pPr>
              <w:pStyle w:val="null3"/>
            </w:pPr>
            <w:r>
              <w:rPr/>
              <w:t>零配件耗材清单</w:t>
            </w:r>
          </w:p>
        </w:tc>
      </w:tr>
      <w:tr>
        <w:tc>
          <w:tcPr>
            <w:tcW w:type="dxa" w:w="831"/>
            <w:vMerge/>
          </w:tcPr>
          <w:p/>
        </w:tc>
        <w:tc>
          <w:tcPr>
            <w:tcW w:type="dxa" w:w="1661"/>
          </w:tcPr>
          <w:p>
            <w:pPr>
              <w:pStyle w:val="null3"/>
            </w:pPr>
            <w:r>
              <w:rPr/>
              <w:t>质保期承诺</w:t>
            </w:r>
          </w:p>
        </w:tc>
        <w:tc>
          <w:tcPr>
            <w:tcW w:type="dxa" w:w="2492"/>
          </w:tcPr>
          <w:p>
            <w:pPr>
              <w:pStyle w:val="null3"/>
            </w:pPr>
            <w:r>
              <w:rPr/>
              <w:t>根据投标人提供的质保期承诺进行评审，质保期承诺书格式自拟： 设备原厂免费质保在满足招标文件要求的基础上每延长1年加0.5分，满分1分。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实施方案8</w:t>
            </w:r>
          </w:p>
        </w:tc>
      </w:tr>
      <w:tr>
        <w:tc>
          <w:tcPr>
            <w:tcW w:type="dxa" w:w="831"/>
            <w:vMerge/>
          </w:tcPr>
          <w:p/>
        </w:tc>
        <w:tc>
          <w:tcPr>
            <w:tcW w:type="dxa" w:w="1661"/>
          </w:tcPr>
          <w:p>
            <w:pPr>
              <w:pStyle w:val="null3"/>
            </w:pPr>
            <w:r>
              <w:rPr/>
              <w:t>类似业绩</w:t>
            </w:r>
          </w:p>
        </w:tc>
        <w:tc>
          <w:tcPr>
            <w:tcW w:type="dxa" w:w="2492"/>
          </w:tcPr>
          <w:p>
            <w:pPr>
              <w:pStyle w:val="null3"/>
            </w:pPr>
            <w:r>
              <w:rPr/>
              <w:t>投标人应在投标文件中提供该投标人自2021年9月1日起至今的类似采购项目的业绩证明材料或者投标人拟投产品自2021年9月1日起至今的业绩证明材料，每提供一份业绩合同得1分，满分为5分，不得重复累计。 注：以合同签订时间为准，投标人应在响应文件中提供业绩合同复印件或扫描件且加盖单位公章。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实施方案8</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经初审合格的投标文件，其投标报价为有效投标价。 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详见附件：技术方案要求响应偏离表8</w:t>
      </w:r>
    </w:p>
    <w:p>
      <w:pPr>
        <w:pStyle w:val="null3"/>
        <w:ind w:firstLine="960"/>
      </w:pPr>
      <w:r>
        <w:rPr/>
        <w:t>详见附件：实施方案8</w:t>
      </w:r>
    </w:p>
    <w:p>
      <w:pPr>
        <w:pStyle w:val="null3"/>
        <w:ind w:firstLine="960"/>
      </w:pPr>
      <w:r>
        <w:rPr/>
        <w:t>详见附件：零配件耗材清单</w:t>
      </w:r>
    </w:p>
    <w:p>
      <w:pPr>
        <w:pStyle w:val="null3"/>
        <w:ind w:firstLine="960"/>
      </w:pPr>
      <w:r>
        <w:rPr/>
        <w:t>详见附件：供应商应提交的相关资格证明文件8</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详见附件：拟签订采购合同文本8.docx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