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5631D3">
      <w:pPr>
        <w:wordWrap/>
        <w:snapToGrid w:val="0"/>
        <w:jc w:val="center"/>
        <w:rPr>
          <w:rFonts w:ascii="方正小标宋简体" w:hAnsi="方正小标宋简体"/>
          <w:bCs/>
          <w:kern w:val="0"/>
          <w:sz w:val="24"/>
        </w:rPr>
      </w:pPr>
      <w:r>
        <w:rPr>
          <w:b/>
          <w:bCs/>
          <w:sz w:val="32"/>
          <w:szCs w:val="32"/>
        </w:rPr>
        <w:t>合同范本（仅供参考）</w:t>
      </w:r>
    </w:p>
    <w:p w14:paraId="1ECB958F">
      <w:pPr>
        <w:wordWrap w:val="0"/>
        <w:snapToGrid w:val="0"/>
        <w:jc w:val="right"/>
        <w:rPr>
          <w:rFonts w:ascii="方正小标宋简体" w:hAnsi="方正小标宋简体"/>
          <w:bCs/>
          <w:kern w:val="0"/>
          <w:sz w:val="24"/>
        </w:rPr>
      </w:pPr>
    </w:p>
    <w:p w14:paraId="593FE65A">
      <w:pPr>
        <w:wordWrap w:val="0"/>
        <w:snapToGrid w:val="0"/>
        <w:jc w:val="right"/>
        <w:rPr>
          <w:rFonts w:ascii="方正小标宋简体" w:hAnsi="方正小标宋简体"/>
          <w:bCs/>
          <w:color w:val="FF0000"/>
          <w:kern w:val="0"/>
          <w:sz w:val="24"/>
        </w:rPr>
      </w:pPr>
      <w:bookmarkStart w:id="0" w:name="_GoBack"/>
      <w:bookmarkEnd w:id="0"/>
      <w:r>
        <w:rPr>
          <w:rFonts w:ascii="方正小标宋简体" w:hAnsi="方正小标宋简体"/>
          <w:bCs/>
          <w:kern w:val="0"/>
          <w:sz w:val="24"/>
        </w:rPr>
        <w:t xml:space="preserve">合同编号：          </w:t>
      </w:r>
    </w:p>
    <w:p w14:paraId="155BD690">
      <w:pPr>
        <w:wordWrap w:val="0"/>
        <w:snapToGrid w:val="0"/>
        <w:spacing w:line="480" w:lineRule="exact"/>
        <w:jc w:val="right"/>
        <w:rPr>
          <w:rFonts w:ascii="方正小标宋简体" w:hAnsi="方正小标宋简体"/>
          <w:bCs/>
          <w:color w:val="FF0000"/>
          <w:kern w:val="0"/>
          <w:sz w:val="24"/>
        </w:rPr>
      </w:pPr>
      <w:r>
        <w:rPr>
          <w:rFonts w:ascii="方正小标宋简体" w:hAnsi="方正小标宋简体"/>
          <w:bCs/>
          <w:color w:val="FF0000"/>
          <w:kern w:val="0"/>
          <w:sz w:val="24"/>
        </w:rPr>
        <w:t xml:space="preserve">           </w:t>
      </w:r>
    </w:p>
    <w:p w14:paraId="76935180">
      <w:pPr>
        <w:snapToGrid w:val="0"/>
        <w:spacing w:line="480" w:lineRule="exact"/>
        <w:rPr>
          <w:rFonts w:ascii="方正小标宋简体" w:hAnsi="方正小标宋简体"/>
          <w:b/>
          <w:color w:val="FF0000"/>
          <w:kern w:val="0"/>
          <w:sz w:val="44"/>
          <w:szCs w:val="44"/>
        </w:rPr>
      </w:pPr>
      <w:r>
        <w:rPr>
          <w:rFonts w:ascii="方正小标宋简体" w:hAnsi="方正小标宋简体"/>
          <w:b/>
          <w:color w:val="FF0000"/>
          <w:kern w:val="0"/>
          <w:sz w:val="44"/>
          <w:szCs w:val="44"/>
        </w:rPr>
        <w:t xml:space="preserve"> </w:t>
      </w:r>
    </w:p>
    <w:p w14:paraId="636147A9">
      <w:pPr>
        <w:snapToGrid w:val="0"/>
        <w:spacing w:line="480" w:lineRule="exact"/>
        <w:rPr>
          <w:rFonts w:ascii="方正小标宋简体" w:hAnsi="方正小标宋简体"/>
          <w:b/>
          <w:color w:val="FF0000"/>
          <w:kern w:val="0"/>
          <w:sz w:val="44"/>
          <w:szCs w:val="44"/>
        </w:rPr>
      </w:pPr>
      <w:r>
        <w:rPr>
          <w:rFonts w:ascii="方正小标宋简体" w:hAnsi="方正小标宋简体"/>
          <w:b/>
          <w:color w:val="FF0000"/>
          <w:kern w:val="0"/>
          <w:sz w:val="44"/>
          <w:szCs w:val="44"/>
        </w:rPr>
        <w:t xml:space="preserve"> </w:t>
      </w:r>
    </w:p>
    <w:p w14:paraId="2F9FBA25">
      <w:pPr>
        <w:jc w:val="center"/>
        <w:rPr>
          <w:rFonts w:ascii="黑体" w:hAnsi="黑体" w:eastAsia="黑体"/>
          <w:sz w:val="52"/>
          <w:szCs w:val="52"/>
        </w:rPr>
      </w:pPr>
      <w:r>
        <w:rPr>
          <w:rFonts w:hint="eastAsia" w:ascii="黑体" w:hAnsi="黑体" w:eastAsia="黑体"/>
          <w:sz w:val="52"/>
          <w:szCs w:val="52"/>
        </w:rPr>
        <w:t>陕西省巨灾防范工程-等级保护测评及密码应用安全性评估项目</w:t>
      </w:r>
    </w:p>
    <w:p w14:paraId="00367F3D">
      <w:pPr>
        <w:jc w:val="center"/>
        <w:rPr>
          <w:rFonts w:ascii="黑体" w:hAnsi="黑体" w:eastAsia="黑体"/>
          <w:bCs/>
          <w:sz w:val="52"/>
          <w:szCs w:val="52"/>
        </w:rPr>
      </w:pPr>
      <w:r>
        <w:rPr>
          <w:rFonts w:hint="eastAsia" w:ascii="黑体" w:hAnsi="黑体" w:eastAsia="黑体"/>
          <w:sz w:val="52"/>
          <w:szCs w:val="52"/>
        </w:rPr>
        <w:t>技术服务合同（采购包1）</w:t>
      </w:r>
    </w:p>
    <w:p w14:paraId="1F55B8C0"/>
    <w:p w14:paraId="20133892">
      <w:pPr>
        <w:rPr>
          <w:rFonts w:ascii="宋体"/>
          <w:color w:val="FF0000"/>
          <w:sz w:val="28"/>
          <w:szCs w:val="28"/>
        </w:rPr>
      </w:pPr>
      <w:r>
        <w:rPr>
          <w:rFonts w:hint="eastAsia" w:ascii="宋体"/>
          <w:color w:val="FF0000"/>
          <w:sz w:val="28"/>
          <w:szCs w:val="28"/>
        </w:rPr>
        <w:t xml:space="preserve"> </w:t>
      </w:r>
    </w:p>
    <w:p w14:paraId="308BCA93">
      <w:pPr>
        <w:rPr>
          <w:rFonts w:ascii="宋体"/>
          <w:color w:val="FF0000"/>
          <w:sz w:val="28"/>
          <w:szCs w:val="28"/>
        </w:rPr>
      </w:pPr>
      <w:r>
        <w:rPr>
          <w:rFonts w:hint="eastAsia" w:ascii="宋体"/>
          <w:color w:val="FF0000"/>
          <w:sz w:val="28"/>
          <w:szCs w:val="28"/>
        </w:rPr>
        <w:t xml:space="preserve"> </w:t>
      </w:r>
    </w:p>
    <w:p w14:paraId="4525DDC5">
      <w:pPr>
        <w:rPr>
          <w:rFonts w:ascii="宋体"/>
          <w:color w:val="FF0000"/>
          <w:sz w:val="28"/>
          <w:szCs w:val="28"/>
        </w:rPr>
      </w:pPr>
      <w:r>
        <w:rPr>
          <w:rFonts w:hint="eastAsia" w:ascii="宋体"/>
          <w:color w:val="FF0000"/>
          <w:sz w:val="28"/>
          <w:szCs w:val="28"/>
        </w:rPr>
        <w:t xml:space="preserve"> </w:t>
      </w:r>
    </w:p>
    <w:p w14:paraId="7AFBD349">
      <w:pPr>
        <w:rPr>
          <w:rFonts w:ascii="宋体"/>
          <w:color w:val="FF0000"/>
          <w:sz w:val="28"/>
          <w:szCs w:val="28"/>
        </w:rPr>
      </w:pPr>
      <w:r>
        <w:rPr>
          <w:rFonts w:hint="eastAsia" w:ascii="宋体"/>
          <w:color w:val="FF0000"/>
          <w:sz w:val="28"/>
          <w:szCs w:val="28"/>
        </w:rPr>
        <w:t xml:space="preserve"> </w:t>
      </w:r>
    </w:p>
    <w:p w14:paraId="646832D6">
      <w:pPr>
        <w:rPr>
          <w:rFonts w:ascii="宋体"/>
          <w:color w:val="FF0000"/>
          <w:sz w:val="28"/>
          <w:szCs w:val="28"/>
        </w:rPr>
      </w:pPr>
      <w:r>
        <w:rPr>
          <w:rFonts w:hint="eastAsia" w:ascii="宋体"/>
          <w:color w:val="FF0000"/>
          <w:sz w:val="28"/>
          <w:szCs w:val="28"/>
        </w:rPr>
        <w:t xml:space="preserve"> </w:t>
      </w:r>
    </w:p>
    <w:p w14:paraId="5E2016B0">
      <w:pPr>
        <w:rPr>
          <w:rFonts w:ascii="Calibri" w:hAnsi="Calibri"/>
          <w:szCs w:val="21"/>
        </w:rPr>
      </w:pPr>
      <w:r>
        <w:t xml:space="preserve"> </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57"/>
        <w:gridCol w:w="5597"/>
      </w:tblGrid>
      <w:tr w14:paraId="38C91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57" w:type="dxa"/>
            <w:tcBorders>
              <w:top w:val="single" w:color="auto" w:sz="4" w:space="0"/>
              <w:left w:val="single" w:color="auto" w:sz="4" w:space="0"/>
              <w:bottom w:val="single" w:color="auto" w:sz="4" w:space="0"/>
              <w:right w:val="single" w:color="auto" w:sz="4" w:space="0"/>
            </w:tcBorders>
          </w:tcPr>
          <w:p w14:paraId="6396884D">
            <w:pPr>
              <w:spacing w:line="720" w:lineRule="exact"/>
              <w:jc w:val="right"/>
              <w:rPr>
                <w:rFonts w:ascii="黑体" w:hAnsi="宋体" w:eastAsia="黑体"/>
                <w:b/>
                <w:sz w:val="32"/>
                <w:szCs w:val="32"/>
              </w:rPr>
            </w:pPr>
            <w:r>
              <w:rPr>
                <w:rFonts w:hint="eastAsia" w:ascii="黑体" w:hAnsi="黑体" w:eastAsia="黑体"/>
                <w:b/>
                <w:sz w:val="24"/>
              </w:rPr>
              <w:t>项</w:t>
            </w:r>
            <w:r>
              <w:rPr>
                <w:rFonts w:hint="eastAsia" w:ascii="黑体" w:hAnsi="宋体" w:eastAsia="黑体"/>
                <w:b/>
                <w:sz w:val="24"/>
              </w:rPr>
              <w:t xml:space="preserve">   </w:t>
            </w:r>
            <w:r>
              <w:rPr>
                <w:rFonts w:hint="eastAsia" w:ascii="黑体" w:hAnsi="黑体" w:eastAsia="黑体"/>
                <w:b/>
                <w:sz w:val="24"/>
              </w:rPr>
              <w:t>目</w:t>
            </w:r>
            <w:r>
              <w:rPr>
                <w:rFonts w:hint="eastAsia" w:ascii="黑体" w:hAnsi="宋体" w:eastAsia="黑体"/>
                <w:b/>
                <w:sz w:val="24"/>
              </w:rPr>
              <w:t xml:space="preserve">  </w:t>
            </w:r>
            <w:r>
              <w:rPr>
                <w:rFonts w:hint="eastAsia" w:ascii="黑体" w:hAnsi="黑体" w:eastAsia="黑体"/>
                <w:b/>
                <w:sz w:val="24"/>
              </w:rPr>
              <w:t>名</w:t>
            </w:r>
            <w:r>
              <w:rPr>
                <w:rFonts w:hint="eastAsia" w:ascii="黑体" w:hAnsi="宋体" w:eastAsia="黑体"/>
                <w:b/>
                <w:sz w:val="24"/>
              </w:rPr>
              <w:t xml:space="preserve">  </w:t>
            </w:r>
            <w:r>
              <w:rPr>
                <w:rFonts w:hint="eastAsia" w:ascii="黑体" w:hAnsi="黑体" w:eastAsia="黑体"/>
                <w:b/>
                <w:sz w:val="24"/>
              </w:rPr>
              <w:t>称：</w:t>
            </w:r>
          </w:p>
        </w:tc>
        <w:tc>
          <w:tcPr>
            <w:tcW w:w="5597" w:type="dxa"/>
            <w:tcBorders>
              <w:top w:val="single" w:color="auto" w:sz="4" w:space="0"/>
              <w:left w:val="single" w:color="auto" w:sz="4" w:space="0"/>
              <w:bottom w:val="single" w:color="auto" w:sz="4" w:space="0"/>
              <w:right w:val="single" w:color="auto" w:sz="4" w:space="0"/>
            </w:tcBorders>
          </w:tcPr>
          <w:p w14:paraId="5CC9EE33">
            <w:pPr>
              <w:spacing w:line="720" w:lineRule="exact"/>
              <w:rPr>
                <w:rFonts w:ascii="黑体" w:hAnsi="宋体" w:eastAsia="黑体"/>
                <w:b/>
                <w:sz w:val="32"/>
                <w:szCs w:val="32"/>
              </w:rPr>
            </w:pPr>
            <w:r>
              <w:rPr>
                <w:rFonts w:hint="eastAsia" w:ascii="黑体" w:hAnsi="黑体" w:eastAsia="黑体"/>
                <w:b/>
                <w:sz w:val="24"/>
                <w:u w:val="single"/>
              </w:rPr>
              <w:t xml:space="preserve">   </w:t>
            </w:r>
          </w:p>
        </w:tc>
      </w:tr>
      <w:tr w14:paraId="11F2E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57" w:type="dxa"/>
            <w:tcBorders>
              <w:top w:val="single" w:color="auto" w:sz="4" w:space="0"/>
              <w:left w:val="single" w:color="auto" w:sz="4" w:space="0"/>
              <w:bottom w:val="single" w:color="auto" w:sz="4" w:space="0"/>
              <w:right w:val="single" w:color="auto" w:sz="4" w:space="0"/>
            </w:tcBorders>
          </w:tcPr>
          <w:p w14:paraId="07D60822">
            <w:pPr>
              <w:spacing w:line="720" w:lineRule="exact"/>
              <w:jc w:val="right"/>
              <w:rPr>
                <w:rFonts w:ascii="黑体" w:hAnsi="宋体" w:eastAsia="黑体"/>
                <w:b/>
                <w:sz w:val="32"/>
                <w:szCs w:val="32"/>
              </w:rPr>
            </w:pPr>
            <w:r>
              <w:rPr>
                <w:rFonts w:hint="eastAsia" w:ascii="黑体" w:hAnsi="黑体" w:eastAsia="黑体"/>
                <w:b/>
                <w:sz w:val="24"/>
              </w:rPr>
              <w:t>甲</w:t>
            </w:r>
            <w:r>
              <w:rPr>
                <w:rFonts w:hint="eastAsia" w:ascii="黑体" w:hAnsi="宋体" w:eastAsia="黑体"/>
                <w:b/>
                <w:sz w:val="24"/>
              </w:rPr>
              <w:t xml:space="preserve">  </w:t>
            </w:r>
            <w:r>
              <w:rPr>
                <w:rFonts w:hint="eastAsia" w:ascii="黑体" w:hAnsi="黑体" w:eastAsia="黑体"/>
                <w:b/>
                <w:sz w:val="24"/>
              </w:rPr>
              <w:t>方（委托方）：</w:t>
            </w:r>
          </w:p>
        </w:tc>
        <w:tc>
          <w:tcPr>
            <w:tcW w:w="5597" w:type="dxa"/>
            <w:tcBorders>
              <w:top w:val="single" w:color="auto" w:sz="4" w:space="0"/>
              <w:left w:val="single" w:color="auto" w:sz="4" w:space="0"/>
              <w:bottom w:val="single" w:color="auto" w:sz="4" w:space="0"/>
              <w:right w:val="single" w:color="auto" w:sz="4" w:space="0"/>
            </w:tcBorders>
          </w:tcPr>
          <w:p w14:paraId="1D9EAC3F">
            <w:pPr>
              <w:spacing w:line="720" w:lineRule="exact"/>
              <w:rPr>
                <w:rFonts w:ascii="黑体" w:hAnsi="宋体" w:eastAsia="黑体"/>
                <w:b/>
                <w:sz w:val="32"/>
                <w:szCs w:val="32"/>
              </w:rPr>
            </w:pPr>
          </w:p>
        </w:tc>
      </w:tr>
      <w:tr w14:paraId="1E8C9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57" w:type="dxa"/>
            <w:tcBorders>
              <w:top w:val="single" w:color="auto" w:sz="4" w:space="0"/>
              <w:left w:val="single" w:color="auto" w:sz="4" w:space="0"/>
              <w:bottom w:val="single" w:color="auto" w:sz="4" w:space="0"/>
              <w:right w:val="single" w:color="auto" w:sz="4" w:space="0"/>
            </w:tcBorders>
          </w:tcPr>
          <w:p w14:paraId="7FDB2EB8">
            <w:pPr>
              <w:spacing w:line="720" w:lineRule="exact"/>
              <w:jc w:val="right"/>
              <w:rPr>
                <w:rFonts w:ascii="黑体" w:hAnsi="宋体" w:eastAsia="黑体"/>
                <w:b/>
                <w:sz w:val="32"/>
                <w:szCs w:val="32"/>
              </w:rPr>
            </w:pPr>
            <w:r>
              <w:rPr>
                <w:rFonts w:hint="eastAsia" w:ascii="黑体" w:hAnsi="黑体" w:eastAsia="黑体"/>
                <w:b/>
                <w:sz w:val="24"/>
              </w:rPr>
              <w:t>乙</w:t>
            </w:r>
            <w:r>
              <w:rPr>
                <w:rFonts w:hint="eastAsia" w:ascii="黑体" w:hAnsi="宋体" w:eastAsia="黑体"/>
                <w:b/>
                <w:sz w:val="24"/>
              </w:rPr>
              <w:t xml:space="preserve">  </w:t>
            </w:r>
            <w:r>
              <w:rPr>
                <w:rFonts w:hint="eastAsia" w:ascii="黑体" w:hAnsi="黑体" w:eastAsia="黑体"/>
                <w:b/>
                <w:sz w:val="24"/>
              </w:rPr>
              <w:t>方（受托方）：</w:t>
            </w:r>
          </w:p>
        </w:tc>
        <w:tc>
          <w:tcPr>
            <w:tcW w:w="5597" w:type="dxa"/>
            <w:tcBorders>
              <w:top w:val="single" w:color="auto" w:sz="4" w:space="0"/>
              <w:left w:val="single" w:color="auto" w:sz="4" w:space="0"/>
              <w:bottom w:val="single" w:color="auto" w:sz="4" w:space="0"/>
              <w:right w:val="single" w:color="auto" w:sz="4" w:space="0"/>
            </w:tcBorders>
          </w:tcPr>
          <w:p w14:paraId="3A54FFD9">
            <w:pPr>
              <w:spacing w:line="720" w:lineRule="exact"/>
              <w:rPr>
                <w:rFonts w:ascii="黑体" w:hAnsi="宋体" w:eastAsia="黑体"/>
                <w:b/>
                <w:sz w:val="32"/>
                <w:szCs w:val="32"/>
              </w:rPr>
            </w:pPr>
          </w:p>
        </w:tc>
      </w:tr>
      <w:tr w14:paraId="2F34B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57" w:type="dxa"/>
            <w:tcBorders>
              <w:top w:val="single" w:color="auto" w:sz="4" w:space="0"/>
              <w:left w:val="single" w:color="auto" w:sz="4" w:space="0"/>
              <w:bottom w:val="single" w:color="auto" w:sz="4" w:space="0"/>
              <w:right w:val="single" w:color="auto" w:sz="4" w:space="0"/>
            </w:tcBorders>
          </w:tcPr>
          <w:p w14:paraId="6404550C">
            <w:pPr>
              <w:spacing w:line="720" w:lineRule="exact"/>
              <w:jc w:val="right"/>
              <w:rPr>
                <w:rFonts w:ascii="黑体" w:hAnsi="宋体" w:eastAsia="黑体"/>
                <w:b/>
                <w:sz w:val="32"/>
                <w:szCs w:val="32"/>
              </w:rPr>
            </w:pPr>
            <w:r>
              <w:rPr>
                <w:rFonts w:hint="eastAsia" w:ascii="黑体" w:hAnsi="黑体" w:eastAsia="黑体"/>
                <w:b/>
                <w:sz w:val="24"/>
              </w:rPr>
              <w:t>签</w:t>
            </w:r>
            <w:r>
              <w:rPr>
                <w:rFonts w:hint="eastAsia" w:ascii="黑体" w:hAnsi="宋体" w:eastAsia="黑体"/>
                <w:b/>
                <w:sz w:val="24"/>
              </w:rPr>
              <w:t xml:space="preserve">  </w:t>
            </w:r>
            <w:r>
              <w:rPr>
                <w:rFonts w:hint="eastAsia" w:ascii="黑体" w:hAnsi="黑体" w:eastAsia="黑体"/>
                <w:b/>
                <w:sz w:val="24"/>
              </w:rPr>
              <w:t>订</w:t>
            </w:r>
            <w:r>
              <w:rPr>
                <w:rFonts w:hint="eastAsia" w:ascii="黑体" w:hAnsi="宋体" w:eastAsia="黑体"/>
                <w:b/>
                <w:sz w:val="24"/>
              </w:rPr>
              <w:t xml:space="preserve">   </w:t>
            </w:r>
            <w:r>
              <w:rPr>
                <w:rFonts w:hint="eastAsia" w:ascii="黑体" w:hAnsi="黑体" w:eastAsia="黑体"/>
                <w:b/>
                <w:sz w:val="24"/>
              </w:rPr>
              <w:t>时</w:t>
            </w:r>
            <w:r>
              <w:rPr>
                <w:rFonts w:hint="eastAsia" w:ascii="黑体" w:hAnsi="宋体" w:eastAsia="黑体"/>
                <w:b/>
                <w:sz w:val="24"/>
              </w:rPr>
              <w:t xml:space="preserve">  </w:t>
            </w:r>
            <w:r>
              <w:rPr>
                <w:rFonts w:hint="eastAsia" w:ascii="黑体" w:hAnsi="黑体" w:eastAsia="黑体"/>
                <w:b/>
                <w:sz w:val="24"/>
              </w:rPr>
              <w:t>间：</w:t>
            </w:r>
          </w:p>
        </w:tc>
        <w:tc>
          <w:tcPr>
            <w:tcW w:w="5597" w:type="dxa"/>
            <w:tcBorders>
              <w:top w:val="single" w:color="auto" w:sz="4" w:space="0"/>
              <w:left w:val="single" w:color="auto" w:sz="4" w:space="0"/>
              <w:bottom w:val="single" w:color="auto" w:sz="4" w:space="0"/>
              <w:right w:val="single" w:color="auto" w:sz="4" w:space="0"/>
            </w:tcBorders>
          </w:tcPr>
          <w:p w14:paraId="4BDE962E">
            <w:pPr>
              <w:spacing w:line="720" w:lineRule="exact"/>
              <w:rPr>
                <w:rFonts w:ascii="黑体" w:hAnsi="宋体" w:eastAsia="黑体"/>
                <w:b/>
                <w:sz w:val="32"/>
                <w:szCs w:val="32"/>
              </w:rPr>
            </w:pPr>
          </w:p>
        </w:tc>
      </w:tr>
      <w:tr w14:paraId="13F96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57" w:type="dxa"/>
            <w:tcBorders>
              <w:top w:val="single" w:color="auto" w:sz="4" w:space="0"/>
              <w:left w:val="single" w:color="auto" w:sz="4" w:space="0"/>
              <w:bottom w:val="single" w:color="auto" w:sz="4" w:space="0"/>
              <w:right w:val="single" w:color="auto" w:sz="4" w:space="0"/>
            </w:tcBorders>
          </w:tcPr>
          <w:p w14:paraId="55036113">
            <w:pPr>
              <w:spacing w:line="720" w:lineRule="exact"/>
              <w:jc w:val="right"/>
              <w:rPr>
                <w:rFonts w:ascii="黑体" w:hAnsi="宋体" w:eastAsia="黑体"/>
                <w:b/>
                <w:sz w:val="24"/>
              </w:rPr>
            </w:pPr>
            <w:r>
              <w:rPr>
                <w:rFonts w:hint="eastAsia" w:ascii="黑体" w:hAnsi="黑体" w:eastAsia="黑体"/>
                <w:b/>
                <w:sz w:val="24"/>
              </w:rPr>
              <w:t>签</w:t>
            </w:r>
            <w:r>
              <w:rPr>
                <w:rFonts w:hint="eastAsia" w:ascii="黑体" w:hAnsi="宋体" w:eastAsia="黑体"/>
                <w:b/>
                <w:sz w:val="24"/>
              </w:rPr>
              <w:t xml:space="preserve">  </w:t>
            </w:r>
            <w:r>
              <w:rPr>
                <w:rFonts w:hint="eastAsia" w:ascii="黑体" w:hAnsi="黑体" w:eastAsia="黑体"/>
                <w:b/>
                <w:sz w:val="24"/>
              </w:rPr>
              <w:t>订</w:t>
            </w:r>
            <w:r>
              <w:rPr>
                <w:rFonts w:hint="eastAsia" w:ascii="黑体" w:hAnsi="宋体" w:eastAsia="黑体"/>
                <w:b/>
                <w:sz w:val="24"/>
              </w:rPr>
              <w:t xml:space="preserve">   </w:t>
            </w:r>
            <w:r>
              <w:rPr>
                <w:rFonts w:hint="eastAsia" w:ascii="黑体" w:hAnsi="黑体" w:eastAsia="黑体"/>
                <w:b/>
                <w:sz w:val="24"/>
              </w:rPr>
              <w:t>地</w:t>
            </w:r>
            <w:r>
              <w:rPr>
                <w:rFonts w:hint="eastAsia" w:ascii="黑体" w:hAnsi="宋体" w:eastAsia="黑体"/>
                <w:b/>
                <w:sz w:val="24"/>
              </w:rPr>
              <w:t xml:space="preserve">  </w:t>
            </w:r>
            <w:r>
              <w:rPr>
                <w:rFonts w:hint="eastAsia" w:ascii="黑体" w:hAnsi="黑体" w:eastAsia="黑体"/>
                <w:b/>
                <w:sz w:val="24"/>
              </w:rPr>
              <w:t>点：</w:t>
            </w:r>
          </w:p>
        </w:tc>
        <w:tc>
          <w:tcPr>
            <w:tcW w:w="5597" w:type="dxa"/>
            <w:tcBorders>
              <w:top w:val="single" w:color="auto" w:sz="4" w:space="0"/>
              <w:left w:val="single" w:color="auto" w:sz="4" w:space="0"/>
              <w:bottom w:val="single" w:color="auto" w:sz="4" w:space="0"/>
              <w:right w:val="single" w:color="auto" w:sz="4" w:space="0"/>
            </w:tcBorders>
          </w:tcPr>
          <w:p w14:paraId="23E70261">
            <w:pPr>
              <w:spacing w:line="720" w:lineRule="exact"/>
              <w:rPr>
                <w:rFonts w:ascii="黑体" w:hAnsi="宋体" w:eastAsia="黑体"/>
                <w:b/>
                <w:sz w:val="24"/>
              </w:rPr>
            </w:pPr>
          </w:p>
        </w:tc>
      </w:tr>
    </w:tbl>
    <w:p w14:paraId="4CC719BF">
      <w:pPr>
        <w:spacing w:line="360" w:lineRule="auto"/>
        <w:rPr>
          <w:rFonts w:ascii="宋体" w:hAnsi="宋体"/>
          <w:sz w:val="24"/>
        </w:rPr>
      </w:pPr>
      <w:r>
        <w:rPr>
          <w:rFonts w:hint="eastAsia" w:ascii="黑体" w:hAnsi="宋体" w:eastAsia="黑体"/>
          <w:b/>
          <w:color w:val="FF0000"/>
          <w:sz w:val="32"/>
          <w:szCs w:val="32"/>
        </w:rPr>
        <w:br w:type="page"/>
      </w:r>
      <w:r>
        <w:rPr>
          <w:rFonts w:hint="eastAsia" w:ascii="宋体" w:hAnsi="宋体"/>
          <w:b/>
          <w:sz w:val="24"/>
        </w:rPr>
        <w:t xml:space="preserve">   </w:t>
      </w:r>
      <w:r>
        <w:rPr>
          <w:rFonts w:hint="eastAsia" w:ascii="宋体" w:hAnsi="宋体"/>
          <w:sz w:val="24"/>
          <w:u w:val="single"/>
        </w:rPr>
        <w:t xml:space="preserve">         </w:t>
      </w:r>
      <w:r>
        <w:rPr>
          <w:rFonts w:hint="eastAsia" w:ascii="宋体" w:hAnsi="宋体"/>
          <w:sz w:val="24"/>
        </w:rPr>
        <w:t>（以下简称甲方）</w:t>
      </w:r>
      <w:r>
        <w:rPr>
          <w:rFonts w:hint="eastAsia" w:ascii="宋体" w:hAnsi="宋体"/>
          <w:sz w:val="24"/>
          <w:u w:val="single"/>
        </w:rPr>
        <w:t xml:space="preserve">         </w:t>
      </w:r>
      <w:r>
        <w:rPr>
          <w:rFonts w:hint="eastAsia" w:ascii="宋体" w:hAnsi="宋体"/>
          <w:sz w:val="24"/>
        </w:rPr>
        <w:t>采购，在</w:t>
      </w:r>
      <w:r>
        <w:rPr>
          <w:rFonts w:hint="eastAsia" w:ascii="宋体" w:hAnsi="宋体"/>
          <w:sz w:val="24"/>
          <w:u w:val="single"/>
        </w:rPr>
        <w:t xml:space="preserve">           </w:t>
      </w:r>
      <w:r>
        <w:rPr>
          <w:rFonts w:hint="eastAsia" w:ascii="宋体" w:hAnsi="宋体"/>
          <w:sz w:val="24"/>
        </w:rPr>
        <w:t>的监督管理下，由</w:t>
      </w:r>
      <w:r>
        <w:rPr>
          <w:rFonts w:hint="eastAsia" w:ascii="宋体" w:hAnsi="宋体"/>
          <w:sz w:val="24"/>
          <w:u w:val="single"/>
        </w:rPr>
        <w:t>陕西开源招标有限公司</w:t>
      </w:r>
      <w:r>
        <w:rPr>
          <w:rFonts w:hint="eastAsia" w:ascii="宋体" w:hAnsi="宋体"/>
          <w:sz w:val="24"/>
        </w:rPr>
        <w:t>组织采购，选定</w:t>
      </w:r>
      <w:r>
        <w:rPr>
          <w:rFonts w:hint="eastAsia" w:ascii="宋体" w:hAnsi="宋体"/>
          <w:sz w:val="24"/>
          <w:u w:val="single"/>
        </w:rPr>
        <w:t xml:space="preserve">         </w:t>
      </w:r>
      <w:r>
        <w:rPr>
          <w:rFonts w:hint="eastAsia" w:ascii="宋体" w:hAnsi="宋体"/>
          <w:sz w:val="24"/>
        </w:rPr>
        <w:t xml:space="preserve"> (以下简称乙方）为该项目中标人。依据《中华人民共和国民法典》和《中华人民共和国政府采购法》，经甲、乙双方共同协商，按下述条款和条件签署本合同。</w:t>
      </w:r>
    </w:p>
    <w:p w14:paraId="65D88BE2">
      <w:pPr>
        <w:spacing w:line="480" w:lineRule="exact"/>
        <w:jc w:val="left"/>
        <w:rPr>
          <w:rFonts w:ascii="宋体" w:hAnsi="宋体"/>
          <w:b/>
          <w:sz w:val="24"/>
        </w:rPr>
      </w:pPr>
      <w:r>
        <w:rPr>
          <w:rFonts w:hint="eastAsia" w:ascii="宋体" w:hAnsi="宋体"/>
          <w:b/>
          <w:sz w:val="24"/>
        </w:rPr>
        <w:t>一、合同内容</w:t>
      </w:r>
    </w:p>
    <w:p w14:paraId="7B7559D8">
      <w:pPr>
        <w:spacing w:line="480" w:lineRule="exact"/>
        <w:ind w:firstLine="480" w:firstLineChars="200"/>
        <w:rPr>
          <w:rFonts w:ascii="宋体" w:hAnsi="宋体"/>
          <w:sz w:val="24"/>
        </w:rPr>
      </w:pPr>
      <w:r>
        <w:rPr>
          <w:rFonts w:hint="eastAsia" w:ascii="宋体" w:hAnsi="宋体"/>
          <w:sz w:val="24"/>
        </w:rPr>
        <w:t>（一）目标</w:t>
      </w:r>
    </w:p>
    <w:p w14:paraId="6BDA103F">
      <w:pPr>
        <w:spacing w:line="480" w:lineRule="exact"/>
        <w:ind w:firstLine="480" w:firstLineChars="200"/>
        <w:rPr>
          <w:rFonts w:ascii="宋体" w:hAnsi="宋体"/>
          <w:sz w:val="24"/>
        </w:rPr>
      </w:pPr>
      <w:r>
        <w:rPr>
          <w:rFonts w:hint="eastAsia" w:ascii="宋体" w:hAnsi="宋体"/>
          <w:sz w:val="24"/>
        </w:rPr>
        <w:t>对以下信息系统开展等级保护测评与整改，并提供测评报告等相关报告。信息系统名称及安全保护等级如下表。</w:t>
      </w:r>
    </w:p>
    <w:tbl>
      <w:tblPr>
        <w:tblStyle w:val="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384"/>
        <w:gridCol w:w="3200"/>
        <w:gridCol w:w="2293"/>
      </w:tblGrid>
      <w:tr w14:paraId="46CA21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3" w:hRule="atLeast"/>
          <w:jc w:val="center"/>
        </w:trPr>
        <w:tc>
          <w:tcPr>
            <w:tcW w:w="1384" w:type="dxa"/>
            <w:vAlign w:val="center"/>
          </w:tcPr>
          <w:p w14:paraId="3376D52D">
            <w:pPr>
              <w:pStyle w:val="5"/>
              <w:spacing w:line="360" w:lineRule="auto"/>
              <w:jc w:val="center"/>
              <w:rPr>
                <w:rFonts w:ascii="Calibri" w:hAnsi="Calibri"/>
              </w:rPr>
            </w:pPr>
            <w:r>
              <w:rPr>
                <w:rFonts w:hint="eastAsia" w:cs="微软雅黑"/>
                <w:b/>
                <w:color w:val="353535"/>
              </w:rPr>
              <w:t>序号</w:t>
            </w:r>
          </w:p>
        </w:tc>
        <w:tc>
          <w:tcPr>
            <w:tcW w:w="3200" w:type="dxa"/>
            <w:vAlign w:val="center"/>
          </w:tcPr>
          <w:p w14:paraId="578DF5F6">
            <w:pPr>
              <w:pStyle w:val="5"/>
              <w:spacing w:line="360" w:lineRule="auto"/>
              <w:jc w:val="center"/>
              <w:rPr>
                <w:rFonts w:ascii="Calibri" w:hAnsi="Calibri"/>
              </w:rPr>
            </w:pPr>
            <w:r>
              <w:rPr>
                <w:rFonts w:hint="eastAsia" w:cs="微软雅黑"/>
                <w:b/>
                <w:color w:val="353535"/>
              </w:rPr>
              <w:t>系统名称</w:t>
            </w:r>
          </w:p>
        </w:tc>
        <w:tc>
          <w:tcPr>
            <w:tcW w:w="2293" w:type="dxa"/>
            <w:vAlign w:val="center"/>
          </w:tcPr>
          <w:p w14:paraId="75F52BC4">
            <w:pPr>
              <w:pStyle w:val="5"/>
              <w:spacing w:line="360" w:lineRule="auto"/>
              <w:jc w:val="center"/>
              <w:rPr>
                <w:rFonts w:ascii="Calibri" w:hAnsi="Calibri"/>
              </w:rPr>
            </w:pPr>
            <w:r>
              <w:rPr>
                <w:rFonts w:hint="eastAsia" w:cs="微软雅黑"/>
                <w:b/>
                <w:color w:val="353535"/>
              </w:rPr>
              <w:t>系统等级</w:t>
            </w:r>
          </w:p>
        </w:tc>
      </w:tr>
      <w:tr w14:paraId="24701C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3" w:hRule="atLeast"/>
          <w:jc w:val="center"/>
        </w:trPr>
        <w:tc>
          <w:tcPr>
            <w:tcW w:w="1384" w:type="dxa"/>
            <w:vAlign w:val="center"/>
          </w:tcPr>
          <w:p w14:paraId="163C2F66">
            <w:pPr>
              <w:pStyle w:val="5"/>
              <w:spacing w:line="360" w:lineRule="auto"/>
              <w:jc w:val="center"/>
              <w:rPr>
                <w:rFonts w:ascii="Calibri" w:hAnsi="Calibri"/>
              </w:rPr>
            </w:pPr>
            <w:r>
              <w:rPr>
                <w:rFonts w:hint="eastAsia" w:cs="微软雅黑"/>
                <w:color w:val="353535"/>
              </w:rPr>
              <w:t>1</w:t>
            </w:r>
          </w:p>
        </w:tc>
        <w:tc>
          <w:tcPr>
            <w:tcW w:w="3200" w:type="dxa"/>
            <w:vAlign w:val="center"/>
          </w:tcPr>
          <w:p w14:paraId="0B305FA2">
            <w:pPr>
              <w:pStyle w:val="5"/>
              <w:spacing w:line="360" w:lineRule="auto"/>
              <w:jc w:val="center"/>
              <w:rPr>
                <w:rFonts w:cs="微软雅黑"/>
                <w:color w:val="353535"/>
              </w:rPr>
            </w:pPr>
            <w:r>
              <w:rPr>
                <w:rFonts w:hint="eastAsia" w:cs="微软雅黑"/>
                <w:color w:val="353535"/>
              </w:rPr>
              <w:t>防震减灾一体化系统</w:t>
            </w:r>
          </w:p>
        </w:tc>
        <w:tc>
          <w:tcPr>
            <w:tcW w:w="2293" w:type="dxa"/>
            <w:vAlign w:val="center"/>
          </w:tcPr>
          <w:p w14:paraId="62D9CF5F">
            <w:pPr>
              <w:pStyle w:val="5"/>
              <w:spacing w:line="360" w:lineRule="auto"/>
              <w:jc w:val="center"/>
              <w:rPr>
                <w:rFonts w:ascii="Calibri" w:hAnsi="Calibri"/>
              </w:rPr>
            </w:pPr>
            <w:r>
              <w:rPr>
                <w:rFonts w:hint="eastAsia" w:cs="微软雅黑"/>
                <w:color w:val="353535"/>
              </w:rPr>
              <w:t>二级</w:t>
            </w:r>
          </w:p>
        </w:tc>
      </w:tr>
      <w:tr w14:paraId="3DE837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3" w:hRule="atLeast"/>
          <w:jc w:val="center"/>
        </w:trPr>
        <w:tc>
          <w:tcPr>
            <w:tcW w:w="1384" w:type="dxa"/>
            <w:vAlign w:val="center"/>
          </w:tcPr>
          <w:p w14:paraId="4BFDAB5A">
            <w:pPr>
              <w:pStyle w:val="5"/>
              <w:spacing w:line="360" w:lineRule="auto"/>
              <w:jc w:val="center"/>
              <w:rPr>
                <w:rFonts w:ascii="Calibri" w:hAnsi="Calibri"/>
              </w:rPr>
            </w:pPr>
            <w:r>
              <w:rPr>
                <w:rFonts w:hint="eastAsia" w:cs="微软雅黑"/>
                <w:color w:val="353535"/>
              </w:rPr>
              <w:t>2</w:t>
            </w:r>
          </w:p>
        </w:tc>
        <w:tc>
          <w:tcPr>
            <w:tcW w:w="3200" w:type="dxa"/>
            <w:vAlign w:val="center"/>
          </w:tcPr>
          <w:p w14:paraId="1D04D497">
            <w:pPr>
              <w:pStyle w:val="5"/>
              <w:spacing w:line="360" w:lineRule="auto"/>
              <w:jc w:val="center"/>
              <w:rPr>
                <w:rFonts w:cs="微软雅黑"/>
                <w:color w:val="353535"/>
              </w:rPr>
            </w:pPr>
            <w:r>
              <w:rPr>
                <w:rFonts w:hint="eastAsia" w:cs="微软雅黑"/>
                <w:color w:val="353535"/>
              </w:rPr>
              <w:t>陕西省地震数据资源平台</w:t>
            </w:r>
          </w:p>
        </w:tc>
        <w:tc>
          <w:tcPr>
            <w:tcW w:w="2293" w:type="dxa"/>
            <w:vAlign w:val="center"/>
          </w:tcPr>
          <w:p w14:paraId="795C6A76">
            <w:pPr>
              <w:pStyle w:val="5"/>
              <w:spacing w:line="360" w:lineRule="auto"/>
              <w:jc w:val="center"/>
              <w:rPr>
                <w:rFonts w:ascii="Calibri" w:hAnsi="Calibri"/>
              </w:rPr>
            </w:pPr>
            <w:r>
              <w:rPr>
                <w:rFonts w:hint="eastAsia" w:cs="微软雅黑"/>
                <w:color w:val="353535"/>
              </w:rPr>
              <w:t>二级</w:t>
            </w:r>
          </w:p>
        </w:tc>
      </w:tr>
    </w:tbl>
    <w:p w14:paraId="0FB55888">
      <w:pPr>
        <w:spacing w:line="480" w:lineRule="exact"/>
        <w:ind w:firstLine="480" w:firstLineChars="200"/>
        <w:rPr>
          <w:rFonts w:ascii="宋体" w:hAnsi="宋体"/>
          <w:sz w:val="24"/>
        </w:rPr>
      </w:pPr>
      <w:r>
        <w:rPr>
          <w:rFonts w:hint="eastAsia" w:ascii="宋体" w:hAnsi="宋体"/>
          <w:sz w:val="24"/>
        </w:rPr>
        <w:t>（二）具体工作内容</w:t>
      </w:r>
    </w:p>
    <w:p w14:paraId="22080368">
      <w:pPr>
        <w:spacing w:line="480" w:lineRule="exact"/>
        <w:ind w:firstLine="480" w:firstLineChars="200"/>
        <w:rPr>
          <w:rFonts w:ascii="宋体" w:hAnsi="宋体"/>
          <w:sz w:val="24"/>
        </w:rPr>
      </w:pPr>
      <w:r>
        <w:rPr>
          <w:rFonts w:hint="eastAsia" w:ascii="宋体" w:hAnsi="宋体"/>
          <w:sz w:val="24"/>
        </w:rPr>
        <w:t>1、防震减灾一体化系统、陕西省地震数据资源平台系统开展二级等保测评，需公司依据等保二级要求进行信息系统测评，形成测评方案、测评报告、整改报告、复测报告等。</w:t>
      </w:r>
    </w:p>
    <w:p w14:paraId="73EC609D">
      <w:pPr>
        <w:spacing w:line="480" w:lineRule="exact"/>
        <w:ind w:firstLine="480" w:firstLineChars="200"/>
        <w:rPr>
          <w:rFonts w:ascii="宋体" w:hAnsi="宋体"/>
          <w:sz w:val="24"/>
        </w:rPr>
      </w:pPr>
      <w:r>
        <w:rPr>
          <w:rFonts w:hint="eastAsia" w:ascii="宋体" w:hAnsi="宋体"/>
          <w:sz w:val="24"/>
        </w:rPr>
        <w:t>2、根据等保要求以及陕西省地震局需求，提供制度完善、网络安全预案修正以及网络安全相关方案的编制等服务。包含但不限于陕西省地震局现有安全相关各项规章制度进行细化、完善、整改等编制，网络</w:t>
      </w:r>
      <w:r>
        <w:rPr>
          <w:rFonts w:hint="eastAsia" w:ascii="宋体" w:hAnsi="宋体"/>
          <w:sz w:val="24"/>
          <w:highlight w:val="none"/>
        </w:rPr>
        <w:t>安全预案的</w:t>
      </w:r>
      <w:r>
        <w:rPr>
          <w:rFonts w:hint="eastAsia" w:ascii="宋体" w:hAnsi="宋体"/>
          <w:sz w:val="24"/>
        </w:rPr>
        <w:t>修订，网络安全相关方案或报告如安全自查报告、安全保障方案等资料的编制。</w:t>
      </w:r>
    </w:p>
    <w:p w14:paraId="71512A21">
      <w:pPr>
        <w:spacing w:line="480" w:lineRule="exact"/>
        <w:ind w:firstLine="480" w:firstLineChars="200"/>
        <w:rPr>
          <w:rFonts w:ascii="宋体" w:hAnsi="宋体"/>
          <w:sz w:val="24"/>
        </w:rPr>
      </w:pPr>
      <w:r>
        <w:rPr>
          <w:rFonts w:hint="eastAsia" w:ascii="宋体" w:hAnsi="宋体"/>
          <w:sz w:val="24"/>
        </w:rPr>
        <w:t>3、提供日常及重要安保时期的网络安全事件处置和溯源服务。</w:t>
      </w:r>
    </w:p>
    <w:p w14:paraId="38769100">
      <w:pPr>
        <w:spacing w:line="480" w:lineRule="exact"/>
        <w:ind w:firstLine="480" w:firstLineChars="200"/>
        <w:rPr>
          <w:rFonts w:ascii="宋体" w:hAnsi="宋体"/>
          <w:sz w:val="24"/>
        </w:rPr>
      </w:pPr>
      <w:r>
        <w:rPr>
          <w:rFonts w:hint="eastAsia" w:ascii="宋体" w:hAnsi="宋体"/>
          <w:sz w:val="24"/>
        </w:rPr>
        <w:t>4、提供全局范围内针对终端用户、以及针对管理部门有关法律法规等的公开培训，不少于两次。</w:t>
      </w:r>
    </w:p>
    <w:p w14:paraId="0A90A4D4">
      <w:pPr>
        <w:spacing w:line="480" w:lineRule="exact"/>
        <w:ind w:firstLine="480" w:firstLineChars="200"/>
        <w:rPr>
          <w:rFonts w:ascii="宋体" w:hAnsi="宋体"/>
          <w:sz w:val="24"/>
        </w:rPr>
      </w:pPr>
      <w:r>
        <w:rPr>
          <w:rFonts w:hint="eastAsia" w:ascii="宋体" w:hAnsi="宋体"/>
          <w:sz w:val="24"/>
        </w:rPr>
        <w:t>5、提供一次安全应急模拟演练；</w:t>
      </w:r>
    </w:p>
    <w:p w14:paraId="70D44844">
      <w:pPr>
        <w:spacing w:line="480" w:lineRule="exact"/>
        <w:ind w:firstLine="480" w:firstLineChars="200"/>
        <w:rPr>
          <w:rFonts w:ascii="宋体" w:hAnsi="宋体"/>
          <w:sz w:val="24"/>
        </w:rPr>
      </w:pPr>
      <w:r>
        <w:rPr>
          <w:rFonts w:hint="eastAsia" w:ascii="宋体" w:hAnsi="宋体"/>
          <w:sz w:val="24"/>
        </w:rPr>
        <w:t>6、提供不少于15天的安全驻场服务；</w:t>
      </w:r>
    </w:p>
    <w:p w14:paraId="1DF1A037">
      <w:pPr>
        <w:spacing w:line="480" w:lineRule="exact"/>
        <w:jc w:val="left"/>
        <w:rPr>
          <w:rFonts w:ascii="宋体" w:hAnsi="宋体"/>
          <w:b/>
          <w:sz w:val="24"/>
        </w:rPr>
      </w:pPr>
      <w:r>
        <w:rPr>
          <w:rFonts w:hint="eastAsia" w:ascii="宋体" w:hAnsi="宋体"/>
          <w:b/>
          <w:sz w:val="24"/>
        </w:rPr>
        <w:t>二、合同价格</w:t>
      </w:r>
    </w:p>
    <w:p w14:paraId="3EA289C1">
      <w:pPr>
        <w:spacing w:line="500" w:lineRule="exact"/>
        <w:ind w:left="480" w:leftChars="200"/>
        <w:jc w:val="left"/>
        <w:rPr>
          <w:rFonts w:ascii="宋体" w:hAnsi="宋体"/>
          <w:sz w:val="24"/>
        </w:rPr>
      </w:pPr>
      <w:r>
        <w:rPr>
          <w:rFonts w:hint="eastAsia" w:ascii="宋体" w:hAnsi="宋体"/>
          <w:sz w:val="24"/>
        </w:rPr>
        <w:t>合同总价：</w:t>
      </w:r>
      <w:r>
        <w:rPr>
          <w:rFonts w:hint="eastAsia" w:ascii="宋体" w:hAnsi="宋体"/>
          <w:color w:val="000000"/>
          <w:sz w:val="24"/>
          <w:u w:val="single"/>
        </w:rPr>
        <w:t xml:space="preserve">人民币       元整（¥         元） </w:t>
      </w:r>
    </w:p>
    <w:p w14:paraId="259C8175">
      <w:pPr>
        <w:spacing w:line="480" w:lineRule="exact"/>
        <w:ind w:firstLine="480" w:firstLineChars="200"/>
        <w:jc w:val="left"/>
        <w:rPr>
          <w:rFonts w:ascii="宋体" w:hAnsi="宋体"/>
          <w:sz w:val="24"/>
        </w:rPr>
      </w:pPr>
      <w:r>
        <w:rPr>
          <w:rFonts w:hint="eastAsia" w:ascii="宋体" w:hAnsi="宋体" w:cs="宋体"/>
          <w:sz w:val="24"/>
        </w:rPr>
        <w:t>说明：</w:t>
      </w:r>
    </w:p>
    <w:p w14:paraId="00F61502">
      <w:pPr>
        <w:numPr>
          <w:ilvl w:val="0"/>
          <w:numId w:val="1"/>
        </w:numPr>
        <w:spacing w:line="500" w:lineRule="exact"/>
        <w:ind w:firstLine="480" w:firstLineChars="200"/>
        <w:jc w:val="left"/>
        <w:rPr>
          <w:rFonts w:ascii="宋体" w:hAnsi="宋体"/>
          <w:sz w:val="24"/>
        </w:rPr>
      </w:pPr>
      <w:r>
        <w:rPr>
          <w:rFonts w:hint="eastAsia" w:ascii="宋体" w:hAnsi="宋体"/>
          <w:sz w:val="24"/>
        </w:rPr>
        <w:t>合同总价包含完成本项目的所有费用。</w:t>
      </w:r>
    </w:p>
    <w:p w14:paraId="4D881940">
      <w:pPr>
        <w:numPr>
          <w:ilvl w:val="0"/>
          <w:numId w:val="1"/>
        </w:numPr>
        <w:spacing w:line="500" w:lineRule="exact"/>
        <w:ind w:firstLine="480" w:firstLineChars="200"/>
        <w:jc w:val="left"/>
        <w:rPr>
          <w:rFonts w:ascii="宋体" w:hAnsi="宋体"/>
          <w:sz w:val="24"/>
        </w:rPr>
      </w:pPr>
      <w:r>
        <w:rPr>
          <w:rFonts w:hint="eastAsia" w:ascii="宋体" w:hAnsi="宋体"/>
          <w:sz w:val="24"/>
        </w:rPr>
        <w:t xml:space="preserve">合同总价一次包死，不受市场价格变化的影响，并作为结算的唯一依据。 </w:t>
      </w:r>
    </w:p>
    <w:p w14:paraId="18C8A078">
      <w:pPr>
        <w:spacing w:line="480" w:lineRule="exact"/>
        <w:jc w:val="left"/>
        <w:rPr>
          <w:rFonts w:ascii="宋体" w:hAnsi="宋体"/>
          <w:b/>
          <w:sz w:val="24"/>
        </w:rPr>
      </w:pPr>
      <w:r>
        <w:rPr>
          <w:rFonts w:hint="eastAsia" w:ascii="宋体" w:hAnsi="宋体"/>
          <w:b/>
          <w:sz w:val="24"/>
        </w:rPr>
        <w:t>三、合同款项支付</w:t>
      </w:r>
    </w:p>
    <w:p w14:paraId="7E930608">
      <w:pPr>
        <w:autoSpaceDE w:val="0"/>
        <w:autoSpaceDN w:val="0"/>
        <w:adjustRightInd w:val="0"/>
        <w:spacing w:line="360" w:lineRule="auto"/>
        <w:ind w:firstLine="480" w:firstLineChars="200"/>
        <w:rPr>
          <w:rFonts w:ascii="宋体" w:hAnsi="宋体" w:cs="宋体"/>
          <w:bCs/>
          <w:sz w:val="24"/>
        </w:rPr>
      </w:pPr>
      <w:r>
        <w:rPr>
          <w:rFonts w:hint="eastAsia" w:ascii="宋体" w:hAnsi="宋体" w:cs="宋体"/>
          <w:bCs/>
          <w:sz w:val="24"/>
        </w:rPr>
        <w:t>（一）结算单位：</w:t>
      </w:r>
      <w:r>
        <w:rPr>
          <w:rFonts w:hint="eastAsia" w:ascii="宋体" w:hAnsi="宋体"/>
          <w:sz w:val="24"/>
        </w:rPr>
        <w:t>采购人结算，在付款前，必须开具发票给采购人。</w:t>
      </w:r>
    </w:p>
    <w:p w14:paraId="34265009">
      <w:pPr>
        <w:pStyle w:val="6"/>
        <w:spacing w:line="480" w:lineRule="exact"/>
        <w:ind w:firstLine="480" w:firstLineChars="200"/>
        <w:jc w:val="left"/>
        <w:rPr>
          <w:rFonts w:hAnsi="宋体"/>
          <w:sz w:val="24"/>
        </w:rPr>
      </w:pPr>
      <w:r>
        <w:rPr>
          <w:rFonts w:hint="eastAsia" w:hAnsi="宋体" w:cs="宋体"/>
          <w:bCs/>
          <w:sz w:val="24"/>
        </w:rPr>
        <w:t>（二）付款方式：合同签订后7个工作日内，由乙方向甲方支付5%的履约保证金，甲方收到后向乙方支付合同金额的100%。</w:t>
      </w:r>
      <w:r>
        <w:rPr>
          <w:rFonts w:hAnsi="宋体"/>
          <w:sz w:val="24"/>
        </w:rPr>
        <w:t xml:space="preserve"> </w:t>
      </w:r>
    </w:p>
    <w:p w14:paraId="08A2DC1B">
      <w:pPr>
        <w:spacing w:line="480" w:lineRule="exact"/>
        <w:jc w:val="left"/>
        <w:rPr>
          <w:rFonts w:ascii="宋体" w:hAnsi="宋体"/>
          <w:b/>
          <w:sz w:val="24"/>
        </w:rPr>
      </w:pPr>
      <w:r>
        <w:rPr>
          <w:rFonts w:hint="eastAsia" w:ascii="宋体" w:hAnsi="宋体"/>
          <w:b/>
          <w:sz w:val="24"/>
        </w:rPr>
        <w:t>四、项目实施条件</w:t>
      </w:r>
    </w:p>
    <w:p w14:paraId="309E9F6E">
      <w:pPr>
        <w:autoSpaceDE w:val="0"/>
        <w:autoSpaceDN w:val="0"/>
        <w:adjustRightInd w:val="0"/>
        <w:spacing w:line="360" w:lineRule="auto"/>
        <w:ind w:firstLine="480" w:firstLineChars="200"/>
        <w:rPr>
          <w:rFonts w:ascii="宋体" w:hAnsi="宋体"/>
          <w:sz w:val="24"/>
        </w:rPr>
      </w:pPr>
      <w:r>
        <w:rPr>
          <w:rFonts w:hint="eastAsia" w:ascii="宋体" w:hAnsi="宋体" w:cs="宋体"/>
          <w:bCs/>
          <w:sz w:val="24"/>
        </w:rPr>
        <w:t>（一）</w:t>
      </w:r>
      <w:r>
        <w:rPr>
          <w:rFonts w:hint="eastAsia" w:ascii="宋体" w:hAnsi="宋体" w:cs="Helvetica"/>
          <w:kern w:val="0"/>
          <w:sz w:val="24"/>
          <w:szCs w:val="21"/>
        </w:rPr>
        <w:t>服务期：</w:t>
      </w:r>
      <w:r>
        <w:rPr>
          <w:rFonts w:hint="eastAsia" w:ascii="宋体" w:hAnsi="宋体"/>
          <w:sz w:val="24"/>
        </w:rPr>
        <w:t>从甲方通知开始测评日期起，30个工作日完成等保测评和报告提交的所有工作；同时从合同签订时间起一年内提供一次安全应急模拟演练、不限次数的制度完善与方案编制、应急响应与安全事件处置、配合检查、电话支持、安全咨询等服务在内的安全维保服务。</w:t>
      </w:r>
    </w:p>
    <w:p w14:paraId="5A567528">
      <w:pPr>
        <w:autoSpaceDE w:val="0"/>
        <w:autoSpaceDN w:val="0"/>
        <w:adjustRightInd w:val="0"/>
        <w:spacing w:line="360" w:lineRule="auto"/>
        <w:ind w:firstLine="480" w:firstLineChars="200"/>
        <w:rPr>
          <w:rFonts w:ascii="宋体" w:hAnsi="宋体" w:cs="宋体"/>
          <w:bCs/>
          <w:sz w:val="24"/>
        </w:rPr>
      </w:pPr>
      <w:r>
        <w:rPr>
          <w:rFonts w:hint="eastAsia" w:ascii="宋体" w:hAnsi="宋体" w:cs="宋体"/>
          <w:bCs/>
          <w:sz w:val="24"/>
        </w:rPr>
        <w:t>（二）项目实施地点：陕西省地震局指定地点。</w:t>
      </w:r>
    </w:p>
    <w:p w14:paraId="2B297124">
      <w:pPr>
        <w:spacing w:line="480" w:lineRule="exact"/>
        <w:jc w:val="left"/>
        <w:rPr>
          <w:rFonts w:ascii="宋体" w:hAnsi="宋体" w:cs="宋体"/>
          <w:b/>
          <w:sz w:val="24"/>
        </w:rPr>
      </w:pPr>
      <w:r>
        <w:rPr>
          <w:rFonts w:hint="eastAsia" w:ascii="宋体" w:hAnsi="宋体" w:cs="宋体"/>
          <w:b/>
          <w:sz w:val="24"/>
        </w:rPr>
        <w:t>五、质量保证</w:t>
      </w:r>
    </w:p>
    <w:p w14:paraId="3060042A">
      <w:pPr>
        <w:spacing w:line="480" w:lineRule="exact"/>
        <w:ind w:firstLine="480" w:firstLineChars="200"/>
        <w:rPr>
          <w:rFonts w:ascii="宋体" w:hAnsi="宋体" w:cs="宋体"/>
          <w:sz w:val="24"/>
        </w:rPr>
      </w:pPr>
      <w:r>
        <w:rPr>
          <w:rFonts w:hint="eastAsia" w:ascii="宋体" w:hAnsi="宋体" w:cs="宋体"/>
          <w:sz w:val="24"/>
        </w:rPr>
        <w:t>（一）乙方应当保证服务内容质量完全符合合同规定的要求，并对服务内容质量问题负责。</w:t>
      </w:r>
    </w:p>
    <w:p w14:paraId="21175AC7">
      <w:pPr>
        <w:spacing w:line="480" w:lineRule="exact"/>
        <w:ind w:firstLine="480" w:firstLineChars="200"/>
        <w:rPr>
          <w:rFonts w:ascii="宋体" w:hAnsi="宋体"/>
          <w:sz w:val="24"/>
        </w:rPr>
      </w:pPr>
      <w:r>
        <w:rPr>
          <w:rFonts w:hint="eastAsia" w:ascii="宋体" w:hAnsi="宋体" w:cs="宋体"/>
          <w:sz w:val="24"/>
        </w:rPr>
        <w:t>（二）在本合同有效期内，乙方应派出专业技术人员为甲方提供技术服务，具体以乙方投标文件中提供的人员安排为准，乙方项目组人员不</w:t>
      </w:r>
      <w:r>
        <w:rPr>
          <w:rFonts w:hint="eastAsia" w:ascii="宋体" w:hAnsi="宋体"/>
          <w:sz w:val="24"/>
        </w:rPr>
        <w:t>少于5人（其中高级测评师不少于</w:t>
      </w:r>
      <w:r>
        <w:rPr>
          <w:rFonts w:ascii="宋体" w:hAnsi="宋体"/>
          <w:sz w:val="24"/>
        </w:rPr>
        <w:t>1</w:t>
      </w:r>
      <w:r>
        <w:rPr>
          <w:rFonts w:hint="eastAsia" w:ascii="宋体" w:hAnsi="宋体"/>
          <w:sz w:val="24"/>
        </w:rPr>
        <w:t>人，中级测评师不少于2人），提供现场服务的测评师不少于2人（至少1名中级）。</w:t>
      </w:r>
    </w:p>
    <w:p w14:paraId="6E61206E">
      <w:pPr>
        <w:spacing w:line="480" w:lineRule="exact"/>
        <w:ind w:firstLine="480" w:firstLineChars="200"/>
        <w:rPr>
          <w:rFonts w:ascii="宋体" w:hAnsi="宋体" w:cs="宋体"/>
          <w:sz w:val="24"/>
        </w:rPr>
      </w:pPr>
      <w:r>
        <w:rPr>
          <w:rFonts w:hint="eastAsia" w:ascii="宋体" w:hAnsi="宋体" w:cs="宋体"/>
          <w:sz w:val="24"/>
        </w:rPr>
        <w:t>（三）合同签订后乙方应向甲方书面提供投标文件中所确定的参加项目工作相关人员信息。乙方更换其项目负责人与其他技术服务人员，须提交书面申请，征得甲方书面同意后方可更换。</w:t>
      </w:r>
    </w:p>
    <w:p w14:paraId="209273DC">
      <w:pPr>
        <w:spacing w:line="480" w:lineRule="exact"/>
        <w:ind w:firstLine="480" w:firstLineChars="200"/>
        <w:rPr>
          <w:rFonts w:ascii="宋体" w:hAnsi="宋体" w:cs="宋体"/>
          <w:sz w:val="24"/>
        </w:rPr>
      </w:pPr>
      <w:r>
        <w:rPr>
          <w:rFonts w:hint="eastAsia" w:ascii="宋体" w:hAnsi="宋体" w:cs="宋体"/>
          <w:sz w:val="24"/>
        </w:rPr>
        <w:t>（四）甲方认为乙方工作人员不能胜任项目工作的，有权要求乙方立即更换。上述被更换的人员无甲方另行批准不得重新参加本项目技术服务工作。</w:t>
      </w:r>
    </w:p>
    <w:p w14:paraId="43A95D4D">
      <w:pPr>
        <w:spacing w:line="480" w:lineRule="exact"/>
        <w:ind w:firstLine="480" w:firstLineChars="200"/>
        <w:rPr>
          <w:rFonts w:ascii="宋体" w:hAnsi="宋体" w:cs="宋体"/>
          <w:sz w:val="24"/>
        </w:rPr>
      </w:pPr>
      <w:r>
        <w:rPr>
          <w:rFonts w:hint="eastAsia" w:ascii="宋体" w:hAnsi="宋体" w:cs="宋体"/>
          <w:sz w:val="24"/>
        </w:rPr>
        <w:t>（五）攻防演练应做好应急预案，攻击过程开展实时监控，确保不因演练导致的信息系统业务异常。</w:t>
      </w:r>
    </w:p>
    <w:p w14:paraId="7B59C39F">
      <w:pPr>
        <w:spacing w:line="480" w:lineRule="exact"/>
        <w:jc w:val="left"/>
        <w:rPr>
          <w:rFonts w:ascii="宋体" w:hAnsi="宋体" w:cs="宋体"/>
          <w:b/>
          <w:sz w:val="24"/>
        </w:rPr>
      </w:pPr>
      <w:r>
        <w:rPr>
          <w:rFonts w:hint="eastAsia" w:ascii="宋体" w:hAnsi="宋体" w:cs="宋体"/>
          <w:b/>
          <w:sz w:val="24"/>
        </w:rPr>
        <w:t>六、技术服务</w:t>
      </w:r>
    </w:p>
    <w:p w14:paraId="255DA29A">
      <w:pPr>
        <w:spacing w:line="480" w:lineRule="exact"/>
        <w:ind w:firstLine="482" w:firstLineChars="200"/>
        <w:jc w:val="left"/>
        <w:rPr>
          <w:rFonts w:ascii="宋体" w:hAnsi="宋体" w:cs="宋体"/>
          <w:b/>
          <w:sz w:val="24"/>
        </w:rPr>
      </w:pPr>
      <w:r>
        <w:rPr>
          <w:rFonts w:hint="eastAsia" w:ascii="宋体" w:hAnsi="宋体" w:cs="宋体"/>
          <w:b/>
          <w:sz w:val="24"/>
        </w:rPr>
        <w:t>（一）技术资料</w:t>
      </w:r>
    </w:p>
    <w:p w14:paraId="255D489B">
      <w:pPr>
        <w:spacing w:line="480" w:lineRule="exact"/>
        <w:ind w:firstLine="480" w:firstLineChars="200"/>
        <w:rPr>
          <w:rFonts w:ascii="宋体" w:hAnsi="宋体" w:cs="宋体"/>
          <w:sz w:val="24"/>
        </w:rPr>
      </w:pPr>
      <w:r>
        <w:rPr>
          <w:rFonts w:hint="eastAsia" w:ascii="宋体" w:hAnsi="宋体" w:cs="宋体"/>
          <w:sz w:val="24"/>
        </w:rPr>
        <w:t>须提交主要成果文档包含如下：</w:t>
      </w:r>
    </w:p>
    <w:p w14:paraId="20499E0B">
      <w:pPr>
        <w:spacing w:line="480" w:lineRule="exact"/>
        <w:ind w:firstLine="480" w:firstLineChars="200"/>
        <w:rPr>
          <w:rFonts w:ascii="宋体" w:hAnsi="宋体" w:cs="宋体"/>
          <w:sz w:val="24"/>
        </w:rPr>
      </w:pPr>
      <w:r>
        <w:rPr>
          <w:rFonts w:hint="eastAsia" w:ascii="宋体" w:hAnsi="宋体" w:cs="宋体"/>
          <w:sz w:val="24"/>
        </w:rPr>
        <w:t>1.《信息系统安全等级保护项目计划书》；</w:t>
      </w:r>
    </w:p>
    <w:p w14:paraId="3DEC6F50">
      <w:pPr>
        <w:spacing w:line="480" w:lineRule="exact"/>
        <w:ind w:firstLine="480" w:firstLineChars="200"/>
        <w:rPr>
          <w:rFonts w:ascii="宋体" w:hAnsi="宋体" w:cs="宋体"/>
          <w:sz w:val="24"/>
        </w:rPr>
      </w:pPr>
      <w:r>
        <w:rPr>
          <w:rFonts w:hint="eastAsia" w:ascii="宋体" w:hAnsi="宋体" w:cs="宋体"/>
          <w:sz w:val="24"/>
        </w:rPr>
        <w:t>2.《信息系统安全等级保护测评方案》（两个系统各一份）；</w:t>
      </w:r>
    </w:p>
    <w:p w14:paraId="07D663B9">
      <w:pPr>
        <w:spacing w:line="480" w:lineRule="exact"/>
        <w:ind w:firstLine="480" w:firstLineChars="200"/>
        <w:rPr>
          <w:rFonts w:ascii="宋体" w:hAnsi="宋体" w:cs="宋体"/>
          <w:sz w:val="24"/>
        </w:rPr>
      </w:pPr>
      <w:r>
        <w:rPr>
          <w:rFonts w:hint="eastAsia" w:ascii="宋体" w:hAnsi="宋体" w:cs="宋体"/>
          <w:sz w:val="24"/>
        </w:rPr>
        <w:t>3.《信息系统安全等级保护测评报告》（两个系统各一份）；</w:t>
      </w:r>
    </w:p>
    <w:p w14:paraId="708231CA">
      <w:pPr>
        <w:spacing w:line="480" w:lineRule="exact"/>
        <w:ind w:firstLine="480" w:firstLineChars="200"/>
        <w:rPr>
          <w:rFonts w:ascii="宋体" w:hAnsi="宋体" w:cs="宋体"/>
          <w:sz w:val="24"/>
        </w:rPr>
      </w:pPr>
      <w:r>
        <w:rPr>
          <w:rFonts w:hint="eastAsia" w:ascii="宋体" w:hAnsi="宋体" w:cs="宋体"/>
          <w:sz w:val="24"/>
        </w:rPr>
        <w:t>4.《信息系统整改建议报告》（两个系统各一份）；</w:t>
      </w:r>
    </w:p>
    <w:p w14:paraId="1512DC80">
      <w:pPr>
        <w:spacing w:line="480" w:lineRule="exact"/>
        <w:ind w:firstLine="480" w:firstLineChars="200"/>
        <w:rPr>
          <w:rFonts w:ascii="宋体" w:hAnsi="宋体" w:cs="宋体"/>
          <w:sz w:val="24"/>
        </w:rPr>
      </w:pPr>
      <w:r>
        <w:rPr>
          <w:rFonts w:hint="eastAsia" w:ascii="宋体" w:hAnsi="宋体" w:cs="宋体"/>
          <w:sz w:val="24"/>
        </w:rPr>
        <w:t>5.《信息系统安全等级保护复测报告》（两个系统各一份）；</w:t>
      </w:r>
    </w:p>
    <w:p w14:paraId="1F29DBB8">
      <w:pPr>
        <w:spacing w:line="480" w:lineRule="exact"/>
        <w:ind w:firstLine="480" w:firstLineChars="200"/>
        <w:rPr>
          <w:rFonts w:ascii="宋体" w:hAnsi="宋体" w:cs="宋体"/>
          <w:sz w:val="24"/>
        </w:rPr>
      </w:pPr>
      <w:r>
        <w:rPr>
          <w:rFonts w:hint="eastAsia" w:ascii="宋体" w:hAnsi="宋体" w:cs="宋体"/>
          <w:sz w:val="24"/>
        </w:rPr>
        <w:t>6.《网络安全应急演练实施方案》；</w:t>
      </w:r>
    </w:p>
    <w:p w14:paraId="6233E25D">
      <w:pPr>
        <w:spacing w:line="480" w:lineRule="exact"/>
        <w:ind w:firstLine="480" w:firstLineChars="200"/>
        <w:rPr>
          <w:rFonts w:ascii="宋体" w:hAnsi="宋体" w:cs="宋体"/>
          <w:sz w:val="24"/>
        </w:rPr>
      </w:pPr>
      <w:r>
        <w:rPr>
          <w:rFonts w:hint="eastAsia" w:ascii="宋体" w:hAnsi="宋体" w:cs="宋体"/>
          <w:sz w:val="24"/>
        </w:rPr>
        <w:t>7.《网络安全应急演练应急预案》；</w:t>
      </w:r>
    </w:p>
    <w:p w14:paraId="6678DC52">
      <w:pPr>
        <w:spacing w:line="480" w:lineRule="exact"/>
        <w:ind w:firstLine="480" w:firstLineChars="200"/>
        <w:rPr>
          <w:rFonts w:ascii="宋体" w:hAnsi="宋体" w:cs="宋体"/>
          <w:sz w:val="24"/>
        </w:rPr>
      </w:pPr>
      <w:r>
        <w:rPr>
          <w:rFonts w:hint="eastAsia" w:ascii="宋体" w:hAnsi="宋体" w:cs="宋体"/>
          <w:sz w:val="24"/>
        </w:rPr>
        <w:t>8.《网络安全应急演练总结报告》；</w:t>
      </w:r>
    </w:p>
    <w:p w14:paraId="1A626A79">
      <w:pPr>
        <w:spacing w:line="480" w:lineRule="exact"/>
        <w:ind w:firstLine="480" w:firstLineChars="200"/>
        <w:rPr>
          <w:rFonts w:ascii="宋体" w:hAnsi="宋体" w:cs="宋体"/>
          <w:sz w:val="24"/>
        </w:rPr>
      </w:pPr>
      <w:r>
        <w:rPr>
          <w:rFonts w:hint="eastAsia" w:ascii="宋体" w:hAnsi="宋体" w:cs="宋体"/>
          <w:sz w:val="24"/>
        </w:rPr>
        <w:t>9.对服务期内出现的网络安全事件或问题提供溯源和解决；</w:t>
      </w:r>
    </w:p>
    <w:p w14:paraId="724A05E9">
      <w:pPr>
        <w:spacing w:line="480" w:lineRule="exact"/>
        <w:ind w:firstLine="480" w:firstLineChars="200"/>
        <w:rPr>
          <w:rFonts w:ascii="宋体" w:hAnsi="宋体" w:cs="宋体"/>
          <w:sz w:val="24"/>
        </w:rPr>
      </w:pPr>
      <w:r>
        <w:rPr>
          <w:rFonts w:hint="eastAsia" w:ascii="宋体" w:hAnsi="宋体" w:cs="宋体"/>
          <w:sz w:val="24"/>
        </w:rPr>
        <w:t>10.服务期内依据采购方需求提供不少于15天的安全驻场服务；</w:t>
      </w:r>
    </w:p>
    <w:p w14:paraId="6D6568B0">
      <w:pPr>
        <w:spacing w:line="480" w:lineRule="exact"/>
        <w:ind w:firstLine="480" w:firstLineChars="200"/>
        <w:rPr>
          <w:rFonts w:ascii="宋体" w:hAnsi="宋体" w:cs="宋体"/>
          <w:sz w:val="24"/>
        </w:rPr>
      </w:pPr>
      <w:r>
        <w:rPr>
          <w:rFonts w:hint="eastAsia" w:ascii="宋体" w:hAnsi="宋体" w:cs="宋体"/>
          <w:sz w:val="24"/>
        </w:rPr>
        <w:t>11.提供不少于2次全局范围关于网络安全的培训内容。</w:t>
      </w:r>
    </w:p>
    <w:p w14:paraId="49F878D9">
      <w:pPr>
        <w:spacing w:line="480" w:lineRule="exact"/>
        <w:ind w:firstLine="482" w:firstLineChars="200"/>
        <w:jc w:val="left"/>
        <w:rPr>
          <w:rFonts w:ascii="宋体" w:hAnsi="宋体" w:cs="宋体"/>
          <w:b/>
          <w:sz w:val="24"/>
        </w:rPr>
      </w:pPr>
      <w:r>
        <w:rPr>
          <w:rFonts w:hint="eastAsia" w:ascii="宋体" w:hAnsi="宋体" w:cs="宋体"/>
          <w:b/>
          <w:sz w:val="24"/>
        </w:rPr>
        <w:t>（二）服务与售后</w:t>
      </w:r>
    </w:p>
    <w:p w14:paraId="5E1DC4D1">
      <w:pPr>
        <w:spacing w:line="480" w:lineRule="exact"/>
        <w:ind w:firstLine="480" w:firstLineChars="200"/>
        <w:rPr>
          <w:rFonts w:ascii="宋体" w:hAnsi="宋体" w:cs="宋体"/>
          <w:sz w:val="24"/>
        </w:rPr>
      </w:pPr>
      <w:r>
        <w:rPr>
          <w:rFonts w:hint="eastAsia" w:ascii="宋体" w:hAnsi="宋体" w:cs="宋体"/>
          <w:sz w:val="24"/>
        </w:rPr>
        <w:t>为期一年的服务与售后工作中，乙方将向甲方提供包括制度完善与方案编制、应急响应与安全事件处置、配合检查、电话支持、安全咨询、培训等售后安全技术服务。具体服务及时效如下：</w:t>
      </w:r>
    </w:p>
    <w:p w14:paraId="079AEA24">
      <w:pPr>
        <w:spacing w:line="480" w:lineRule="exact"/>
        <w:ind w:firstLine="480" w:firstLineChars="200"/>
        <w:rPr>
          <w:rFonts w:ascii="宋体" w:hAnsi="宋体" w:cs="宋体"/>
          <w:sz w:val="24"/>
        </w:rPr>
      </w:pPr>
      <w:r>
        <w:rPr>
          <w:rFonts w:hint="eastAsia" w:ascii="宋体" w:hAnsi="宋体" w:cs="宋体"/>
          <w:sz w:val="24"/>
        </w:rPr>
        <w:t>1、制度完善与方案编制服务</w:t>
      </w:r>
    </w:p>
    <w:p w14:paraId="6620763B">
      <w:pPr>
        <w:spacing w:line="480" w:lineRule="exact"/>
        <w:ind w:firstLine="480" w:firstLineChars="200"/>
        <w:rPr>
          <w:rFonts w:ascii="宋体" w:hAnsi="宋体" w:cs="宋体"/>
          <w:sz w:val="24"/>
        </w:rPr>
      </w:pPr>
      <w:r>
        <w:rPr>
          <w:rFonts w:hint="eastAsia" w:ascii="宋体" w:hAnsi="宋体" w:cs="宋体"/>
          <w:sz w:val="24"/>
        </w:rPr>
        <w:t>乙方提供制度完善与方案编制等服务。服务时效5X8小时；按需提供现场服务，得到通知后4小时内到现场。</w:t>
      </w:r>
    </w:p>
    <w:p w14:paraId="1BE12E70">
      <w:pPr>
        <w:spacing w:line="480" w:lineRule="exact"/>
        <w:ind w:firstLine="480" w:firstLineChars="200"/>
        <w:rPr>
          <w:rFonts w:ascii="宋体" w:hAnsi="宋体" w:cs="宋体"/>
          <w:sz w:val="24"/>
        </w:rPr>
      </w:pPr>
      <w:r>
        <w:rPr>
          <w:rFonts w:hint="eastAsia" w:ascii="宋体" w:hAnsi="宋体" w:cs="宋体"/>
          <w:sz w:val="24"/>
        </w:rPr>
        <w:t>2、 应急响应与安全事件处置服务</w:t>
      </w:r>
    </w:p>
    <w:p w14:paraId="165C8D56">
      <w:pPr>
        <w:spacing w:line="480" w:lineRule="exact"/>
        <w:ind w:firstLine="480" w:firstLineChars="200"/>
        <w:rPr>
          <w:rFonts w:ascii="宋体" w:hAnsi="宋体" w:cs="宋体"/>
          <w:sz w:val="24"/>
        </w:rPr>
      </w:pPr>
      <w:r>
        <w:rPr>
          <w:rFonts w:hint="eastAsia" w:ascii="宋体" w:hAnsi="宋体" w:cs="宋体"/>
          <w:sz w:val="24"/>
        </w:rPr>
        <w:t>乙方提供7X24的常规应急响应及灾难恢复专家服务。在接到甲方故障报修电话10分钟内响应。对甲方信息网络应用系统突发的信息安全事件进行响应、处理、恢复、取证、跟踪、事后分析的方法及过程。对于网络安全事件处置按需提供现场服务，得到通知后1小时到现场。</w:t>
      </w:r>
    </w:p>
    <w:p w14:paraId="222E7B6A">
      <w:pPr>
        <w:spacing w:line="480" w:lineRule="exact"/>
        <w:ind w:firstLine="480" w:firstLineChars="200"/>
        <w:rPr>
          <w:rFonts w:ascii="宋体" w:hAnsi="宋体" w:cs="宋体"/>
          <w:sz w:val="24"/>
        </w:rPr>
      </w:pPr>
      <w:r>
        <w:rPr>
          <w:rFonts w:hint="eastAsia" w:ascii="宋体" w:hAnsi="宋体" w:cs="宋体"/>
          <w:sz w:val="24"/>
        </w:rPr>
        <w:t>3、 配合检查服务</w:t>
      </w:r>
    </w:p>
    <w:p w14:paraId="6E52FA14">
      <w:pPr>
        <w:spacing w:line="480" w:lineRule="exact"/>
        <w:ind w:firstLine="480" w:firstLineChars="200"/>
        <w:rPr>
          <w:rFonts w:ascii="宋体" w:hAnsi="宋体" w:cs="宋体"/>
          <w:sz w:val="24"/>
        </w:rPr>
      </w:pPr>
      <w:r>
        <w:rPr>
          <w:rFonts w:hint="eastAsia" w:ascii="宋体" w:hAnsi="宋体" w:cs="宋体"/>
          <w:sz w:val="24"/>
        </w:rPr>
        <w:t>乙方免费协助甲方响应公安机关、单位内部以及第三方机构针对信息系统安全等级保护工作的检查工作。服务内容包括协助甲方准备、完善各类资料文档，配合检查过程中的答疑及技术支持及其他现场检查的响应。</w:t>
      </w:r>
    </w:p>
    <w:p w14:paraId="199DB981">
      <w:pPr>
        <w:spacing w:line="480" w:lineRule="exact"/>
        <w:ind w:firstLine="480" w:firstLineChars="200"/>
        <w:rPr>
          <w:rFonts w:ascii="宋体" w:hAnsi="宋体" w:cs="宋体"/>
          <w:sz w:val="24"/>
        </w:rPr>
      </w:pPr>
      <w:r>
        <w:rPr>
          <w:rFonts w:hint="eastAsia" w:ascii="宋体" w:hAnsi="宋体" w:cs="宋体"/>
          <w:sz w:val="24"/>
        </w:rPr>
        <w:t>4、电话支持服务</w:t>
      </w:r>
    </w:p>
    <w:p w14:paraId="11CA7DA5">
      <w:pPr>
        <w:spacing w:line="480" w:lineRule="exact"/>
        <w:ind w:firstLine="480" w:firstLineChars="200"/>
        <w:rPr>
          <w:rFonts w:ascii="宋体" w:hAnsi="宋体" w:cs="宋体"/>
          <w:sz w:val="24"/>
        </w:rPr>
      </w:pPr>
      <w:r>
        <w:rPr>
          <w:rFonts w:hint="eastAsia" w:ascii="宋体" w:hAnsi="宋体" w:cs="宋体"/>
          <w:sz w:val="24"/>
        </w:rPr>
        <w:t>每周7天/每天24小时不间断的电话支持服务，解答甲方在使用过程中遇到的问题，及时提出解决问题的建议和操作方法。电话响应时间不小于10分钟，根据不同响应需求到达现场，解决问题不超过24小时。</w:t>
      </w:r>
    </w:p>
    <w:p w14:paraId="2629ABF1">
      <w:pPr>
        <w:spacing w:line="480" w:lineRule="exact"/>
        <w:ind w:firstLine="480" w:firstLineChars="200"/>
        <w:jc w:val="left"/>
        <w:rPr>
          <w:rFonts w:ascii="宋体" w:hAnsi="宋体" w:cs="宋体"/>
          <w:sz w:val="24"/>
        </w:rPr>
      </w:pPr>
      <w:r>
        <w:rPr>
          <w:rFonts w:hint="eastAsia" w:ascii="宋体" w:hAnsi="宋体" w:cs="宋体"/>
          <w:sz w:val="24"/>
        </w:rPr>
        <w:t>5、安全咨询服务</w:t>
      </w:r>
    </w:p>
    <w:p w14:paraId="0722EBFC">
      <w:pPr>
        <w:spacing w:line="480" w:lineRule="exact"/>
        <w:ind w:firstLine="480" w:firstLineChars="200"/>
        <w:rPr>
          <w:rFonts w:ascii="宋体" w:hAnsi="宋体" w:cs="宋体"/>
          <w:b/>
          <w:sz w:val="24"/>
        </w:rPr>
      </w:pPr>
      <w:r>
        <w:rPr>
          <w:rFonts w:hint="eastAsia" w:ascii="宋体" w:hAnsi="宋体" w:cs="宋体"/>
          <w:sz w:val="24"/>
        </w:rPr>
        <w:t>乙方为甲方免费提供一年技术咨询服务，包括信息系统整改建设咨询服务以及其他相关安全咨询服务，一旦接到甲方的服务请求，技术服务工程师将立即开始提供服务，帮助客户解决信息安全相关技术问题，全面配合甲方做好业务系统全保障工作。</w:t>
      </w:r>
    </w:p>
    <w:p w14:paraId="0A165B18">
      <w:pPr>
        <w:spacing w:line="480" w:lineRule="exact"/>
        <w:ind w:firstLine="480" w:firstLineChars="200"/>
        <w:jc w:val="left"/>
        <w:rPr>
          <w:rFonts w:ascii="宋体" w:hAnsi="宋体" w:cs="宋体"/>
          <w:sz w:val="24"/>
        </w:rPr>
      </w:pPr>
      <w:r>
        <w:rPr>
          <w:rFonts w:hint="eastAsia" w:ascii="宋体" w:hAnsi="宋体" w:cs="宋体"/>
          <w:sz w:val="24"/>
        </w:rPr>
        <w:t>6 、培训服务</w:t>
      </w:r>
    </w:p>
    <w:p w14:paraId="6905A3D9">
      <w:pPr>
        <w:spacing w:line="480" w:lineRule="exact"/>
        <w:ind w:firstLine="480" w:firstLineChars="200"/>
        <w:rPr>
          <w:rFonts w:ascii="宋体" w:hAnsi="宋体" w:cs="宋体"/>
          <w:sz w:val="24"/>
        </w:rPr>
      </w:pPr>
      <w:r>
        <w:rPr>
          <w:rFonts w:hint="eastAsia" w:ascii="宋体" w:hAnsi="宋体" w:cs="宋体"/>
          <w:sz w:val="24"/>
        </w:rPr>
        <w:t>乙方为甲方安排有经验的专家提供不少于两次的安全技术培训服务，采用线下专项培训的方式，针对全局范围内终端用户、管理部门有关法律法规、业务部门技术理论和实践等开展安全意识及安全技术培训服务。</w:t>
      </w:r>
    </w:p>
    <w:p w14:paraId="14F59DAA">
      <w:pPr>
        <w:spacing w:line="480" w:lineRule="exact"/>
        <w:ind w:firstLine="480" w:firstLineChars="200"/>
        <w:jc w:val="left"/>
        <w:rPr>
          <w:rFonts w:ascii="宋体" w:hAnsi="宋体" w:cs="宋体"/>
          <w:sz w:val="24"/>
        </w:rPr>
      </w:pPr>
      <w:r>
        <w:rPr>
          <w:rFonts w:hint="eastAsia" w:ascii="宋体" w:hAnsi="宋体" w:cs="宋体"/>
          <w:sz w:val="24"/>
        </w:rPr>
        <w:t>7、安全应急模拟演练服务</w:t>
      </w:r>
    </w:p>
    <w:p w14:paraId="6688D610">
      <w:pPr>
        <w:spacing w:line="480" w:lineRule="exact"/>
        <w:ind w:firstLine="480" w:firstLineChars="200"/>
        <w:rPr>
          <w:rFonts w:ascii="宋体" w:hAnsi="宋体" w:cs="宋体"/>
          <w:sz w:val="24"/>
        </w:rPr>
      </w:pPr>
      <w:r>
        <w:rPr>
          <w:rFonts w:hint="eastAsia" w:ascii="宋体" w:hAnsi="宋体" w:cs="宋体"/>
          <w:sz w:val="24"/>
        </w:rPr>
        <w:t>乙方在接到甲方演练通知后，3个工作日内出具演练实施方案及应急预案，一周内完成安全应急演练，演练中须保障甲方各类系统正常运行，完成演练后3个工作日提供演练总结报告。</w:t>
      </w:r>
    </w:p>
    <w:p w14:paraId="6BE7C592">
      <w:pPr>
        <w:spacing w:line="480" w:lineRule="exact"/>
        <w:ind w:firstLine="480" w:firstLineChars="200"/>
        <w:jc w:val="left"/>
        <w:rPr>
          <w:rFonts w:ascii="宋体" w:hAnsi="宋体" w:cs="宋体"/>
          <w:sz w:val="24"/>
        </w:rPr>
      </w:pPr>
      <w:r>
        <w:rPr>
          <w:rFonts w:hint="eastAsia" w:ascii="宋体" w:hAnsi="宋体" w:cs="宋体"/>
          <w:sz w:val="24"/>
        </w:rPr>
        <w:t>8、安全驻场服务</w:t>
      </w:r>
    </w:p>
    <w:p w14:paraId="23142C26">
      <w:pPr>
        <w:spacing w:line="480" w:lineRule="exact"/>
        <w:ind w:firstLine="480" w:firstLineChars="200"/>
        <w:rPr>
          <w:rFonts w:ascii="宋体" w:hAnsi="宋体" w:cs="宋体"/>
          <w:sz w:val="24"/>
        </w:rPr>
      </w:pPr>
      <w:r>
        <w:rPr>
          <w:rFonts w:hint="eastAsia" w:ascii="宋体" w:hAnsi="宋体" w:cs="宋体"/>
          <w:sz w:val="24"/>
        </w:rPr>
        <w:t>按照甲方通知时间，乙方为甲方安排有一年以上安全驻场、安全事件处置、问题追溯等经验的工程师提供不少于15天的安全驻场服务，每天工作时长不少于12小时，驻场期间实时开展甲方网络安全监控，对出现的问题及时处置，每日提交驻场工作日志，内容包含当天网络安全整体态势、当日遭受攻击的数量、被攻击的目标、攻击类别、处置情况等。</w:t>
      </w:r>
    </w:p>
    <w:p w14:paraId="52576C11">
      <w:pPr>
        <w:spacing w:line="480" w:lineRule="exact"/>
        <w:jc w:val="left"/>
        <w:rPr>
          <w:rFonts w:ascii="宋体" w:hAnsi="宋体" w:cs="宋体"/>
          <w:b/>
          <w:sz w:val="24"/>
        </w:rPr>
      </w:pPr>
      <w:r>
        <w:rPr>
          <w:rFonts w:hint="eastAsia" w:ascii="宋体" w:hAnsi="宋体" w:cs="宋体"/>
          <w:b/>
          <w:sz w:val="24"/>
        </w:rPr>
        <w:t>七、违约责任</w:t>
      </w:r>
    </w:p>
    <w:p w14:paraId="7B40CF5C">
      <w:pPr>
        <w:spacing w:line="480" w:lineRule="exact"/>
        <w:ind w:firstLine="480" w:firstLineChars="200"/>
        <w:rPr>
          <w:rFonts w:ascii="宋体" w:hAnsi="宋体" w:cs="宋体"/>
          <w:sz w:val="24"/>
        </w:rPr>
      </w:pPr>
      <w:r>
        <w:rPr>
          <w:rFonts w:hint="eastAsia" w:ascii="宋体" w:hAnsi="宋体" w:cs="宋体"/>
          <w:sz w:val="24"/>
        </w:rPr>
        <w:t>（一）按《中华人民共和国民法典》中的相关条款执行。</w:t>
      </w:r>
    </w:p>
    <w:p w14:paraId="18DB4BD2">
      <w:pPr>
        <w:spacing w:line="480" w:lineRule="exact"/>
        <w:ind w:firstLine="480" w:firstLineChars="200"/>
        <w:rPr>
          <w:rFonts w:ascii="宋体" w:hAnsi="宋体" w:cs="宋体"/>
          <w:sz w:val="24"/>
        </w:rPr>
      </w:pPr>
      <w:r>
        <w:rPr>
          <w:rFonts w:hint="eastAsia" w:ascii="宋体" w:hAnsi="宋体" w:cs="宋体"/>
          <w:sz w:val="24"/>
        </w:rPr>
        <w:t>（二）乙方未按期完成技术服务工作的，每逾期一周，应向甲方支付相当于技术服务报酬0.2%的违约金，逾期超过30日的，甲方有权单方解除合同，乙方应当支付相当于合同金额5%的违约金。</w:t>
      </w:r>
    </w:p>
    <w:p w14:paraId="28CF343C">
      <w:pPr>
        <w:spacing w:line="480" w:lineRule="exact"/>
        <w:ind w:firstLine="480" w:firstLineChars="200"/>
        <w:rPr>
          <w:rFonts w:ascii="宋体" w:hAnsi="宋体" w:cs="宋体"/>
          <w:sz w:val="24"/>
        </w:rPr>
      </w:pPr>
      <w:r>
        <w:rPr>
          <w:rFonts w:hint="eastAsia" w:ascii="宋体" w:hAnsi="宋体" w:cs="宋体"/>
          <w:sz w:val="24"/>
        </w:rPr>
        <w:t>（三）乙方未按合同约定履行合同义务，经甲方催告仍未纠正的，甲方有权单方解除合同。由于整改纠正造成进度延期交付的视同逾期交付。</w:t>
      </w:r>
    </w:p>
    <w:p w14:paraId="71E945FE">
      <w:pPr>
        <w:spacing w:line="480" w:lineRule="exact"/>
        <w:ind w:firstLine="480" w:firstLineChars="200"/>
        <w:rPr>
          <w:rFonts w:ascii="宋体" w:hAnsi="宋体" w:cs="宋体"/>
          <w:sz w:val="24"/>
        </w:rPr>
      </w:pPr>
      <w:r>
        <w:rPr>
          <w:rFonts w:hint="eastAsia" w:ascii="宋体" w:hAnsi="宋体" w:cs="宋体"/>
          <w:sz w:val="24"/>
        </w:rPr>
        <w:t>（四）乙方提供的技术服务不符合本合同约定的验收标准，未通过甲方验收的，乙方应退还甲方已支付的全部款项，并向甲方支付相当于技术服务报酬10%的违约金。</w:t>
      </w:r>
    </w:p>
    <w:p w14:paraId="5FB2EB94">
      <w:pPr>
        <w:spacing w:line="480" w:lineRule="exact"/>
        <w:ind w:firstLine="480" w:firstLineChars="200"/>
        <w:rPr>
          <w:rFonts w:ascii="宋体" w:hAnsi="宋体" w:cs="宋体"/>
          <w:sz w:val="24"/>
        </w:rPr>
      </w:pPr>
      <w:r>
        <w:rPr>
          <w:rFonts w:hint="eastAsia" w:ascii="宋体" w:hAnsi="宋体" w:cs="宋体"/>
          <w:sz w:val="24"/>
        </w:rPr>
        <w:t>（五）乙方违反合同约定的保密义务，应承担一切法律责任并向甲方支付相当于技术服务报酬5%的违约金。</w:t>
      </w:r>
    </w:p>
    <w:p w14:paraId="5B89E47F">
      <w:pPr>
        <w:spacing w:line="480" w:lineRule="exact"/>
        <w:ind w:firstLine="480" w:firstLineChars="200"/>
        <w:rPr>
          <w:rFonts w:ascii="宋体" w:hAnsi="宋体" w:cs="宋体"/>
          <w:sz w:val="24"/>
        </w:rPr>
      </w:pPr>
      <w:r>
        <w:rPr>
          <w:rFonts w:hint="eastAsia" w:ascii="宋体" w:hAnsi="宋体" w:cs="宋体"/>
          <w:sz w:val="24"/>
        </w:rPr>
        <w:t>（六）合同因乙方原因解除的，甲方有权要求乙方退还甲方已支付的全部款项，且乙方应向甲方支付相当于技术服务报酬10%的违约金。</w:t>
      </w:r>
    </w:p>
    <w:p w14:paraId="05904740">
      <w:pPr>
        <w:spacing w:line="480" w:lineRule="exact"/>
        <w:ind w:firstLine="480" w:firstLineChars="200"/>
        <w:rPr>
          <w:rFonts w:ascii="宋体" w:hAnsi="宋体" w:cs="宋体"/>
          <w:sz w:val="24"/>
        </w:rPr>
      </w:pPr>
      <w:r>
        <w:rPr>
          <w:rFonts w:hint="eastAsia" w:ascii="宋体" w:hAnsi="宋体" w:cs="宋体"/>
          <w:sz w:val="24"/>
        </w:rPr>
        <w:t>（七）如有纠纷，双方友好协商解决，协商不成时可诉讼到甲方所在地人民法院解决。</w:t>
      </w:r>
    </w:p>
    <w:p w14:paraId="33F76866">
      <w:pPr>
        <w:spacing w:line="480" w:lineRule="exact"/>
        <w:jc w:val="left"/>
        <w:rPr>
          <w:rFonts w:ascii="宋体" w:hAnsi="宋体"/>
          <w:b/>
          <w:sz w:val="24"/>
        </w:rPr>
      </w:pPr>
      <w:r>
        <w:rPr>
          <w:rFonts w:hint="eastAsia" w:ascii="宋体" w:hAnsi="宋体"/>
          <w:b/>
          <w:sz w:val="24"/>
        </w:rPr>
        <w:t>八、验收</w:t>
      </w:r>
    </w:p>
    <w:p w14:paraId="5665F008">
      <w:pPr>
        <w:spacing w:line="480" w:lineRule="exact"/>
        <w:ind w:firstLine="480" w:firstLineChars="200"/>
        <w:jc w:val="left"/>
        <w:rPr>
          <w:rFonts w:ascii="宋体" w:hAnsi="宋体"/>
          <w:sz w:val="24"/>
        </w:rPr>
      </w:pPr>
      <w:r>
        <w:rPr>
          <w:rFonts w:hint="eastAsia" w:ascii="宋体" w:hAnsi="宋体"/>
          <w:sz w:val="24"/>
        </w:rPr>
        <w:t>乙方完成系统的等级保护测评工作、安全演练工作、驻场工作、培训工作，并提交第六条中的相关技术资料，甲方通过审核后即为完成验收。</w:t>
      </w:r>
    </w:p>
    <w:p w14:paraId="37F82A2E">
      <w:pPr>
        <w:pStyle w:val="5"/>
        <w:rPr>
          <w:b/>
        </w:rPr>
      </w:pPr>
      <w:r>
        <w:rPr>
          <w:rFonts w:hint="eastAsia"/>
          <w:b/>
        </w:rPr>
        <w:t>九、保密责任与义务</w:t>
      </w:r>
    </w:p>
    <w:p w14:paraId="7BD4A86C">
      <w:pPr>
        <w:spacing w:line="480" w:lineRule="exact"/>
        <w:ind w:firstLine="480" w:firstLineChars="200"/>
        <w:rPr>
          <w:rFonts w:ascii="宋体" w:hAnsi="宋体" w:cs="宋体"/>
          <w:sz w:val="24"/>
        </w:rPr>
      </w:pPr>
      <w:r>
        <w:rPr>
          <w:rFonts w:hint="eastAsia" w:ascii="宋体" w:hAnsi="宋体" w:cs="宋体"/>
          <w:sz w:val="24"/>
        </w:rPr>
        <w:t>（一）乙方工作人员必须按照甲方对外来工作人员的有关保密管理规定，进行项目的各项活动，在项目活动中保证处理、存储、传输甲方秘密的安全。</w:t>
      </w:r>
    </w:p>
    <w:p w14:paraId="755E05BB">
      <w:pPr>
        <w:spacing w:line="480" w:lineRule="exact"/>
        <w:ind w:firstLine="480" w:firstLineChars="200"/>
        <w:rPr>
          <w:rFonts w:ascii="宋体" w:hAnsi="宋体" w:cs="宋体"/>
          <w:sz w:val="24"/>
        </w:rPr>
      </w:pPr>
      <w:r>
        <w:rPr>
          <w:rFonts w:hint="eastAsia" w:ascii="宋体" w:hAnsi="宋体" w:cs="宋体"/>
          <w:sz w:val="24"/>
        </w:rPr>
        <w:t>（二）乙方对甲方提供的图纸资料、技术文件等涉及工作秘密和商业秘密的载体都必须进行有效控制，实行专人管理；不得进行非授权操作，不得复制和泄露任何敏感信息。未经甲方书面许可，不得向第三方泄露。</w:t>
      </w:r>
    </w:p>
    <w:p w14:paraId="4065F723">
      <w:pPr>
        <w:spacing w:line="480" w:lineRule="exact"/>
        <w:ind w:firstLine="480" w:firstLineChars="200"/>
        <w:rPr>
          <w:rFonts w:ascii="宋体" w:hAnsi="宋体" w:cs="宋体"/>
          <w:sz w:val="24"/>
        </w:rPr>
      </w:pPr>
      <w:r>
        <w:rPr>
          <w:rFonts w:hint="eastAsia" w:ascii="宋体" w:hAnsi="宋体" w:cs="宋体"/>
          <w:sz w:val="24"/>
        </w:rPr>
        <w:t>（三）对于涉及甲方秘密的各种形式的交流，双方均应注意保密。乙方应接受甲方的保密管理。</w:t>
      </w:r>
    </w:p>
    <w:p w14:paraId="4B1942A1">
      <w:pPr>
        <w:spacing w:line="480" w:lineRule="exact"/>
        <w:ind w:firstLine="480" w:firstLineChars="200"/>
        <w:rPr>
          <w:rFonts w:ascii="宋体" w:hAnsi="宋体" w:cs="宋体"/>
          <w:sz w:val="24"/>
        </w:rPr>
      </w:pPr>
      <w:r>
        <w:rPr>
          <w:rFonts w:hint="eastAsia" w:ascii="宋体" w:hAnsi="宋体" w:cs="宋体"/>
          <w:sz w:val="24"/>
        </w:rPr>
        <w:t>（四）乙方应甄选政治可靠、思想进步、作风正派、技术合格的人员承担甲方项目的建设、维护工作，并保持这些人员的相对稳定，人员名单见本协议附件。如果需要变更项目参加人员，需经甲方的书面同意。</w:t>
      </w:r>
    </w:p>
    <w:p w14:paraId="7A3AF267">
      <w:pPr>
        <w:spacing w:line="480" w:lineRule="exact"/>
        <w:ind w:firstLine="480" w:firstLineChars="200"/>
        <w:rPr>
          <w:rFonts w:ascii="宋体" w:hAnsi="宋体" w:cs="宋体"/>
          <w:sz w:val="24"/>
        </w:rPr>
      </w:pPr>
      <w:r>
        <w:rPr>
          <w:rFonts w:hint="eastAsia" w:ascii="宋体" w:hAnsi="宋体" w:cs="宋体"/>
          <w:sz w:val="24"/>
        </w:rPr>
        <w:t>（五）在乙方人员上岗前，乙方应对项目参加人员进行上岗前的安全培训，甲乙方均有责任对项目人员对安全管理要求的执行情况进行定期或不定期的检查。</w:t>
      </w:r>
    </w:p>
    <w:p w14:paraId="76F0FC7A">
      <w:pPr>
        <w:spacing w:line="480" w:lineRule="exact"/>
        <w:ind w:firstLine="480" w:firstLineChars="200"/>
        <w:rPr>
          <w:rFonts w:ascii="宋体" w:hAnsi="宋体" w:cs="宋体"/>
          <w:sz w:val="24"/>
        </w:rPr>
      </w:pPr>
      <w:r>
        <w:rPr>
          <w:rFonts w:hint="eastAsia" w:ascii="宋体" w:hAnsi="宋体" w:cs="宋体"/>
          <w:sz w:val="24"/>
        </w:rPr>
        <w:t>（六）乙方应确保涉及甲方秘密的文件、资料不因乙方员工离岗、离职而造成泄露。</w:t>
      </w:r>
    </w:p>
    <w:p w14:paraId="5944B974">
      <w:pPr>
        <w:spacing w:line="480" w:lineRule="exact"/>
        <w:ind w:firstLine="480" w:firstLineChars="200"/>
        <w:rPr>
          <w:rFonts w:ascii="宋体" w:hAnsi="宋体" w:cs="宋体"/>
          <w:sz w:val="24"/>
        </w:rPr>
      </w:pPr>
      <w:r>
        <w:rPr>
          <w:rFonts w:hint="eastAsia" w:ascii="宋体" w:hAnsi="宋体" w:cs="宋体"/>
          <w:sz w:val="24"/>
        </w:rPr>
        <w:t>（七）乙方在完成项目建设并通过验收后，须将甲方的全部项目文件、资料退还甲方，并履行相关手续。</w:t>
      </w:r>
    </w:p>
    <w:p w14:paraId="56946683">
      <w:pPr>
        <w:spacing w:line="480" w:lineRule="exact"/>
        <w:rPr>
          <w:rFonts w:ascii="宋体" w:hAnsi="宋体"/>
          <w:b/>
          <w:sz w:val="24"/>
        </w:rPr>
      </w:pPr>
      <w:r>
        <w:rPr>
          <w:rFonts w:hint="eastAsia" w:ascii="宋体" w:hAnsi="宋体"/>
          <w:b/>
          <w:sz w:val="24"/>
        </w:rPr>
        <w:t>十、其他事项</w:t>
      </w:r>
    </w:p>
    <w:p w14:paraId="2CB07B36">
      <w:pPr>
        <w:spacing w:line="480" w:lineRule="exact"/>
        <w:ind w:firstLine="480" w:firstLineChars="200"/>
        <w:jc w:val="left"/>
        <w:rPr>
          <w:rFonts w:ascii="宋体" w:hAnsi="宋体"/>
          <w:sz w:val="24"/>
        </w:rPr>
      </w:pPr>
      <w:r>
        <w:rPr>
          <w:rFonts w:hint="eastAsia" w:ascii="宋体" w:hAnsi="宋体"/>
          <w:sz w:val="24"/>
        </w:rPr>
        <w:t>（一）采购人在合同的履行期间以及履行期后，可以随时检查项目的执行情况，对采购标准、采购内容进行调查核实，并对发现的问题进行处理。</w:t>
      </w:r>
    </w:p>
    <w:p w14:paraId="1BDD9FB4">
      <w:pPr>
        <w:spacing w:line="480" w:lineRule="exact"/>
        <w:ind w:firstLine="480" w:firstLineChars="200"/>
        <w:jc w:val="left"/>
        <w:rPr>
          <w:rFonts w:ascii="宋体" w:hAnsi="宋体"/>
          <w:sz w:val="24"/>
        </w:rPr>
      </w:pPr>
      <w:r>
        <w:rPr>
          <w:rFonts w:hint="eastAsia" w:ascii="宋体" w:hAnsi="宋体"/>
          <w:sz w:val="24"/>
        </w:rPr>
        <w:t>（二）本合同一式六份，甲方执三份，乙方执二份，采购代理机构执一份，甲乙双方签字盖章后生效。</w:t>
      </w:r>
    </w:p>
    <w:p w14:paraId="711CD774">
      <w:pPr>
        <w:spacing w:line="480" w:lineRule="exact"/>
        <w:ind w:firstLine="480" w:firstLineChars="200"/>
        <w:jc w:val="left"/>
        <w:rPr>
          <w:rFonts w:ascii="宋体" w:hAnsi="宋体"/>
          <w:sz w:val="24"/>
        </w:rPr>
      </w:pPr>
      <w:r>
        <w:rPr>
          <w:rFonts w:hint="eastAsia" w:ascii="宋体" w:hAnsi="宋体"/>
          <w:sz w:val="24"/>
        </w:rPr>
        <w:t>（三）招标</w:t>
      </w:r>
      <w:r>
        <w:rPr>
          <w:rFonts w:hint="eastAsia" w:ascii="宋体" w:hAnsi="宋体"/>
          <w:bCs/>
          <w:sz w:val="24"/>
        </w:rPr>
        <w:t>文件、投标文件也是合同的组成部分，合同中未约定的以招标文件、投标文件为准。</w:t>
      </w:r>
    </w:p>
    <w:p w14:paraId="3A126F02">
      <w:pPr>
        <w:spacing w:line="480" w:lineRule="exact"/>
        <w:ind w:firstLine="600" w:firstLineChars="250"/>
        <w:jc w:val="left"/>
        <w:rPr>
          <w:rFonts w:ascii="宋体" w:hAnsi="宋体"/>
          <w:sz w:val="24"/>
        </w:rPr>
      </w:pPr>
      <w:r>
        <w:rPr>
          <w:rFonts w:hint="eastAsia" w:ascii="宋体" w:hAnsi="宋体"/>
          <w:sz w:val="24"/>
        </w:rPr>
        <w:t xml:space="preserve">  </w:t>
      </w:r>
    </w:p>
    <w:p w14:paraId="7D34D8A6">
      <w:pPr>
        <w:spacing w:line="480" w:lineRule="exact"/>
        <w:jc w:val="left"/>
        <w:rPr>
          <w:rFonts w:ascii="宋体" w:hAnsi="宋体"/>
          <w:sz w:val="24"/>
        </w:rPr>
      </w:pPr>
    </w:p>
    <w:p w14:paraId="13EEC3F4">
      <w:pPr>
        <w:spacing w:line="480" w:lineRule="exact"/>
        <w:jc w:val="left"/>
        <w:rPr>
          <w:rFonts w:ascii="宋体" w:hAnsi="宋体"/>
          <w:sz w:val="24"/>
        </w:rPr>
      </w:pPr>
      <w:r>
        <w:rPr>
          <w:rFonts w:hint="eastAsia" w:ascii="宋体" w:hAnsi="宋体"/>
          <w:sz w:val="24"/>
        </w:rPr>
        <w:t>甲    方                           乙    方</w:t>
      </w:r>
    </w:p>
    <w:p w14:paraId="2E441FFD">
      <w:pPr>
        <w:spacing w:line="480" w:lineRule="exact"/>
        <w:jc w:val="left"/>
        <w:rPr>
          <w:rFonts w:ascii="宋体" w:hAnsi="宋体"/>
          <w:sz w:val="24"/>
        </w:rPr>
      </w:pPr>
      <w:r>
        <w:rPr>
          <w:rFonts w:hint="eastAsia" w:ascii="宋体" w:hAnsi="宋体"/>
          <w:sz w:val="24"/>
        </w:rPr>
        <w:t xml:space="preserve">单位名称：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单位名称： </w:t>
      </w:r>
    </w:p>
    <w:p w14:paraId="4D435E98">
      <w:pPr>
        <w:spacing w:line="480" w:lineRule="exact"/>
        <w:jc w:val="left"/>
        <w:rPr>
          <w:rFonts w:ascii="宋体" w:hAnsi="宋体"/>
          <w:sz w:val="24"/>
        </w:rPr>
      </w:pPr>
      <w:r>
        <w:rPr>
          <w:rFonts w:hint="eastAsia" w:ascii="宋体" w:hAnsi="宋体"/>
          <w:sz w:val="24"/>
        </w:rPr>
        <w:t xml:space="preserve">地   址：  </w:t>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地    址：</w:t>
      </w:r>
    </w:p>
    <w:p w14:paraId="4779C58C">
      <w:pPr>
        <w:spacing w:line="480" w:lineRule="exact"/>
        <w:jc w:val="left"/>
        <w:rPr>
          <w:rFonts w:ascii="宋体" w:hAnsi="宋体"/>
          <w:sz w:val="24"/>
        </w:rPr>
      </w:pPr>
      <w:r>
        <w:rPr>
          <w:rFonts w:hint="eastAsia" w:ascii="宋体" w:hAnsi="宋体"/>
          <w:sz w:val="24"/>
        </w:rPr>
        <w:t xml:space="preserve">法人代表：                         法人代表： </w:t>
      </w:r>
    </w:p>
    <w:p w14:paraId="668BD2DF">
      <w:pPr>
        <w:spacing w:line="480" w:lineRule="exact"/>
        <w:jc w:val="left"/>
        <w:rPr>
          <w:rFonts w:ascii="宋体" w:hAnsi="宋体"/>
          <w:sz w:val="24"/>
        </w:rPr>
      </w:pPr>
      <w:r>
        <w:rPr>
          <w:rFonts w:hint="eastAsia" w:ascii="宋体" w:hAnsi="宋体"/>
          <w:sz w:val="24"/>
        </w:rPr>
        <w:t xml:space="preserve">联系电话：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联系电话： </w:t>
      </w:r>
    </w:p>
    <w:p w14:paraId="41F9059C">
      <w:pPr>
        <w:spacing w:line="480" w:lineRule="exact"/>
        <w:jc w:val="left"/>
        <w:rPr>
          <w:rFonts w:ascii="宋体" w:hAnsi="宋体"/>
          <w:sz w:val="24"/>
        </w:rPr>
      </w:pPr>
      <w:r>
        <w:rPr>
          <w:rFonts w:hint="eastAsia" w:ascii="宋体" w:hAnsi="宋体"/>
          <w:sz w:val="24"/>
        </w:rPr>
        <w:t xml:space="preserve">开 户 行：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开 户 行： </w:t>
      </w:r>
    </w:p>
    <w:p w14:paraId="7751A53D">
      <w:pPr>
        <w:spacing w:line="480" w:lineRule="exact"/>
        <w:jc w:val="left"/>
        <w:rPr>
          <w:rFonts w:ascii="宋体" w:hAnsi="宋体"/>
          <w:sz w:val="24"/>
        </w:rPr>
      </w:pPr>
      <w:r>
        <w:rPr>
          <w:rFonts w:hint="eastAsia" w:ascii="宋体" w:hAnsi="宋体"/>
          <w:sz w:val="24"/>
        </w:rPr>
        <w:t xml:space="preserve">账    号：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账    号：</w:t>
      </w:r>
    </w:p>
    <w:p w14:paraId="064B345C">
      <w:pPr>
        <w:wordWrap w:val="0"/>
        <w:snapToGrid w:val="0"/>
        <w:jc w:val="right"/>
        <w:rPr>
          <w:rFonts w:ascii="宋体" w:hAnsi="宋体"/>
          <w:sz w:val="24"/>
        </w:rPr>
      </w:pPr>
      <w:r>
        <w:rPr>
          <w:rFonts w:hint="eastAsia" w:ascii="宋体" w:hAnsi="宋体"/>
          <w:sz w:val="24"/>
        </w:rPr>
        <w:br w:type="page"/>
      </w:r>
    </w:p>
    <w:p w14:paraId="6264F1CA">
      <w:pPr>
        <w:wordWrap w:val="0"/>
        <w:snapToGrid w:val="0"/>
        <w:jc w:val="right"/>
        <w:rPr>
          <w:rFonts w:ascii="方正小标宋简体" w:hAnsi="方正小标宋简体"/>
          <w:bCs/>
          <w:kern w:val="0"/>
          <w:sz w:val="24"/>
        </w:rPr>
      </w:pPr>
    </w:p>
    <w:p w14:paraId="17F79A4E">
      <w:pPr>
        <w:pStyle w:val="3"/>
        <w:jc w:val="center"/>
        <w:rPr>
          <w:rFonts w:hint="default"/>
          <w:sz w:val="32"/>
          <w:szCs w:val="32"/>
        </w:rPr>
      </w:pPr>
      <w:r>
        <w:rPr>
          <w:sz w:val="32"/>
          <w:szCs w:val="32"/>
        </w:rPr>
        <w:t>合同范本（仅供参考）</w:t>
      </w:r>
    </w:p>
    <w:p w14:paraId="34B7472E">
      <w:pPr>
        <w:wordWrap w:val="0"/>
        <w:snapToGrid w:val="0"/>
        <w:jc w:val="right"/>
        <w:rPr>
          <w:rFonts w:ascii="方正小标宋简体" w:hAnsi="方正小标宋简体"/>
          <w:bCs/>
          <w:color w:val="FF0000"/>
          <w:kern w:val="0"/>
          <w:sz w:val="24"/>
        </w:rPr>
      </w:pPr>
      <w:r>
        <w:rPr>
          <w:rFonts w:ascii="方正小标宋简体" w:hAnsi="方正小标宋简体"/>
          <w:bCs/>
          <w:kern w:val="0"/>
          <w:sz w:val="24"/>
        </w:rPr>
        <w:t xml:space="preserve">合同编号：           </w:t>
      </w:r>
    </w:p>
    <w:p w14:paraId="70E6AF7E">
      <w:pPr>
        <w:wordWrap w:val="0"/>
        <w:snapToGrid w:val="0"/>
        <w:spacing w:line="480" w:lineRule="exact"/>
        <w:jc w:val="right"/>
        <w:rPr>
          <w:rFonts w:ascii="方正小标宋简体" w:hAnsi="方正小标宋简体"/>
          <w:bCs/>
          <w:color w:val="FF0000"/>
          <w:kern w:val="0"/>
          <w:sz w:val="24"/>
        </w:rPr>
      </w:pPr>
      <w:r>
        <w:rPr>
          <w:rFonts w:ascii="方正小标宋简体" w:hAnsi="方正小标宋简体"/>
          <w:bCs/>
          <w:color w:val="FF0000"/>
          <w:kern w:val="0"/>
          <w:sz w:val="24"/>
        </w:rPr>
        <w:t xml:space="preserve">           </w:t>
      </w:r>
    </w:p>
    <w:p w14:paraId="7C52D520">
      <w:pPr>
        <w:snapToGrid w:val="0"/>
        <w:spacing w:line="480" w:lineRule="exact"/>
        <w:rPr>
          <w:rFonts w:ascii="方正小标宋简体" w:hAnsi="方正小标宋简体"/>
          <w:b/>
          <w:color w:val="FF0000"/>
          <w:kern w:val="0"/>
          <w:sz w:val="44"/>
          <w:szCs w:val="44"/>
        </w:rPr>
      </w:pPr>
    </w:p>
    <w:p w14:paraId="67C3A2F1">
      <w:pPr>
        <w:jc w:val="center"/>
        <w:rPr>
          <w:rFonts w:ascii="黑体" w:hAnsi="黑体" w:eastAsia="黑体"/>
          <w:sz w:val="52"/>
          <w:szCs w:val="52"/>
        </w:rPr>
      </w:pPr>
      <w:r>
        <w:rPr>
          <w:rFonts w:hint="eastAsia" w:ascii="黑体" w:hAnsi="黑体" w:eastAsia="黑体"/>
          <w:sz w:val="52"/>
          <w:szCs w:val="52"/>
        </w:rPr>
        <w:t>陕西省巨灾防范工程-等级保护测评及密码应用安全性评估项目</w:t>
      </w:r>
    </w:p>
    <w:p w14:paraId="7DF8F105">
      <w:pPr>
        <w:jc w:val="center"/>
        <w:rPr>
          <w:rFonts w:ascii="黑体" w:hAnsi="黑体" w:eastAsia="黑体"/>
          <w:sz w:val="52"/>
          <w:szCs w:val="52"/>
        </w:rPr>
      </w:pPr>
      <w:r>
        <w:rPr>
          <w:rFonts w:hint="eastAsia" w:ascii="黑体" w:hAnsi="黑体" w:eastAsia="黑体"/>
          <w:sz w:val="52"/>
          <w:szCs w:val="52"/>
        </w:rPr>
        <w:t>技术服务合同（采购包2）</w:t>
      </w:r>
    </w:p>
    <w:p w14:paraId="22EBD319"/>
    <w:p w14:paraId="0D43D9CB">
      <w:pPr>
        <w:rPr>
          <w:rFonts w:ascii="宋体"/>
          <w:color w:val="FF0000"/>
          <w:sz w:val="28"/>
          <w:szCs w:val="28"/>
        </w:rPr>
      </w:pPr>
      <w:r>
        <w:rPr>
          <w:rFonts w:hint="eastAsia" w:ascii="宋体"/>
          <w:color w:val="FF0000"/>
          <w:sz w:val="28"/>
          <w:szCs w:val="28"/>
        </w:rPr>
        <w:t xml:space="preserve"> </w:t>
      </w:r>
    </w:p>
    <w:p w14:paraId="64182F2E">
      <w:pPr>
        <w:rPr>
          <w:rFonts w:ascii="宋体"/>
          <w:color w:val="FF0000"/>
          <w:sz w:val="28"/>
          <w:szCs w:val="28"/>
        </w:rPr>
      </w:pPr>
      <w:r>
        <w:rPr>
          <w:rFonts w:hint="eastAsia" w:ascii="宋体"/>
          <w:color w:val="FF0000"/>
          <w:sz w:val="28"/>
          <w:szCs w:val="28"/>
        </w:rPr>
        <w:t xml:space="preserve"> </w:t>
      </w:r>
    </w:p>
    <w:p w14:paraId="65ED3A7E">
      <w:pPr>
        <w:rPr>
          <w:rFonts w:ascii="宋体"/>
          <w:color w:val="FF0000"/>
          <w:sz w:val="28"/>
          <w:szCs w:val="28"/>
        </w:rPr>
      </w:pPr>
      <w:r>
        <w:rPr>
          <w:rFonts w:hint="eastAsia" w:ascii="宋体"/>
          <w:color w:val="FF0000"/>
          <w:sz w:val="28"/>
          <w:szCs w:val="28"/>
        </w:rPr>
        <w:t xml:space="preserve"> </w:t>
      </w:r>
    </w:p>
    <w:p w14:paraId="18ABBB02">
      <w:pPr>
        <w:rPr>
          <w:rFonts w:ascii="宋体"/>
          <w:color w:val="FF0000"/>
          <w:sz w:val="28"/>
          <w:szCs w:val="28"/>
        </w:rPr>
      </w:pPr>
      <w:r>
        <w:rPr>
          <w:rFonts w:hint="eastAsia" w:ascii="宋体"/>
          <w:color w:val="FF0000"/>
          <w:sz w:val="28"/>
          <w:szCs w:val="28"/>
        </w:rPr>
        <w:t xml:space="preserve"> </w:t>
      </w:r>
    </w:p>
    <w:p w14:paraId="4DB99A69">
      <w:pPr>
        <w:rPr>
          <w:rFonts w:ascii="宋体"/>
          <w:color w:val="FF0000"/>
          <w:sz w:val="28"/>
          <w:szCs w:val="28"/>
        </w:rPr>
      </w:pPr>
      <w:r>
        <w:rPr>
          <w:rFonts w:hint="eastAsia" w:ascii="宋体"/>
          <w:color w:val="FF0000"/>
          <w:sz w:val="28"/>
          <w:szCs w:val="28"/>
        </w:rPr>
        <w:t xml:space="preserve"> </w:t>
      </w:r>
    </w:p>
    <w:p w14:paraId="7AAF11F7">
      <w:pPr>
        <w:rPr>
          <w:rFonts w:ascii="Calibri" w:hAnsi="Calibri"/>
          <w:color w:val="FF0000"/>
          <w:szCs w:val="21"/>
        </w:rPr>
      </w:pPr>
      <w:r>
        <w:rPr>
          <w:color w:val="FF0000"/>
        </w:rPr>
        <w:t xml:space="preserve"> </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57"/>
        <w:gridCol w:w="5597"/>
      </w:tblGrid>
      <w:tr w14:paraId="00468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57" w:type="dxa"/>
            <w:tcBorders>
              <w:top w:val="single" w:color="auto" w:sz="4" w:space="0"/>
              <w:left w:val="single" w:color="auto" w:sz="4" w:space="0"/>
              <w:bottom w:val="single" w:color="auto" w:sz="4" w:space="0"/>
              <w:right w:val="single" w:color="auto" w:sz="4" w:space="0"/>
            </w:tcBorders>
          </w:tcPr>
          <w:p w14:paraId="143D9C03">
            <w:pPr>
              <w:spacing w:line="720" w:lineRule="exact"/>
              <w:jc w:val="right"/>
              <w:rPr>
                <w:rFonts w:ascii="黑体" w:hAnsi="宋体" w:eastAsia="黑体"/>
                <w:b/>
                <w:sz w:val="32"/>
                <w:szCs w:val="32"/>
              </w:rPr>
            </w:pPr>
            <w:r>
              <w:rPr>
                <w:rFonts w:hint="eastAsia" w:ascii="黑体" w:hAnsi="黑体" w:eastAsia="黑体"/>
                <w:b/>
                <w:sz w:val="24"/>
              </w:rPr>
              <w:t>项</w:t>
            </w:r>
            <w:r>
              <w:rPr>
                <w:rFonts w:hint="eastAsia" w:ascii="黑体" w:hAnsi="宋体" w:eastAsia="黑体"/>
                <w:b/>
                <w:sz w:val="24"/>
              </w:rPr>
              <w:t xml:space="preserve">   </w:t>
            </w:r>
            <w:r>
              <w:rPr>
                <w:rFonts w:hint="eastAsia" w:ascii="黑体" w:hAnsi="黑体" w:eastAsia="黑体"/>
                <w:b/>
                <w:sz w:val="24"/>
              </w:rPr>
              <w:t>目</w:t>
            </w:r>
            <w:r>
              <w:rPr>
                <w:rFonts w:hint="eastAsia" w:ascii="黑体" w:hAnsi="宋体" w:eastAsia="黑体"/>
                <w:b/>
                <w:sz w:val="24"/>
              </w:rPr>
              <w:t xml:space="preserve">  </w:t>
            </w:r>
            <w:r>
              <w:rPr>
                <w:rFonts w:hint="eastAsia" w:ascii="黑体" w:hAnsi="黑体" w:eastAsia="黑体"/>
                <w:b/>
                <w:sz w:val="24"/>
              </w:rPr>
              <w:t>名</w:t>
            </w:r>
            <w:r>
              <w:rPr>
                <w:rFonts w:hint="eastAsia" w:ascii="黑体" w:hAnsi="宋体" w:eastAsia="黑体"/>
                <w:b/>
                <w:sz w:val="24"/>
              </w:rPr>
              <w:t xml:space="preserve">  </w:t>
            </w:r>
            <w:r>
              <w:rPr>
                <w:rFonts w:hint="eastAsia" w:ascii="黑体" w:hAnsi="黑体" w:eastAsia="黑体"/>
                <w:b/>
                <w:sz w:val="24"/>
              </w:rPr>
              <w:t>称：</w:t>
            </w:r>
          </w:p>
        </w:tc>
        <w:tc>
          <w:tcPr>
            <w:tcW w:w="5597" w:type="dxa"/>
            <w:tcBorders>
              <w:top w:val="single" w:color="auto" w:sz="4" w:space="0"/>
              <w:left w:val="single" w:color="auto" w:sz="4" w:space="0"/>
              <w:bottom w:val="single" w:color="auto" w:sz="4" w:space="0"/>
              <w:right w:val="single" w:color="auto" w:sz="4" w:space="0"/>
            </w:tcBorders>
          </w:tcPr>
          <w:p w14:paraId="159D6FA4">
            <w:pPr>
              <w:spacing w:line="720" w:lineRule="exact"/>
              <w:rPr>
                <w:rFonts w:ascii="黑体" w:hAnsi="宋体" w:eastAsia="黑体"/>
                <w:b/>
                <w:sz w:val="32"/>
                <w:szCs w:val="32"/>
              </w:rPr>
            </w:pPr>
            <w:r>
              <w:rPr>
                <w:rFonts w:hint="eastAsia" w:ascii="黑体" w:hAnsi="黑体" w:eastAsia="黑体"/>
                <w:b/>
                <w:sz w:val="24"/>
                <w:u w:val="single"/>
              </w:rPr>
              <w:t xml:space="preserve">   </w:t>
            </w:r>
          </w:p>
        </w:tc>
      </w:tr>
      <w:tr w14:paraId="3E221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57" w:type="dxa"/>
            <w:tcBorders>
              <w:top w:val="single" w:color="auto" w:sz="4" w:space="0"/>
              <w:left w:val="single" w:color="auto" w:sz="4" w:space="0"/>
              <w:bottom w:val="single" w:color="auto" w:sz="4" w:space="0"/>
              <w:right w:val="single" w:color="auto" w:sz="4" w:space="0"/>
            </w:tcBorders>
          </w:tcPr>
          <w:p w14:paraId="0C694DA2">
            <w:pPr>
              <w:spacing w:line="720" w:lineRule="exact"/>
              <w:jc w:val="right"/>
              <w:rPr>
                <w:rFonts w:ascii="黑体" w:hAnsi="宋体" w:eastAsia="黑体"/>
                <w:b/>
                <w:sz w:val="32"/>
                <w:szCs w:val="32"/>
              </w:rPr>
            </w:pPr>
            <w:r>
              <w:rPr>
                <w:rFonts w:hint="eastAsia" w:ascii="黑体" w:hAnsi="黑体" w:eastAsia="黑体"/>
                <w:b/>
                <w:sz w:val="24"/>
              </w:rPr>
              <w:t>甲</w:t>
            </w:r>
            <w:r>
              <w:rPr>
                <w:rFonts w:hint="eastAsia" w:ascii="黑体" w:hAnsi="宋体" w:eastAsia="黑体"/>
                <w:b/>
                <w:sz w:val="24"/>
              </w:rPr>
              <w:t xml:space="preserve">  </w:t>
            </w:r>
            <w:r>
              <w:rPr>
                <w:rFonts w:hint="eastAsia" w:ascii="黑体" w:hAnsi="黑体" w:eastAsia="黑体"/>
                <w:b/>
                <w:sz w:val="24"/>
              </w:rPr>
              <w:t>方（委托方）：</w:t>
            </w:r>
          </w:p>
        </w:tc>
        <w:tc>
          <w:tcPr>
            <w:tcW w:w="5597" w:type="dxa"/>
            <w:tcBorders>
              <w:top w:val="single" w:color="auto" w:sz="4" w:space="0"/>
              <w:left w:val="single" w:color="auto" w:sz="4" w:space="0"/>
              <w:bottom w:val="single" w:color="auto" w:sz="4" w:space="0"/>
              <w:right w:val="single" w:color="auto" w:sz="4" w:space="0"/>
            </w:tcBorders>
          </w:tcPr>
          <w:p w14:paraId="1EE0478C">
            <w:pPr>
              <w:spacing w:line="720" w:lineRule="exact"/>
              <w:rPr>
                <w:rFonts w:ascii="黑体" w:hAnsi="宋体" w:eastAsia="黑体"/>
                <w:b/>
                <w:sz w:val="32"/>
                <w:szCs w:val="32"/>
              </w:rPr>
            </w:pPr>
          </w:p>
        </w:tc>
      </w:tr>
      <w:tr w14:paraId="6EF48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57" w:type="dxa"/>
            <w:tcBorders>
              <w:top w:val="single" w:color="auto" w:sz="4" w:space="0"/>
              <w:left w:val="single" w:color="auto" w:sz="4" w:space="0"/>
              <w:bottom w:val="single" w:color="auto" w:sz="4" w:space="0"/>
              <w:right w:val="single" w:color="auto" w:sz="4" w:space="0"/>
            </w:tcBorders>
          </w:tcPr>
          <w:p w14:paraId="2179443B">
            <w:pPr>
              <w:spacing w:line="720" w:lineRule="exact"/>
              <w:jc w:val="right"/>
              <w:rPr>
                <w:rFonts w:ascii="黑体" w:hAnsi="宋体" w:eastAsia="黑体"/>
                <w:b/>
                <w:sz w:val="32"/>
                <w:szCs w:val="32"/>
              </w:rPr>
            </w:pPr>
            <w:r>
              <w:rPr>
                <w:rFonts w:hint="eastAsia" w:ascii="黑体" w:hAnsi="黑体" w:eastAsia="黑体"/>
                <w:b/>
                <w:sz w:val="24"/>
              </w:rPr>
              <w:t>乙</w:t>
            </w:r>
            <w:r>
              <w:rPr>
                <w:rFonts w:hint="eastAsia" w:ascii="黑体" w:hAnsi="宋体" w:eastAsia="黑体"/>
                <w:b/>
                <w:sz w:val="24"/>
              </w:rPr>
              <w:t xml:space="preserve">  </w:t>
            </w:r>
            <w:r>
              <w:rPr>
                <w:rFonts w:hint="eastAsia" w:ascii="黑体" w:hAnsi="黑体" w:eastAsia="黑体"/>
                <w:b/>
                <w:sz w:val="24"/>
              </w:rPr>
              <w:t>方（受托方）：</w:t>
            </w:r>
          </w:p>
        </w:tc>
        <w:tc>
          <w:tcPr>
            <w:tcW w:w="5597" w:type="dxa"/>
            <w:tcBorders>
              <w:top w:val="single" w:color="auto" w:sz="4" w:space="0"/>
              <w:left w:val="single" w:color="auto" w:sz="4" w:space="0"/>
              <w:bottom w:val="single" w:color="auto" w:sz="4" w:space="0"/>
              <w:right w:val="single" w:color="auto" w:sz="4" w:space="0"/>
            </w:tcBorders>
          </w:tcPr>
          <w:p w14:paraId="40D521C3">
            <w:pPr>
              <w:spacing w:line="720" w:lineRule="exact"/>
              <w:rPr>
                <w:rFonts w:ascii="黑体" w:hAnsi="宋体" w:eastAsia="黑体"/>
                <w:b/>
                <w:sz w:val="32"/>
                <w:szCs w:val="32"/>
              </w:rPr>
            </w:pPr>
          </w:p>
        </w:tc>
      </w:tr>
      <w:tr w14:paraId="4892B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57" w:type="dxa"/>
            <w:tcBorders>
              <w:top w:val="single" w:color="auto" w:sz="4" w:space="0"/>
              <w:left w:val="single" w:color="auto" w:sz="4" w:space="0"/>
              <w:bottom w:val="single" w:color="auto" w:sz="4" w:space="0"/>
              <w:right w:val="single" w:color="auto" w:sz="4" w:space="0"/>
            </w:tcBorders>
          </w:tcPr>
          <w:p w14:paraId="1175ED34">
            <w:pPr>
              <w:spacing w:line="720" w:lineRule="exact"/>
              <w:jc w:val="right"/>
              <w:rPr>
                <w:rFonts w:ascii="黑体" w:hAnsi="宋体" w:eastAsia="黑体"/>
                <w:b/>
                <w:sz w:val="32"/>
                <w:szCs w:val="32"/>
              </w:rPr>
            </w:pPr>
            <w:r>
              <w:rPr>
                <w:rFonts w:hint="eastAsia" w:ascii="黑体" w:hAnsi="黑体" w:eastAsia="黑体"/>
                <w:b/>
                <w:sz w:val="24"/>
              </w:rPr>
              <w:t>签</w:t>
            </w:r>
            <w:r>
              <w:rPr>
                <w:rFonts w:hint="eastAsia" w:ascii="黑体" w:hAnsi="宋体" w:eastAsia="黑体"/>
                <w:b/>
                <w:sz w:val="24"/>
              </w:rPr>
              <w:t xml:space="preserve">  </w:t>
            </w:r>
            <w:r>
              <w:rPr>
                <w:rFonts w:hint="eastAsia" w:ascii="黑体" w:hAnsi="黑体" w:eastAsia="黑体"/>
                <w:b/>
                <w:sz w:val="24"/>
              </w:rPr>
              <w:t>订</w:t>
            </w:r>
            <w:r>
              <w:rPr>
                <w:rFonts w:hint="eastAsia" w:ascii="黑体" w:hAnsi="宋体" w:eastAsia="黑体"/>
                <w:b/>
                <w:sz w:val="24"/>
              </w:rPr>
              <w:t xml:space="preserve">   </w:t>
            </w:r>
            <w:r>
              <w:rPr>
                <w:rFonts w:hint="eastAsia" w:ascii="黑体" w:hAnsi="黑体" w:eastAsia="黑体"/>
                <w:b/>
                <w:sz w:val="24"/>
              </w:rPr>
              <w:t>时</w:t>
            </w:r>
            <w:r>
              <w:rPr>
                <w:rFonts w:hint="eastAsia" w:ascii="黑体" w:hAnsi="宋体" w:eastAsia="黑体"/>
                <w:b/>
                <w:sz w:val="24"/>
              </w:rPr>
              <w:t xml:space="preserve">  </w:t>
            </w:r>
            <w:r>
              <w:rPr>
                <w:rFonts w:hint="eastAsia" w:ascii="黑体" w:hAnsi="黑体" w:eastAsia="黑体"/>
                <w:b/>
                <w:sz w:val="24"/>
              </w:rPr>
              <w:t>间：</w:t>
            </w:r>
          </w:p>
        </w:tc>
        <w:tc>
          <w:tcPr>
            <w:tcW w:w="5597" w:type="dxa"/>
            <w:tcBorders>
              <w:top w:val="single" w:color="auto" w:sz="4" w:space="0"/>
              <w:left w:val="single" w:color="auto" w:sz="4" w:space="0"/>
              <w:bottom w:val="single" w:color="auto" w:sz="4" w:space="0"/>
              <w:right w:val="single" w:color="auto" w:sz="4" w:space="0"/>
            </w:tcBorders>
          </w:tcPr>
          <w:p w14:paraId="7161060C">
            <w:pPr>
              <w:spacing w:line="720" w:lineRule="exact"/>
              <w:rPr>
                <w:rFonts w:ascii="黑体" w:hAnsi="宋体" w:eastAsia="黑体"/>
                <w:b/>
                <w:sz w:val="32"/>
                <w:szCs w:val="32"/>
              </w:rPr>
            </w:pPr>
          </w:p>
        </w:tc>
      </w:tr>
      <w:tr w14:paraId="45104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57" w:type="dxa"/>
            <w:tcBorders>
              <w:top w:val="single" w:color="auto" w:sz="4" w:space="0"/>
              <w:left w:val="single" w:color="auto" w:sz="4" w:space="0"/>
              <w:bottom w:val="single" w:color="auto" w:sz="4" w:space="0"/>
              <w:right w:val="single" w:color="auto" w:sz="4" w:space="0"/>
            </w:tcBorders>
          </w:tcPr>
          <w:p w14:paraId="0A12F538">
            <w:pPr>
              <w:spacing w:line="720" w:lineRule="exact"/>
              <w:jc w:val="right"/>
              <w:rPr>
                <w:rFonts w:ascii="黑体" w:hAnsi="宋体" w:eastAsia="黑体"/>
                <w:b/>
                <w:sz w:val="24"/>
              </w:rPr>
            </w:pPr>
            <w:r>
              <w:rPr>
                <w:rFonts w:hint="eastAsia" w:ascii="黑体" w:hAnsi="黑体" w:eastAsia="黑体"/>
                <w:b/>
                <w:sz w:val="24"/>
              </w:rPr>
              <w:t>签</w:t>
            </w:r>
            <w:r>
              <w:rPr>
                <w:rFonts w:hint="eastAsia" w:ascii="黑体" w:hAnsi="宋体" w:eastAsia="黑体"/>
                <w:b/>
                <w:sz w:val="24"/>
              </w:rPr>
              <w:t xml:space="preserve">  </w:t>
            </w:r>
            <w:r>
              <w:rPr>
                <w:rFonts w:hint="eastAsia" w:ascii="黑体" w:hAnsi="黑体" w:eastAsia="黑体"/>
                <w:b/>
                <w:sz w:val="24"/>
              </w:rPr>
              <w:t>订</w:t>
            </w:r>
            <w:r>
              <w:rPr>
                <w:rFonts w:hint="eastAsia" w:ascii="黑体" w:hAnsi="宋体" w:eastAsia="黑体"/>
                <w:b/>
                <w:sz w:val="24"/>
              </w:rPr>
              <w:t xml:space="preserve">   </w:t>
            </w:r>
            <w:r>
              <w:rPr>
                <w:rFonts w:hint="eastAsia" w:ascii="黑体" w:hAnsi="黑体" w:eastAsia="黑体"/>
                <w:b/>
                <w:sz w:val="24"/>
              </w:rPr>
              <w:t>地</w:t>
            </w:r>
            <w:r>
              <w:rPr>
                <w:rFonts w:hint="eastAsia" w:ascii="黑体" w:hAnsi="宋体" w:eastAsia="黑体"/>
                <w:b/>
                <w:sz w:val="24"/>
              </w:rPr>
              <w:t xml:space="preserve">  </w:t>
            </w:r>
            <w:r>
              <w:rPr>
                <w:rFonts w:hint="eastAsia" w:ascii="黑体" w:hAnsi="黑体" w:eastAsia="黑体"/>
                <w:b/>
                <w:sz w:val="24"/>
              </w:rPr>
              <w:t>点：</w:t>
            </w:r>
          </w:p>
        </w:tc>
        <w:tc>
          <w:tcPr>
            <w:tcW w:w="5597" w:type="dxa"/>
            <w:tcBorders>
              <w:top w:val="single" w:color="auto" w:sz="4" w:space="0"/>
              <w:left w:val="single" w:color="auto" w:sz="4" w:space="0"/>
              <w:bottom w:val="single" w:color="auto" w:sz="4" w:space="0"/>
              <w:right w:val="single" w:color="auto" w:sz="4" w:space="0"/>
            </w:tcBorders>
          </w:tcPr>
          <w:p w14:paraId="4AD3E1E6">
            <w:pPr>
              <w:spacing w:line="720" w:lineRule="exact"/>
              <w:rPr>
                <w:rFonts w:ascii="黑体" w:hAnsi="宋体" w:eastAsia="黑体"/>
                <w:b/>
                <w:sz w:val="24"/>
              </w:rPr>
            </w:pPr>
          </w:p>
        </w:tc>
      </w:tr>
    </w:tbl>
    <w:p w14:paraId="62A64343">
      <w:pPr>
        <w:spacing w:line="360" w:lineRule="auto"/>
        <w:rPr>
          <w:rFonts w:ascii="宋体" w:hAnsi="宋体"/>
          <w:sz w:val="24"/>
        </w:rPr>
      </w:pPr>
      <w:r>
        <w:rPr>
          <w:rFonts w:hint="eastAsia" w:ascii="黑体" w:hAnsi="宋体" w:eastAsia="黑体"/>
          <w:b/>
          <w:color w:val="FF0000"/>
          <w:sz w:val="32"/>
          <w:szCs w:val="32"/>
        </w:rPr>
        <w:br w:type="page"/>
      </w:r>
      <w:r>
        <w:rPr>
          <w:rFonts w:hint="eastAsia" w:ascii="宋体" w:hAnsi="宋体"/>
          <w:b/>
          <w:sz w:val="24"/>
        </w:rPr>
        <w:t xml:space="preserve">    </w:t>
      </w:r>
      <w:r>
        <w:rPr>
          <w:rFonts w:hint="eastAsia" w:ascii="宋体" w:hAnsi="宋体"/>
          <w:sz w:val="24"/>
          <w:u w:val="single"/>
        </w:rPr>
        <w:t xml:space="preserve">         </w:t>
      </w:r>
      <w:r>
        <w:rPr>
          <w:rFonts w:hint="eastAsia" w:ascii="宋体" w:hAnsi="宋体"/>
          <w:sz w:val="24"/>
        </w:rPr>
        <w:t>（以下简称甲方）</w:t>
      </w:r>
      <w:r>
        <w:rPr>
          <w:rFonts w:hint="eastAsia" w:ascii="宋体" w:hAnsi="宋体"/>
          <w:sz w:val="24"/>
          <w:u w:val="single"/>
        </w:rPr>
        <w:t xml:space="preserve">         </w:t>
      </w:r>
      <w:r>
        <w:rPr>
          <w:rFonts w:hint="eastAsia" w:ascii="宋体" w:hAnsi="宋体"/>
          <w:sz w:val="24"/>
        </w:rPr>
        <w:t>采购，在</w:t>
      </w:r>
      <w:r>
        <w:rPr>
          <w:rFonts w:hint="eastAsia" w:ascii="宋体" w:hAnsi="宋体"/>
          <w:sz w:val="24"/>
          <w:u w:val="single"/>
        </w:rPr>
        <w:t xml:space="preserve">           </w:t>
      </w:r>
      <w:r>
        <w:rPr>
          <w:rFonts w:hint="eastAsia" w:ascii="宋体" w:hAnsi="宋体"/>
          <w:sz w:val="24"/>
        </w:rPr>
        <w:t>的监督管理下，由</w:t>
      </w:r>
      <w:r>
        <w:rPr>
          <w:rFonts w:hint="eastAsia" w:ascii="宋体" w:hAnsi="宋体"/>
          <w:sz w:val="24"/>
          <w:u w:val="single"/>
        </w:rPr>
        <w:t>陕西开源招标有限公司</w:t>
      </w:r>
      <w:r>
        <w:rPr>
          <w:rFonts w:hint="eastAsia" w:ascii="宋体" w:hAnsi="宋体"/>
          <w:sz w:val="24"/>
        </w:rPr>
        <w:t>组织采购，选定</w:t>
      </w:r>
      <w:r>
        <w:rPr>
          <w:rFonts w:hint="eastAsia" w:ascii="宋体" w:hAnsi="宋体"/>
          <w:sz w:val="24"/>
          <w:u w:val="single"/>
        </w:rPr>
        <w:t xml:space="preserve">         </w:t>
      </w:r>
      <w:r>
        <w:rPr>
          <w:rFonts w:hint="eastAsia" w:ascii="宋体" w:hAnsi="宋体"/>
          <w:sz w:val="24"/>
        </w:rPr>
        <w:t xml:space="preserve"> (以下简称乙方）为该项目中标人。依据《中华人民共和国民法典》和《中华人民共和国政府采购法》，经甲、乙双方共同协商，按下述条款和条件签署本合同。</w:t>
      </w:r>
    </w:p>
    <w:p w14:paraId="11A5346D">
      <w:pPr>
        <w:spacing w:line="480" w:lineRule="exact"/>
        <w:jc w:val="left"/>
        <w:rPr>
          <w:rFonts w:ascii="宋体" w:hAnsi="宋体"/>
          <w:b/>
          <w:sz w:val="24"/>
        </w:rPr>
      </w:pPr>
      <w:r>
        <w:rPr>
          <w:rFonts w:hint="eastAsia" w:ascii="宋体" w:hAnsi="宋体"/>
          <w:b/>
          <w:sz w:val="24"/>
        </w:rPr>
        <w:t>一、合同内容</w:t>
      </w:r>
    </w:p>
    <w:p w14:paraId="00FF6DED">
      <w:pPr>
        <w:spacing w:line="480" w:lineRule="exact"/>
        <w:ind w:firstLine="480" w:firstLineChars="200"/>
        <w:rPr>
          <w:rFonts w:ascii="宋体" w:hAnsi="宋体"/>
          <w:sz w:val="24"/>
        </w:rPr>
      </w:pPr>
      <w:r>
        <w:rPr>
          <w:rFonts w:hint="eastAsia" w:ascii="宋体" w:hAnsi="宋体"/>
          <w:sz w:val="24"/>
        </w:rPr>
        <w:t>（一）目标</w:t>
      </w:r>
    </w:p>
    <w:p w14:paraId="4ED58438">
      <w:pPr>
        <w:spacing w:line="480" w:lineRule="exact"/>
        <w:ind w:firstLine="480" w:firstLineChars="200"/>
        <w:rPr>
          <w:rFonts w:ascii="宋体" w:hAnsi="宋体"/>
          <w:sz w:val="24"/>
        </w:rPr>
      </w:pPr>
      <w:r>
        <w:rPr>
          <w:rFonts w:hint="eastAsia" w:ascii="宋体" w:hAnsi="宋体"/>
          <w:sz w:val="24"/>
        </w:rPr>
        <w:t>对以下信息系统开展等级保护测评与整改，并提供测评报告等相关报告。信息系统名称及安全保护等级如下表。</w:t>
      </w:r>
    </w:p>
    <w:tbl>
      <w:tblPr>
        <w:tblStyle w:val="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384"/>
        <w:gridCol w:w="3200"/>
        <w:gridCol w:w="2293"/>
      </w:tblGrid>
      <w:tr w14:paraId="08BAF4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3" w:hRule="atLeast"/>
          <w:jc w:val="center"/>
        </w:trPr>
        <w:tc>
          <w:tcPr>
            <w:tcW w:w="1384" w:type="dxa"/>
            <w:vAlign w:val="center"/>
          </w:tcPr>
          <w:p w14:paraId="4B8B8C9F">
            <w:pPr>
              <w:pStyle w:val="5"/>
              <w:spacing w:line="360" w:lineRule="auto"/>
              <w:jc w:val="center"/>
              <w:rPr>
                <w:rFonts w:ascii="Calibri" w:hAnsi="Calibri"/>
              </w:rPr>
            </w:pPr>
            <w:r>
              <w:rPr>
                <w:rFonts w:hint="eastAsia" w:cs="微软雅黑"/>
                <w:b/>
                <w:color w:val="353535"/>
              </w:rPr>
              <w:t>序号</w:t>
            </w:r>
          </w:p>
        </w:tc>
        <w:tc>
          <w:tcPr>
            <w:tcW w:w="3200" w:type="dxa"/>
            <w:vAlign w:val="center"/>
          </w:tcPr>
          <w:p w14:paraId="693C694B">
            <w:pPr>
              <w:pStyle w:val="5"/>
              <w:spacing w:line="360" w:lineRule="auto"/>
              <w:jc w:val="center"/>
              <w:rPr>
                <w:rFonts w:ascii="Calibri" w:hAnsi="Calibri"/>
              </w:rPr>
            </w:pPr>
            <w:r>
              <w:rPr>
                <w:rFonts w:hint="eastAsia" w:cs="微软雅黑"/>
                <w:b/>
                <w:color w:val="353535"/>
              </w:rPr>
              <w:t>系统名称</w:t>
            </w:r>
          </w:p>
        </w:tc>
        <w:tc>
          <w:tcPr>
            <w:tcW w:w="2293" w:type="dxa"/>
            <w:vAlign w:val="center"/>
          </w:tcPr>
          <w:p w14:paraId="4D7D6058">
            <w:pPr>
              <w:pStyle w:val="5"/>
              <w:spacing w:line="360" w:lineRule="auto"/>
              <w:jc w:val="center"/>
              <w:rPr>
                <w:rFonts w:ascii="Calibri" w:hAnsi="Calibri"/>
              </w:rPr>
            </w:pPr>
            <w:r>
              <w:rPr>
                <w:rFonts w:hint="eastAsia" w:cs="微软雅黑"/>
                <w:b/>
                <w:color w:val="353535"/>
              </w:rPr>
              <w:t>系统等级</w:t>
            </w:r>
          </w:p>
        </w:tc>
      </w:tr>
      <w:tr w14:paraId="0E5186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3" w:hRule="atLeast"/>
          <w:jc w:val="center"/>
        </w:trPr>
        <w:tc>
          <w:tcPr>
            <w:tcW w:w="1384" w:type="dxa"/>
            <w:vAlign w:val="center"/>
          </w:tcPr>
          <w:p w14:paraId="3FE3E206">
            <w:pPr>
              <w:pStyle w:val="5"/>
              <w:spacing w:line="360" w:lineRule="auto"/>
              <w:jc w:val="center"/>
              <w:rPr>
                <w:rFonts w:ascii="Calibri" w:hAnsi="Calibri"/>
              </w:rPr>
            </w:pPr>
            <w:r>
              <w:rPr>
                <w:rFonts w:hint="eastAsia" w:cs="微软雅黑"/>
                <w:color w:val="353535"/>
              </w:rPr>
              <w:t>1</w:t>
            </w:r>
          </w:p>
        </w:tc>
        <w:tc>
          <w:tcPr>
            <w:tcW w:w="3200" w:type="dxa"/>
            <w:vAlign w:val="center"/>
          </w:tcPr>
          <w:p w14:paraId="00600864">
            <w:pPr>
              <w:pStyle w:val="5"/>
              <w:spacing w:line="360" w:lineRule="auto"/>
              <w:jc w:val="center"/>
              <w:rPr>
                <w:rFonts w:cs="微软雅黑"/>
                <w:color w:val="353535"/>
              </w:rPr>
            </w:pPr>
            <w:r>
              <w:rPr>
                <w:rFonts w:hint="eastAsia" w:cs="微软雅黑"/>
                <w:color w:val="353535"/>
              </w:rPr>
              <w:t>质检平台软件</w:t>
            </w:r>
          </w:p>
        </w:tc>
        <w:tc>
          <w:tcPr>
            <w:tcW w:w="2293" w:type="dxa"/>
            <w:vAlign w:val="center"/>
          </w:tcPr>
          <w:p w14:paraId="4EFAFFF1">
            <w:pPr>
              <w:pStyle w:val="5"/>
              <w:spacing w:line="360" w:lineRule="auto"/>
              <w:jc w:val="center"/>
              <w:rPr>
                <w:rFonts w:ascii="Calibri" w:hAnsi="Calibri"/>
              </w:rPr>
            </w:pPr>
            <w:r>
              <w:rPr>
                <w:rFonts w:hint="eastAsia" w:cs="微软雅黑"/>
                <w:color w:val="353535"/>
              </w:rPr>
              <w:t>三级</w:t>
            </w:r>
          </w:p>
        </w:tc>
      </w:tr>
      <w:tr w14:paraId="0BFB83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3" w:hRule="atLeast"/>
          <w:jc w:val="center"/>
        </w:trPr>
        <w:tc>
          <w:tcPr>
            <w:tcW w:w="1384" w:type="dxa"/>
            <w:vAlign w:val="center"/>
          </w:tcPr>
          <w:p w14:paraId="16417C99">
            <w:pPr>
              <w:pStyle w:val="5"/>
              <w:spacing w:line="360" w:lineRule="auto"/>
              <w:jc w:val="center"/>
              <w:rPr>
                <w:rFonts w:ascii="Calibri" w:hAnsi="Calibri"/>
              </w:rPr>
            </w:pPr>
            <w:r>
              <w:rPr>
                <w:rFonts w:hint="eastAsia" w:cs="微软雅黑"/>
                <w:color w:val="353535"/>
              </w:rPr>
              <w:t>2</w:t>
            </w:r>
          </w:p>
        </w:tc>
        <w:tc>
          <w:tcPr>
            <w:tcW w:w="3200" w:type="dxa"/>
            <w:vAlign w:val="center"/>
          </w:tcPr>
          <w:p w14:paraId="5B15F92A">
            <w:pPr>
              <w:pStyle w:val="5"/>
              <w:spacing w:line="360" w:lineRule="auto"/>
              <w:jc w:val="center"/>
              <w:rPr>
                <w:rFonts w:cs="微软雅黑"/>
                <w:color w:val="353535"/>
              </w:rPr>
            </w:pPr>
            <w:r>
              <w:rPr>
                <w:rFonts w:hint="eastAsia" w:cs="微软雅黑"/>
                <w:color w:val="353535"/>
              </w:rPr>
              <w:t>中试平台软件</w:t>
            </w:r>
          </w:p>
        </w:tc>
        <w:tc>
          <w:tcPr>
            <w:tcW w:w="2293" w:type="dxa"/>
            <w:vAlign w:val="center"/>
          </w:tcPr>
          <w:p w14:paraId="3F687418">
            <w:pPr>
              <w:pStyle w:val="5"/>
              <w:spacing w:line="360" w:lineRule="auto"/>
              <w:jc w:val="center"/>
              <w:rPr>
                <w:rFonts w:ascii="Calibri" w:hAnsi="Calibri"/>
              </w:rPr>
            </w:pPr>
            <w:r>
              <w:rPr>
                <w:rFonts w:hint="eastAsia" w:cs="微软雅黑"/>
                <w:color w:val="353535"/>
              </w:rPr>
              <w:t>二级</w:t>
            </w:r>
          </w:p>
        </w:tc>
      </w:tr>
    </w:tbl>
    <w:p w14:paraId="42C52425">
      <w:pPr>
        <w:spacing w:line="480" w:lineRule="exact"/>
        <w:ind w:firstLine="480" w:firstLineChars="200"/>
        <w:rPr>
          <w:rFonts w:ascii="宋体" w:hAnsi="宋体"/>
          <w:sz w:val="24"/>
        </w:rPr>
      </w:pPr>
      <w:r>
        <w:rPr>
          <w:rFonts w:hint="eastAsia" w:ascii="宋体" w:hAnsi="宋体"/>
          <w:sz w:val="24"/>
        </w:rPr>
        <w:t>（二）具体工作内容</w:t>
      </w:r>
    </w:p>
    <w:p w14:paraId="4A5B7F5D">
      <w:pPr>
        <w:spacing w:line="480" w:lineRule="exact"/>
        <w:ind w:firstLine="480" w:firstLineChars="200"/>
        <w:rPr>
          <w:rFonts w:ascii="宋体" w:hAnsi="宋体"/>
          <w:sz w:val="24"/>
        </w:rPr>
      </w:pPr>
      <w:r>
        <w:rPr>
          <w:rFonts w:hint="eastAsia" w:ascii="宋体" w:hAnsi="宋体"/>
          <w:sz w:val="24"/>
        </w:rPr>
        <w:t>1、对</w:t>
      </w:r>
      <w:r>
        <w:rPr>
          <w:rFonts w:ascii="宋体" w:hAnsi="宋体"/>
          <w:sz w:val="24"/>
        </w:rPr>
        <w:t>一个三级系统（</w:t>
      </w:r>
      <w:r>
        <w:rPr>
          <w:rFonts w:hint="eastAsia" w:ascii="宋体" w:hAnsi="宋体"/>
          <w:sz w:val="24"/>
        </w:rPr>
        <w:t>质检平台软件</w:t>
      </w:r>
      <w:r>
        <w:rPr>
          <w:rFonts w:ascii="宋体" w:hAnsi="宋体"/>
          <w:sz w:val="24"/>
        </w:rPr>
        <w:t>）</w:t>
      </w:r>
      <w:r>
        <w:rPr>
          <w:rFonts w:hint="eastAsia" w:ascii="宋体" w:hAnsi="宋体"/>
          <w:sz w:val="24"/>
        </w:rPr>
        <w:t>和一个二级系统（中试平台软件）进行网络安全等级保护测评与整改工作，需公司依据等保要求进行信息系统测评，形成测评方案、测评报告、整改报告等。</w:t>
      </w:r>
    </w:p>
    <w:p w14:paraId="3D825AF4">
      <w:pPr>
        <w:spacing w:line="480" w:lineRule="exact"/>
        <w:ind w:firstLine="480" w:firstLineChars="200"/>
        <w:rPr>
          <w:rFonts w:ascii="宋体" w:hAnsi="宋体"/>
          <w:sz w:val="24"/>
        </w:rPr>
      </w:pPr>
      <w:r>
        <w:rPr>
          <w:rFonts w:hint="eastAsia" w:ascii="宋体" w:hAnsi="宋体"/>
          <w:sz w:val="24"/>
        </w:rPr>
        <w:t>2、提供为期两年的安全维保服务，包括但不限于应急响应、安全监测、配合检查、电话支持、安全咨询、网络安全培训等服务。</w:t>
      </w:r>
    </w:p>
    <w:p w14:paraId="7C738E65">
      <w:pPr>
        <w:spacing w:line="480" w:lineRule="exact"/>
        <w:ind w:firstLine="480" w:firstLineChars="200"/>
        <w:rPr>
          <w:rFonts w:ascii="宋体" w:hAnsi="宋体"/>
          <w:sz w:val="24"/>
        </w:rPr>
      </w:pPr>
      <w:r>
        <w:rPr>
          <w:rFonts w:ascii="宋体" w:hAnsi="宋体"/>
          <w:sz w:val="24"/>
        </w:rPr>
        <w:t>3</w:t>
      </w:r>
      <w:r>
        <w:rPr>
          <w:rFonts w:hint="eastAsia" w:ascii="宋体" w:hAnsi="宋体"/>
          <w:sz w:val="24"/>
        </w:rPr>
        <w:t>、从合同签订时间起60个工作日完成信息系统的备案、等保测评和报告提交的工作，同时从合同签订时间起两年内提供安全维保服务。</w:t>
      </w:r>
    </w:p>
    <w:p w14:paraId="05DDA779">
      <w:pPr>
        <w:spacing w:line="480" w:lineRule="exact"/>
        <w:jc w:val="left"/>
        <w:rPr>
          <w:rFonts w:ascii="宋体" w:hAnsi="宋体"/>
          <w:b/>
          <w:sz w:val="24"/>
        </w:rPr>
      </w:pPr>
      <w:r>
        <w:rPr>
          <w:rFonts w:hint="eastAsia" w:ascii="宋体" w:hAnsi="宋体"/>
          <w:b/>
          <w:sz w:val="24"/>
        </w:rPr>
        <w:t>二、合同价格</w:t>
      </w:r>
    </w:p>
    <w:p w14:paraId="1BF4369C">
      <w:pPr>
        <w:spacing w:line="500" w:lineRule="exact"/>
        <w:ind w:left="480" w:leftChars="200"/>
        <w:jc w:val="left"/>
        <w:rPr>
          <w:rFonts w:ascii="宋体" w:hAnsi="宋体"/>
          <w:sz w:val="24"/>
        </w:rPr>
      </w:pPr>
      <w:r>
        <w:rPr>
          <w:rFonts w:hint="eastAsia" w:ascii="宋体" w:hAnsi="宋体"/>
          <w:sz w:val="24"/>
        </w:rPr>
        <w:t>合同总价：</w:t>
      </w:r>
      <w:r>
        <w:rPr>
          <w:rFonts w:hint="eastAsia" w:ascii="宋体" w:hAnsi="宋体"/>
          <w:color w:val="000000"/>
          <w:sz w:val="24"/>
          <w:u w:val="single"/>
        </w:rPr>
        <w:t xml:space="preserve">人民币       元整（¥         元） </w:t>
      </w:r>
    </w:p>
    <w:p w14:paraId="1DC2E8DD">
      <w:pPr>
        <w:spacing w:line="480" w:lineRule="exact"/>
        <w:ind w:firstLine="480" w:firstLineChars="200"/>
        <w:jc w:val="left"/>
        <w:rPr>
          <w:rFonts w:ascii="宋体" w:hAnsi="宋体"/>
          <w:sz w:val="24"/>
        </w:rPr>
      </w:pPr>
      <w:r>
        <w:rPr>
          <w:rFonts w:hint="eastAsia" w:ascii="宋体" w:hAnsi="宋体" w:cs="宋体"/>
          <w:sz w:val="24"/>
        </w:rPr>
        <w:t>说明：</w:t>
      </w:r>
    </w:p>
    <w:p w14:paraId="6E5CC8B5">
      <w:pPr>
        <w:spacing w:line="500" w:lineRule="exact"/>
        <w:ind w:left="480"/>
        <w:jc w:val="left"/>
        <w:rPr>
          <w:rFonts w:ascii="宋体" w:hAnsi="宋体"/>
          <w:sz w:val="24"/>
        </w:rPr>
      </w:pPr>
      <w:r>
        <w:rPr>
          <w:rFonts w:hint="eastAsia" w:ascii="宋体" w:hAnsi="宋体"/>
          <w:sz w:val="24"/>
        </w:rPr>
        <w:t>（一）合同总价包含完成本项目的所有费用。</w:t>
      </w:r>
    </w:p>
    <w:p w14:paraId="39ABC67B">
      <w:pPr>
        <w:spacing w:line="500" w:lineRule="exact"/>
        <w:ind w:left="480"/>
        <w:jc w:val="left"/>
        <w:rPr>
          <w:rFonts w:ascii="宋体" w:hAnsi="宋体"/>
          <w:sz w:val="24"/>
        </w:rPr>
      </w:pPr>
      <w:r>
        <w:rPr>
          <w:rFonts w:hint="eastAsia" w:ascii="宋体" w:hAnsi="宋体"/>
          <w:sz w:val="24"/>
        </w:rPr>
        <w:t xml:space="preserve">（二）合同总价一次包死，不受市场价格变化的影响，并作为结算的唯一依据。 </w:t>
      </w:r>
    </w:p>
    <w:p w14:paraId="37A32481">
      <w:pPr>
        <w:spacing w:line="480" w:lineRule="exact"/>
        <w:jc w:val="left"/>
        <w:rPr>
          <w:rFonts w:ascii="宋体" w:hAnsi="宋体"/>
          <w:b/>
          <w:sz w:val="24"/>
        </w:rPr>
      </w:pPr>
      <w:r>
        <w:rPr>
          <w:rFonts w:hint="eastAsia" w:ascii="宋体" w:hAnsi="宋体"/>
          <w:b/>
          <w:sz w:val="24"/>
        </w:rPr>
        <w:t>三、合同款项支付</w:t>
      </w:r>
    </w:p>
    <w:p w14:paraId="21779E98">
      <w:pPr>
        <w:autoSpaceDE w:val="0"/>
        <w:autoSpaceDN w:val="0"/>
        <w:adjustRightInd w:val="0"/>
        <w:spacing w:line="360" w:lineRule="auto"/>
        <w:ind w:firstLine="480" w:firstLineChars="200"/>
        <w:rPr>
          <w:rFonts w:ascii="宋体" w:hAnsi="宋体" w:cs="宋体"/>
          <w:bCs/>
          <w:sz w:val="24"/>
        </w:rPr>
      </w:pPr>
      <w:r>
        <w:rPr>
          <w:rFonts w:hint="eastAsia" w:ascii="宋体" w:hAnsi="宋体" w:cs="宋体"/>
          <w:bCs/>
          <w:sz w:val="24"/>
        </w:rPr>
        <w:t>（一）结算单位：</w:t>
      </w:r>
      <w:r>
        <w:rPr>
          <w:rFonts w:hint="eastAsia" w:ascii="宋体" w:hAnsi="宋体"/>
          <w:sz w:val="24"/>
        </w:rPr>
        <w:t>采购人结算，在付款前，必须开具发票给采购人。</w:t>
      </w:r>
    </w:p>
    <w:p w14:paraId="446C775E">
      <w:pPr>
        <w:pStyle w:val="6"/>
        <w:spacing w:line="480" w:lineRule="exact"/>
        <w:ind w:firstLine="480" w:firstLineChars="200"/>
        <w:jc w:val="left"/>
        <w:rPr>
          <w:rFonts w:hAnsi="宋体"/>
          <w:sz w:val="24"/>
        </w:rPr>
      </w:pPr>
      <w:r>
        <w:rPr>
          <w:rFonts w:hint="eastAsia" w:hAnsi="宋体" w:cs="宋体"/>
          <w:bCs/>
          <w:sz w:val="24"/>
        </w:rPr>
        <w:t>（二）付款方式：合同签订后7个工作日内，由乙方向甲方支付5%的履约保证金，甲方收到后向乙方支付合同金额的100%。</w:t>
      </w:r>
      <w:r>
        <w:rPr>
          <w:rFonts w:hAnsi="宋体"/>
          <w:sz w:val="24"/>
        </w:rPr>
        <w:t xml:space="preserve"> </w:t>
      </w:r>
    </w:p>
    <w:p w14:paraId="70E9D816">
      <w:pPr>
        <w:spacing w:line="480" w:lineRule="exact"/>
        <w:jc w:val="left"/>
        <w:rPr>
          <w:rFonts w:ascii="宋体" w:hAnsi="宋体"/>
          <w:b/>
          <w:sz w:val="24"/>
        </w:rPr>
      </w:pPr>
      <w:r>
        <w:rPr>
          <w:rFonts w:hint="eastAsia" w:ascii="宋体" w:hAnsi="宋体"/>
          <w:b/>
          <w:sz w:val="24"/>
        </w:rPr>
        <w:t>四、项目实施条件</w:t>
      </w:r>
    </w:p>
    <w:p w14:paraId="0342650A">
      <w:pPr>
        <w:autoSpaceDE w:val="0"/>
        <w:autoSpaceDN w:val="0"/>
        <w:adjustRightInd w:val="0"/>
        <w:spacing w:line="360" w:lineRule="auto"/>
        <w:ind w:firstLine="480" w:firstLineChars="200"/>
        <w:rPr>
          <w:rFonts w:ascii="宋体" w:hAnsi="宋体"/>
          <w:sz w:val="24"/>
        </w:rPr>
      </w:pPr>
      <w:r>
        <w:rPr>
          <w:rFonts w:hint="eastAsia" w:ascii="宋体" w:hAnsi="宋体" w:cs="宋体"/>
          <w:bCs/>
          <w:sz w:val="24"/>
        </w:rPr>
        <w:t>（一）</w:t>
      </w:r>
      <w:r>
        <w:rPr>
          <w:rFonts w:hint="eastAsia" w:ascii="宋体" w:hAnsi="宋体" w:cs="Helvetica"/>
          <w:kern w:val="0"/>
          <w:sz w:val="24"/>
          <w:szCs w:val="21"/>
        </w:rPr>
        <w:t>服务期：从合同签订时间起60个工作日完成信息系统的备案、等保测评和报告提交的工作，同时从合同签订时间起两年内提供安全维保服务</w:t>
      </w:r>
      <w:r>
        <w:rPr>
          <w:rFonts w:hint="eastAsia" w:ascii="宋体" w:hAnsi="宋体"/>
          <w:sz w:val="24"/>
        </w:rPr>
        <w:t>。</w:t>
      </w:r>
    </w:p>
    <w:p w14:paraId="718B748B">
      <w:pPr>
        <w:autoSpaceDE w:val="0"/>
        <w:autoSpaceDN w:val="0"/>
        <w:adjustRightInd w:val="0"/>
        <w:spacing w:line="360" w:lineRule="auto"/>
        <w:ind w:firstLine="480" w:firstLineChars="200"/>
        <w:rPr>
          <w:rFonts w:ascii="宋体" w:hAnsi="宋体" w:cs="宋体"/>
          <w:bCs/>
          <w:color w:val="000000"/>
          <w:sz w:val="24"/>
        </w:rPr>
      </w:pPr>
      <w:r>
        <w:rPr>
          <w:rFonts w:hint="eastAsia" w:ascii="宋体" w:hAnsi="宋体" w:cs="宋体"/>
          <w:bCs/>
          <w:color w:val="000000"/>
          <w:sz w:val="24"/>
        </w:rPr>
        <w:t>（二）项目实施地点：陕西省地震局指定地点。</w:t>
      </w:r>
    </w:p>
    <w:p w14:paraId="5F9FAD87">
      <w:pPr>
        <w:spacing w:line="480" w:lineRule="exact"/>
        <w:jc w:val="left"/>
        <w:rPr>
          <w:rFonts w:ascii="宋体" w:hAnsi="宋体" w:cs="宋体"/>
          <w:b/>
          <w:sz w:val="24"/>
        </w:rPr>
      </w:pPr>
      <w:r>
        <w:rPr>
          <w:rFonts w:hint="eastAsia" w:ascii="宋体" w:hAnsi="宋体" w:cs="宋体"/>
          <w:b/>
          <w:sz w:val="24"/>
        </w:rPr>
        <w:t>五、质量保证</w:t>
      </w:r>
    </w:p>
    <w:p w14:paraId="785E5775">
      <w:pPr>
        <w:spacing w:line="480" w:lineRule="exact"/>
        <w:ind w:firstLine="480" w:firstLineChars="200"/>
        <w:rPr>
          <w:rFonts w:ascii="宋体" w:hAnsi="宋体" w:cs="宋体"/>
          <w:color w:val="000000"/>
          <w:sz w:val="24"/>
        </w:rPr>
      </w:pPr>
      <w:r>
        <w:rPr>
          <w:rFonts w:hint="eastAsia" w:ascii="宋体" w:hAnsi="宋体" w:cs="宋体"/>
          <w:color w:val="000000"/>
          <w:sz w:val="24"/>
        </w:rPr>
        <w:t>（一）乙方应当保证服务内容质量完全符合合同规定的要求，并对服务内容质量问题负责。</w:t>
      </w:r>
    </w:p>
    <w:p w14:paraId="18F973C7">
      <w:pPr>
        <w:spacing w:line="480" w:lineRule="exact"/>
        <w:ind w:firstLine="480" w:firstLineChars="200"/>
        <w:rPr>
          <w:rFonts w:ascii="宋体" w:hAnsi="宋体" w:cs="宋体"/>
          <w:color w:val="000000"/>
          <w:sz w:val="24"/>
        </w:rPr>
      </w:pPr>
      <w:r>
        <w:rPr>
          <w:rFonts w:ascii="宋体" w:hAnsi="宋体" w:cs="宋体"/>
          <w:color w:val="000000"/>
          <w:sz w:val="24"/>
        </w:rPr>
        <w:t>（二）</w:t>
      </w:r>
      <w:r>
        <w:rPr>
          <w:rFonts w:hint="eastAsia" w:ascii="宋体" w:hAnsi="宋体"/>
          <w:color w:val="000000"/>
          <w:sz w:val="24"/>
        </w:rPr>
        <w:t>乙方拟派针对本项目的测评人员需具有1年或1年以上测评工作经验，项目经理和质量负责人必须具备丰富的安全服务经验及相关资质认证，并提供人员管理及配备方案，并确保人员稳定。如需更换测评人员，</w:t>
      </w:r>
      <w:r>
        <w:rPr>
          <w:rFonts w:hint="eastAsia" w:ascii="宋体" w:hAnsi="宋体" w:cs="宋体"/>
          <w:color w:val="000000"/>
          <w:sz w:val="24"/>
        </w:rPr>
        <w:t>须提交书面申请，征得甲方书面同意后方可更换。</w:t>
      </w:r>
    </w:p>
    <w:p w14:paraId="17C943CF">
      <w:pPr>
        <w:spacing w:line="360" w:lineRule="auto"/>
        <w:ind w:firstLine="480" w:firstLineChars="200"/>
        <w:rPr>
          <w:rFonts w:ascii="宋体" w:hAnsi="宋体"/>
          <w:color w:val="000000"/>
          <w:sz w:val="24"/>
        </w:rPr>
      </w:pPr>
      <w:r>
        <w:rPr>
          <w:rFonts w:hint="eastAsia" w:ascii="宋体" w:hAnsi="宋体"/>
          <w:color w:val="000000"/>
          <w:sz w:val="24"/>
        </w:rPr>
        <w:t>（三）乙方应派出专业技术人员提供技术服务，乙方项目组人员不少于6人，现场测评人员不少于4人，其中至少包含1名高级测评师，3名中级测评师。</w:t>
      </w:r>
    </w:p>
    <w:p w14:paraId="1674886D">
      <w:pPr>
        <w:spacing w:line="360" w:lineRule="auto"/>
        <w:ind w:firstLine="480" w:firstLineChars="200"/>
        <w:rPr>
          <w:rFonts w:ascii="宋体" w:hAnsi="宋体"/>
          <w:color w:val="000000"/>
          <w:sz w:val="24"/>
        </w:rPr>
      </w:pPr>
      <w:r>
        <w:rPr>
          <w:rFonts w:ascii="宋体" w:hAnsi="宋体"/>
          <w:color w:val="000000"/>
          <w:sz w:val="24"/>
        </w:rPr>
        <w:t>（四）</w:t>
      </w:r>
      <w:r>
        <w:rPr>
          <w:rFonts w:hint="eastAsia" w:ascii="宋体" w:hAnsi="宋体"/>
          <w:color w:val="000000"/>
          <w:sz w:val="24"/>
        </w:rPr>
        <w:t>投标人应按等级保护测评要求制定测评过程中产生的文档，做到科学、规范、详尽、统一。</w:t>
      </w:r>
    </w:p>
    <w:p w14:paraId="4F963DAA">
      <w:pPr>
        <w:spacing w:line="360" w:lineRule="auto"/>
        <w:ind w:firstLine="480" w:firstLineChars="200"/>
        <w:rPr>
          <w:rFonts w:ascii="宋体" w:hAnsi="宋体"/>
          <w:color w:val="000000"/>
          <w:sz w:val="24"/>
        </w:rPr>
      </w:pPr>
      <w:r>
        <w:rPr>
          <w:rFonts w:ascii="宋体" w:hAnsi="宋体"/>
          <w:color w:val="000000"/>
          <w:sz w:val="24"/>
        </w:rPr>
        <w:t>（五）</w:t>
      </w:r>
      <w:r>
        <w:rPr>
          <w:rFonts w:hint="eastAsia" w:ascii="宋体" w:hAnsi="宋体" w:cs="宋体"/>
          <w:color w:val="000000"/>
          <w:sz w:val="24"/>
        </w:rPr>
        <w:t>采购项目执行内容需要调整时，经甲方同意后，可以对相应的内容进行调整，并协商确定价格差额计算方法和负担办法。</w:t>
      </w:r>
    </w:p>
    <w:p w14:paraId="66C1E773">
      <w:pPr>
        <w:spacing w:line="480" w:lineRule="exact"/>
        <w:jc w:val="left"/>
        <w:rPr>
          <w:rFonts w:ascii="宋体" w:hAnsi="宋体" w:cs="宋体"/>
          <w:b/>
          <w:sz w:val="24"/>
        </w:rPr>
      </w:pPr>
      <w:r>
        <w:rPr>
          <w:rFonts w:hint="eastAsia" w:ascii="宋体" w:hAnsi="宋体" w:cs="宋体"/>
          <w:b/>
          <w:sz w:val="24"/>
        </w:rPr>
        <w:t>六、技术服务</w:t>
      </w:r>
    </w:p>
    <w:p w14:paraId="71360C38">
      <w:pPr>
        <w:spacing w:line="480" w:lineRule="exact"/>
        <w:ind w:firstLine="482" w:firstLineChars="200"/>
        <w:jc w:val="left"/>
        <w:rPr>
          <w:rFonts w:ascii="宋体" w:hAnsi="宋体" w:cs="宋体"/>
          <w:b/>
          <w:sz w:val="24"/>
        </w:rPr>
      </w:pPr>
      <w:r>
        <w:rPr>
          <w:rFonts w:hint="eastAsia" w:ascii="宋体" w:hAnsi="宋体" w:cs="宋体"/>
          <w:b/>
          <w:sz w:val="24"/>
        </w:rPr>
        <w:t>（一）技术资料</w:t>
      </w:r>
    </w:p>
    <w:p w14:paraId="1197840C">
      <w:pPr>
        <w:spacing w:line="360" w:lineRule="auto"/>
        <w:ind w:firstLine="480" w:firstLineChars="200"/>
        <w:rPr>
          <w:rFonts w:ascii="宋体" w:hAnsi="宋体"/>
          <w:color w:val="000000"/>
          <w:sz w:val="24"/>
        </w:rPr>
      </w:pPr>
      <w:r>
        <w:rPr>
          <w:rFonts w:ascii="宋体" w:hAnsi="宋体"/>
          <w:color w:val="000000"/>
          <w:sz w:val="24"/>
        </w:rPr>
        <w:t>需提交主要成果文档包含如下：</w:t>
      </w:r>
    </w:p>
    <w:p w14:paraId="24D2A7B6">
      <w:pPr>
        <w:spacing w:line="360" w:lineRule="auto"/>
        <w:ind w:firstLine="480" w:firstLineChars="200"/>
        <w:rPr>
          <w:rFonts w:ascii="宋体" w:hAnsi="宋体"/>
          <w:color w:val="000000"/>
          <w:sz w:val="24"/>
        </w:rPr>
      </w:pPr>
      <w:r>
        <w:rPr>
          <w:rFonts w:hint="eastAsia" w:ascii="宋体" w:hAnsi="宋体"/>
          <w:color w:val="000000"/>
          <w:sz w:val="24"/>
        </w:rPr>
        <w:t>1.《信息系统安全等级保护定级备案证明》（两个系统各一份）；</w:t>
      </w:r>
    </w:p>
    <w:p w14:paraId="3A9CE92F">
      <w:pPr>
        <w:spacing w:line="360" w:lineRule="auto"/>
        <w:ind w:firstLine="480" w:firstLineChars="200"/>
        <w:rPr>
          <w:rFonts w:ascii="宋体" w:hAnsi="宋体"/>
          <w:color w:val="000000"/>
          <w:sz w:val="24"/>
        </w:rPr>
      </w:pPr>
      <w:r>
        <w:rPr>
          <w:rFonts w:hint="eastAsia" w:ascii="宋体" w:hAnsi="宋体"/>
          <w:color w:val="000000"/>
          <w:sz w:val="24"/>
        </w:rPr>
        <w:t>2.《信息系统安全等级保护测评方案》（两个系统各一份）；</w:t>
      </w:r>
    </w:p>
    <w:p w14:paraId="6BBB1900">
      <w:pPr>
        <w:spacing w:line="360" w:lineRule="auto"/>
        <w:ind w:firstLine="480" w:firstLineChars="200"/>
        <w:rPr>
          <w:rFonts w:ascii="宋体" w:hAnsi="宋体"/>
          <w:color w:val="000000"/>
          <w:sz w:val="24"/>
        </w:rPr>
      </w:pPr>
      <w:r>
        <w:rPr>
          <w:rFonts w:hint="eastAsia" w:ascii="宋体" w:hAnsi="宋体"/>
          <w:color w:val="000000"/>
          <w:sz w:val="24"/>
        </w:rPr>
        <w:t>3.《信息系统安全等级保护测评报告》（两个系统各一份）；</w:t>
      </w:r>
    </w:p>
    <w:p w14:paraId="1E83AE4B">
      <w:pPr>
        <w:spacing w:line="360" w:lineRule="auto"/>
        <w:ind w:firstLine="480" w:firstLineChars="200"/>
        <w:rPr>
          <w:rFonts w:ascii="宋体" w:hAnsi="宋体"/>
          <w:color w:val="000000"/>
          <w:sz w:val="24"/>
        </w:rPr>
      </w:pPr>
      <w:r>
        <w:rPr>
          <w:rFonts w:hint="eastAsia" w:ascii="宋体" w:hAnsi="宋体"/>
          <w:color w:val="000000"/>
          <w:sz w:val="24"/>
        </w:rPr>
        <w:t>4.《信息系统整改建议书》（两个系统各一份）；</w:t>
      </w:r>
    </w:p>
    <w:p w14:paraId="74211D63">
      <w:pPr>
        <w:spacing w:line="360" w:lineRule="auto"/>
        <w:ind w:firstLine="480" w:firstLineChars="200"/>
        <w:rPr>
          <w:rFonts w:ascii="宋体" w:hAnsi="宋体"/>
          <w:color w:val="000000"/>
          <w:sz w:val="24"/>
        </w:rPr>
      </w:pPr>
      <w:r>
        <w:rPr>
          <w:rFonts w:hint="eastAsia" w:ascii="宋体" w:hAnsi="宋体"/>
          <w:color w:val="000000"/>
          <w:sz w:val="24"/>
        </w:rPr>
        <w:t>5.《信息系统渗透测试报告》（三级系统一份）；</w:t>
      </w:r>
    </w:p>
    <w:p w14:paraId="682AA3AA">
      <w:pPr>
        <w:spacing w:line="480" w:lineRule="exact"/>
        <w:ind w:firstLine="480" w:firstLineChars="200"/>
        <w:rPr>
          <w:rFonts w:ascii="宋体" w:hAnsi="宋体" w:cs="宋体"/>
          <w:sz w:val="24"/>
        </w:rPr>
      </w:pPr>
      <w:r>
        <w:rPr>
          <w:rFonts w:hint="eastAsia" w:ascii="宋体" w:hAnsi="宋体" w:cs="宋体"/>
          <w:sz w:val="24"/>
        </w:rPr>
        <w:t>6.《网络安全应急演练实施方案及总结报告》；</w:t>
      </w:r>
    </w:p>
    <w:p w14:paraId="4A85AE50">
      <w:pPr>
        <w:spacing w:line="480" w:lineRule="exact"/>
        <w:ind w:firstLine="480" w:firstLineChars="200"/>
        <w:rPr>
          <w:rFonts w:ascii="宋体" w:hAnsi="宋体" w:cs="宋体"/>
          <w:sz w:val="24"/>
        </w:rPr>
      </w:pPr>
      <w:r>
        <w:rPr>
          <w:rFonts w:ascii="宋体" w:hAnsi="宋体" w:cs="宋体"/>
          <w:sz w:val="24"/>
        </w:rPr>
        <w:t>7</w:t>
      </w:r>
      <w:r>
        <w:rPr>
          <w:rFonts w:hint="eastAsia" w:ascii="宋体" w:hAnsi="宋体" w:cs="宋体"/>
          <w:sz w:val="24"/>
        </w:rPr>
        <w:t>.提供不少于2次网络安全的培训内容。</w:t>
      </w:r>
    </w:p>
    <w:p w14:paraId="5F7D7588">
      <w:pPr>
        <w:spacing w:line="480" w:lineRule="exact"/>
        <w:ind w:firstLine="482" w:firstLineChars="200"/>
        <w:jc w:val="left"/>
        <w:rPr>
          <w:rFonts w:ascii="宋体" w:hAnsi="宋体" w:cs="宋体"/>
          <w:b/>
          <w:sz w:val="24"/>
        </w:rPr>
      </w:pPr>
      <w:r>
        <w:rPr>
          <w:rFonts w:hint="eastAsia" w:ascii="宋体" w:hAnsi="宋体" w:cs="宋体"/>
          <w:b/>
          <w:sz w:val="24"/>
        </w:rPr>
        <w:t>（二）服务与售后</w:t>
      </w:r>
    </w:p>
    <w:p w14:paraId="249E74E8">
      <w:pPr>
        <w:spacing w:line="360" w:lineRule="auto"/>
        <w:ind w:firstLine="480" w:firstLineChars="200"/>
        <w:rPr>
          <w:rFonts w:ascii="宋体" w:hAnsi="宋体" w:cs="宋体"/>
          <w:color w:val="000000"/>
          <w:sz w:val="24"/>
        </w:rPr>
      </w:pPr>
      <w:r>
        <w:rPr>
          <w:rFonts w:hint="eastAsia" w:ascii="宋体" w:hAnsi="宋体" w:cs="宋体"/>
          <w:color w:val="000000"/>
          <w:sz w:val="24"/>
        </w:rPr>
        <w:t>为期两年的售后服务工作中，服务方将向中国地震局第二监测中心提供包括应急响应、安全监测、配合检查、电话支持、安全咨询、网络安全培训等服务在内的安全维保服务。具体服务内容如下：</w:t>
      </w:r>
    </w:p>
    <w:p w14:paraId="0DFF2BC1">
      <w:pPr>
        <w:spacing w:line="360" w:lineRule="auto"/>
        <w:ind w:firstLine="480" w:firstLineChars="200"/>
        <w:rPr>
          <w:rFonts w:ascii="宋体" w:hAnsi="宋体" w:cs="宋体"/>
          <w:color w:val="000000"/>
          <w:sz w:val="24"/>
        </w:rPr>
      </w:pPr>
      <w:r>
        <w:rPr>
          <w:rFonts w:hint="eastAsia" w:ascii="宋体" w:hAnsi="宋体" w:cs="宋体"/>
          <w:color w:val="000000"/>
          <w:sz w:val="24"/>
        </w:rPr>
        <w:t>（1）应急响应服务</w:t>
      </w:r>
    </w:p>
    <w:p w14:paraId="090B39EA">
      <w:pPr>
        <w:spacing w:line="360" w:lineRule="auto"/>
        <w:ind w:firstLine="480" w:firstLineChars="200"/>
        <w:rPr>
          <w:rFonts w:ascii="宋体" w:hAnsi="宋体" w:cs="宋体"/>
          <w:color w:val="000000"/>
          <w:sz w:val="24"/>
        </w:rPr>
      </w:pPr>
      <w:r>
        <w:rPr>
          <w:rFonts w:hint="eastAsia" w:ascii="宋体" w:hAnsi="宋体" w:cs="宋体"/>
          <w:color w:val="000000"/>
          <w:sz w:val="24"/>
        </w:rPr>
        <w:t>针对本次项目，服务方提供7X24的常规应急响应及灾难恢复专家服务。在接到用户故障报修电话10分钟内响应。对客户信息网络应用系统突发的信息安全事件进行响应、处理、恢复、取证、跟踪、事后分析的方法及过程。</w:t>
      </w:r>
    </w:p>
    <w:p w14:paraId="6142E5D1">
      <w:pPr>
        <w:spacing w:line="360" w:lineRule="auto"/>
        <w:ind w:firstLine="480" w:firstLineChars="200"/>
        <w:rPr>
          <w:rFonts w:ascii="宋体" w:hAnsi="宋体" w:cs="宋体"/>
          <w:color w:val="000000"/>
          <w:sz w:val="24"/>
        </w:rPr>
      </w:pPr>
      <w:r>
        <w:rPr>
          <w:rFonts w:hint="eastAsia" w:ascii="宋体" w:hAnsi="宋体" w:cs="宋体"/>
          <w:color w:val="000000"/>
          <w:sz w:val="24"/>
        </w:rPr>
        <w:t>（2） 配合检查服务</w:t>
      </w:r>
    </w:p>
    <w:p w14:paraId="00B3D5D9">
      <w:pPr>
        <w:spacing w:line="360" w:lineRule="auto"/>
        <w:ind w:firstLine="480" w:firstLineChars="200"/>
        <w:rPr>
          <w:rFonts w:ascii="宋体" w:hAnsi="宋体" w:cs="宋体"/>
          <w:color w:val="000000"/>
          <w:sz w:val="24"/>
        </w:rPr>
      </w:pPr>
      <w:r>
        <w:rPr>
          <w:rFonts w:hint="eastAsia" w:ascii="宋体" w:hAnsi="宋体" w:cs="宋体"/>
          <w:color w:val="000000"/>
          <w:sz w:val="24"/>
        </w:rPr>
        <w:t>服务方免费协助中国地震局第二监测中心响应公安机关、单位内部以及第三方机构针对信息系统安全等级保护工作的检查工作。服务内容包括协助中国地震局第二监测中心准备、完善各类资料文档，配合检查过程中的答疑及技术支持及其他现场检查的响应。</w:t>
      </w:r>
    </w:p>
    <w:p w14:paraId="721235B9">
      <w:pPr>
        <w:spacing w:line="360" w:lineRule="auto"/>
        <w:ind w:firstLine="480" w:firstLineChars="200"/>
        <w:rPr>
          <w:rFonts w:ascii="宋体" w:hAnsi="宋体" w:cs="宋体"/>
          <w:color w:val="000000"/>
          <w:sz w:val="24"/>
        </w:rPr>
      </w:pPr>
      <w:r>
        <w:rPr>
          <w:rFonts w:hint="eastAsia" w:ascii="宋体" w:hAnsi="宋体" w:cs="宋体"/>
          <w:color w:val="000000"/>
          <w:sz w:val="24"/>
        </w:rPr>
        <w:t>（3）电话支持服务</w:t>
      </w:r>
    </w:p>
    <w:p w14:paraId="7F07A7AC">
      <w:pPr>
        <w:spacing w:line="360" w:lineRule="auto"/>
        <w:ind w:firstLine="480" w:firstLineChars="200"/>
        <w:rPr>
          <w:rFonts w:ascii="宋体" w:hAnsi="宋体" w:cs="宋体"/>
          <w:color w:val="000000"/>
          <w:sz w:val="24"/>
        </w:rPr>
      </w:pPr>
      <w:r>
        <w:rPr>
          <w:rFonts w:hint="eastAsia" w:ascii="宋体" w:hAnsi="宋体" w:cs="宋体"/>
          <w:color w:val="000000"/>
          <w:sz w:val="24"/>
        </w:rPr>
        <w:t>每周7天/每天24小时不间断的电话支持服务，解答中国地震局第二监测中心在使用过程中遇到的问题，及时提出解决问题的建议和操作方法。电话响应时间不</w:t>
      </w:r>
      <w:r>
        <w:rPr>
          <w:rFonts w:hint="eastAsia" w:ascii="宋体" w:hAnsi="宋体" w:cs="宋体"/>
          <w:color w:val="000000"/>
          <w:sz w:val="24"/>
          <w:lang w:eastAsia="zh-Hans"/>
        </w:rPr>
        <w:t>超过</w:t>
      </w:r>
      <w:r>
        <w:rPr>
          <w:rFonts w:hint="eastAsia" w:ascii="宋体" w:hAnsi="宋体" w:cs="宋体"/>
          <w:color w:val="000000"/>
          <w:sz w:val="24"/>
        </w:rPr>
        <w:t>10分钟，到达现场时间不超过2小时，解决问题不超过24小时。</w:t>
      </w:r>
    </w:p>
    <w:p w14:paraId="50EC7E4F">
      <w:pPr>
        <w:spacing w:line="360" w:lineRule="auto"/>
        <w:ind w:firstLine="480" w:firstLineChars="200"/>
        <w:rPr>
          <w:rFonts w:ascii="宋体" w:hAnsi="宋体" w:cs="宋体"/>
          <w:color w:val="000000"/>
          <w:sz w:val="24"/>
        </w:rPr>
      </w:pPr>
      <w:r>
        <w:rPr>
          <w:rFonts w:hint="eastAsia" w:ascii="宋体" w:hAnsi="宋体" w:cs="宋体"/>
          <w:color w:val="000000"/>
          <w:sz w:val="24"/>
        </w:rPr>
        <w:t>（4）安全咨询服务</w:t>
      </w:r>
    </w:p>
    <w:p w14:paraId="0B0C19C4">
      <w:pPr>
        <w:spacing w:line="360" w:lineRule="auto"/>
        <w:ind w:firstLine="480" w:firstLineChars="200"/>
        <w:rPr>
          <w:rFonts w:ascii="宋体" w:hAnsi="宋体" w:cs="宋体"/>
          <w:color w:val="000000"/>
          <w:sz w:val="24"/>
        </w:rPr>
      </w:pPr>
      <w:r>
        <w:rPr>
          <w:rFonts w:hint="eastAsia" w:ascii="宋体" w:hAnsi="宋体" w:cs="宋体"/>
          <w:color w:val="000000"/>
          <w:sz w:val="24"/>
        </w:rPr>
        <w:t>服务方为中国地震局第二监测中心免费提供二年技术咨询服务，包括信息系统整改建设咨询服务以及其他相关安全咨询服务，一旦接到用户的服务请求，技术服务工程师将立即开始提供服务，帮助客户解决信息安全相关技术问题，全面配合中国地震局第二监测中心做好业务系统安全保障工作。</w:t>
      </w:r>
    </w:p>
    <w:p w14:paraId="0A546063">
      <w:pPr>
        <w:spacing w:line="360" w:lineRule="auto"/>
        <w:ind w:firstLine="480" w:firstLineChars="200"/>
        <w:rPr>
          <w:rFonts w:ascii="宋体" w:hAnsi="宋体" w:cs="宋体"/>
          <w:color w:val="000000"/>
          <w:sz w:val="24"/>
        </w:rPr>
      </w:pPr>
      <w:r>
        <w:rPr>
          <w:rFonts w:hint="eastAsia" w:ascii="宋体" w:hAnsi="宋体" w:cs="宋体"/>
          <w:color w:val="000000"/>
          <w:sz w:val="24"/>
        </w:rPr>
        <w:t>（5）重保时间段驻场服务</w:t>
      </w:r>
    </w:p>
    <w:p w14:paraId="160FDDFB">
      <w:pPr>
        <w:spacing w:line="360" w:lineRule="auto"/>
        <w:ind w:firstLine="480" w:firstLineChars="200"/>
        <w:rPr>
          <w:rFonts w:ascii="宋体" w:hAnsi="宋体" w:cs="宋体"/>
          <w:color w:val="000000"/>
          <w:sz w:val="24"/>
        </w:rPr>
      </w:pPr>
      <w:r>
        <w:rPr>
          <w:rFonts w:hint="eastAsia" w:ascii="宋体" w:hAnsi="宋体" w:cs="宋体"/>
          <w:sz w:val="24"/>
        </w:rPr>
        <w:t>提供不少于15天的重大时期安全保障服务，包括网络安全事件处置和溯源分析，每</w:t>
      </w:r>
      <w:r>
        <w:rPr>
          <w:rFonts w:hint="eastAsia" w:ascii="宋体" w:hAnsi="宋体" w:cs="宋体"/>
          <w:color w:val="000000"/>
          <w:sz w:val="24"/>
        </w:rPr>
        <w:t>次重保完成提供分析报告。</w:t>
      </w:r>
    </w:p>
    <w:p w14:paraId="13B26247">
      <w:pPr>
        <w:spacing w:line="360" w:lineRule="auto"/>
        <w:ind w:firstLine="480" w:firstLineChars="200"/>
        <w:rPr>
          <w:rFonts w:ascii="宋体" w:hAnsi="宋体" w:cs="宋体"/>
          <w:color w:val="000000"/>
          <w:sz w:val="24"/>
        </w:rPr>
      </w:pPr>
      <w:r>
        <w:rPr>
          <w:rFonts w:hint="eastAsia" w:ascii="宋体" w:hAnsi="宋体" w:cs="宋体"/>
          <w:color w:val="000000"/>
          <w:sz w:val="24"/>
        </w:rPr>
        <w:t>（6）网络安全培训服务</w:t>
      </w:r>
    </w:p>
    <w:p w14:paraId="02A0B2AB">
      <w:pPr>
        <w:spacing w:line="360" w:lineRule="auto"/>
        <w:ind w:firstLine="480" w:firstLineChars="200"/>
        <w:rPr>
          <w:rFonts w:ascii="宋体" w:hAnsi="宋体" w:cs="宋体"/>
          <w:color w:val="000000"/>
          <w:sz w:val="24"/>
        </w:rPr>
      </w:pPr>
      <w:r>
        <w:rPr>
          <w:rFonts w:hint="eastAsia" w:ascii="宋体" w:hAnsi="宋体" w:cs="宋体"/>
          <w:color w:val="000000"/>
          <w:sz w:val="24"/>
        </w:rPr>
        <w:t>提供不少于两次的网络安全培训服务，针对网络安全知识及安全法规培训，培训内容包括不限于：网络安全法律法规知识普及、典型信息安全事件知识案例讲解、网络安全风险防范、安全保密意识建立以及前沿信息安全技术知识培训等。</w:t>
      </w:r>
    </w:p>
    <w:p w14:paraId="5166781F">
      <w:pPr>
        <w:spacing w:line="360" w:lineRule="auto"/>
        <w:ind w:firstLine="480" w:firstLineChars="200"/>
        <w:rPr>
          <w:rFonts w:ascii="宋体" w:hAnsi="宋体" w:cs="宋体"/>
          <w:color w:val="000000"/>
          <w:sz w:val="24"/>
        </w:rPr>
      </w:pPr>
      <w:r>
        <w:rPr>
          <w:rFonts w:hint="eastAsia" w:ascii="宋体" w:hAnsi="宋体" w:cs="宋体"/>
          <w:color w:val="000000"/>
          <w:sz w:val="24"/>
        </w:rPr>
        <w:t>（7）应急演练服务</w:t>
      </w:r>
    </w:p>
    <w:p w14:paraId="59B4B8C1">
      <w:pPr>
        <w:spacing w:line="360" w:lineRule="auto"/>
        <w:ind w:firstLine="480" w:firstLineChars="200"/>
        <w:rPr>
          <w:rFonts w:ascii="宋体" w:hAnsi="宋体" w:cs="宋体"/>
          <w:color w:val="000000"/>
          <w:sz w:val="24"/>
        </w:rPr>
      </w:pPr>
      <w:r>
        <w:rPr>
          <w:rFonts w:hint="eastAsia" w:ascii="宋体" w:hAnsi="宋体" w:cs="宋体"/>
          <w:color w:val="000000"/>
          <w:sz w:val="24"/>
        </w:rPr>
        <w:t>提供网络安全应急演练，模拟网络安全攻击，进行应急演练，增强系统应对安全突发事件的应急处置能力。</w:t>
      </w:r>
    </w:p>
    <w:p w14:paraId="051E4DEC">
      <w:pPr>
        <w:spacing w:line="480" w:lineRule="exact"/>
        <w:jc w:val="left"/>
        <w:rPr>
          <w:rFonts w:ascii="宋体" w:hAnsi="宋体" w:cs="宋体"/>
          <w:b/>
          <w:sz w:val="24"/>
        </w:rPr>
      </w:pPr>
      <w:r>
        <w:rPr>
          <w:rFonts w:hint="eastAsia" w:ascii="宋体" w:hAnsi="宋体" w:cs="宋体"/>
          <w:b/>
          <w:sz w:val="24"/>
        </w:rPr>
        <w:t>七、违约责任</w:t>
      </w:r>
    </w:p>
    <w:p w14:paraId="56B6F290">
      <w:pPr>
        <w:spacing w:line="480" w:lineRule="exact"/>
        <w:ind w:firstLine="480" w:firstLineChars="200"/>
        <w:rPr>
          <w:rFonts w:ascii="宋体" w:hAnsi="宋体" w:cs="宋体"/>
          <w:color w:val="000000"/>
          <w:sz w:val="24"/>
        </w:rPr>
      </w:pPr>
      <w:r>
        <w:rPr>
          <w:rFonts w:hint="eastAsia" w:ascii="宋体" w:hAnsi="宋体" w:cs="宋体"/>
          <w:color w:val="000000"/>
          <w:sz w:val="24"/>
        </w:rPr>
        <w:t>（一）按《中华人民共和国民法典》中的相关条款执行。</w:t>
      </w:r>
    </w:p>
    <w:p w14:paraId="6D8733F0">
      <w:pPr>
        <w:spacing w:line="480" w:lineRule="exact"/>
        <w:ind w:firstLine="480" w:firstLineChars="200"/>
        <w:rPr>
          <w:rFonts w:ascii="宋体" w:hAnsi="宋体" w:cs="宋体"/>
          <w:color w:val="000000"/>
          <w:sz w:val="24"/>
        </w:rPr>
      </w:pPr>
      <w:r>
        <w:rPr>
          <w:rFonts w:hint="eastAsia" w:ascii="宋体" w:hAnsi="宋体" w:cs="宋体"/>
          <w:color w:val="000000"/>
          <w:sz w:val="24"/>
        </w:rPr>
        <w:t>（二）乙方未按期完成技术服务工作的，每逾期一周，应向甲方支付相当于技术服务报酬0.2%的违约金，逾期超过30日的，甲方有权单方解除合同，乙方应当支付相当于合同金额5%的违约金。</w:t>
      </w:r>
    </w:p>
    <w:p w14:paraId="3CFF6092">
      <w:pPr>
        <w:spacing w:line="480" w:lineRule="exact"/>
        <w:ind w:firstLine="480" w:firstLineChars="200"/>
        <w:rPr>
          <w:rFonts w:ascii="宋体" w:hAnsi="宋体" w:cs="宋体"/>
          <w:color w:val="000000"/>
          <w:sz w:val="24"/>
        </w:rPr>
      </w:pPr>
      <w:r>
        <w:rPr>
          <w:rFonts w:hint="eastAsia" w:ascii="宋体" w:hAnsi="宋体" w:cs="宋体"/>
          <w:color w:val="000000"/>
          <w:sz w:val="24"/>
        </w:rPr>
        <w:t>（三）乙方未按合同约定履行合同义务，经甲方催告仍未纠正的，甲方有权单方解除合同。由于整改纠正造成进度延期交付的视同逾期交付。</w:t>
      </w:r>
    </w:p>
    <w:p w14:paraId="559C57C4">
      <w:pPr>
        <w:spacing w:line="480" w:lineRule="exact"/>
        <w:ind w:firstLine="480" w:firstLineChars="200"/>
        <w:rPr>
          <w:rFonts w:ascii="宋体" w:hAnsi="宋体" w:cs="宋体"/>
          <w:color w:val="000000"/>
          <w:sz w:val="24"/>
        </w:rPr>
      </w:pPr>
      <w:r>
        <w:rPr>
          <w:rFonts w:hint="eastAsia" w:ascii="宋体" w:hAnsi="宋体" w:cs="宋体"/>
          <w:color w:val="000000"/>
          <w:sz w:val="24"/>
        </w:rPr>
        <w:t>（四）乙方提供的技术服务不符合本合同约定的验收标准，未通过甲方验收的，乙方应退还甲方已支付的全部款项，并向甲方支付相当于技术服务报酬10%的违约金。</w:t>
      </w:r>
    </w:p>
    <w:p w14:paraId="36C00E37">
      <w:pPr>
        <w:spacing w:line="480" w:lineRule="exact"/>
        <w:ind w:firstLine="480" w:firstLineChars="200"/>
        <w:rPr>
          <w:rFonts w:ascii="宋体" w:hAnsi="宋体" w:cs="宋体"/>
          <w:color w:val="000000"/>
          <w:sz w:val="24"/>
        </w:rPr>
      </w:pPr>
      <w:r>
        <w:rPr>
          <w:rFonts w:hint="eastAsia" w:ascii="宋体" w:hAnsi="宋体" w:cs="宋体"/>
          <w:color w:val="000000"/>
          <w:sz w:val="24"/>
        </w:rPr>
        <w:t>（五）乙方违反合同约定的保密义务，应承担一切法律责任并向甲方支付相当于技术服务报酬5%的违约金。</w:t>
      </w:r>
    </w:p>
    <w:p w14:paraId="241BEFE8">
      <w:pPr>
        <w:spacing w:line="480" w:lineRule="exact"/>
        <w:ind w:firstLine="480" w:firstLineChars="200"/>
        <w:rPr>
          <w:rFonts w:ascii="宋体" w:hAnsi="宋体" w:cs="宋体"/>
          <w:color w:val="000000"/>
          <w:sz w:val="24"/>
        </w:rPr>
      </w:pPr>
      <w:r>
        <w:rPr>
          <w:rFonts w:hint="eastAsia" w:ascii="宋体" w:hAnsi="宋体" w:cs="宋体"/>
          <w:color w:val="000000"/>
          <w:sz w:val="24"/>
        </w:rPr>
        <w:t>（六）合同因乙方原因解除的，甲方有权要求乙方退还甲方已支付的全部款项，且乙方应向甲方支付相当于技术服务报酬10%的违约金。</w:t>
      </w:r>
    </w:p>
    <w:p w14:paraId="2E12ECD1">
      <w:pPr>
        <w:spacing w:line="480" w:lineRule="exact"/>
        <w:ind w:firstLine="480" w:firstLineChars="200"/>
        <w:rPr>
          <w:rFonts w:ascii="宋体" w:hAnsi="宋体" w:cs="宋体"/>
          <w:color w:val="000000"/>
          <w:sz w:val="24"/>
        </w:rPr>
      </w:pPr>
      <w:r>
        <w:rPr>
          <w:rFonts w:hint="eastAsia" w:ascii="宋体" w:hAnsi="宋体" w:cs="宋体"/>
          <w:color w:val="000000"/>
          <w:sz w:val="24"/>
        </w:rPr>
        <w:t>（七）如有纠纷，双方友好协商解决，协商不成时可诉讼到甲方所在地人民法院解决。</w:t>
      </w:r>
    </w:p>
    <w:p w14:paraId="69CEB224">
      <w:pPr>
        <w:spacing w:line="480" w:lineRule="exact"/>
        <w:jc w:val="left"/>
        <w:rPr>
          <w:rFonts w:ascii="宋体" w:hAnsi="宋体"/>
          <w:b/>
          <w:sz w:val="24"/>
        </w:rPr>
      </w:pPr>
      <w:r>
        <w:rPr>
          <w:rFonts w:hint="eastAsia" w:ascii="宋体" w:hAnsi="宋体"/>
          <w:b/>
          <w:sz w:val="24"/>
        </w:rPr>
        <w:t>八、验收</w:t>
      </w:r>
    </w:p>
    <w:p w14:paraId="3A9136AB">
      <w:pPr>
        <w:pStyle w:val="5"/>
        <w:ind w:firstLine="480" w:firstLineChars="200"/>
        <w:rPr>
          <w:color w:val="000000"/>
        </w:rPr>
      </w:pPr>
      <w:r>
        <w:rPr>
          <w:rFonts w:hint="eastAsia"/>
        </w:rPr>
        <w:t>乙方完成系统的等级保护测评工作、应急演练工作、重保驻场工作、培训工作，并</w:t>
      </w:r>
      <w:r>
        <w:rPr>
          <w:rFonts w:hint="eastAsia"/>
          <w:color w:val="000000"/>
        </w:rPr>
        <w:t>提交第六条中的相关技术资料，甲方通过审核后即为完成验收。</w:t>
      </w:r>
    </w:p>
    <w:p w14:paraId="5851E337">
      <w:pPr>
        <w:pStyle w:val="5"/>
        <w:rPr>
          <w:b/>
        </w:rPr>
      </w:pPr>
      <w:r>
        <w:rPr>
          <w:rFonts w:hint="eastAsia"/>
          <w:b/>
        </w:rPr>
        <w:t>九、保密责任与义务</w:t>
      </w:r>
    </w:p>
    <w:p w14:paraId="1E0684AA">
      <w:pPr>
        <w:spacing w:line="480" w:lineRule="exact"/>
        <w:ind w:firstLine="480" w:firstLineChars="200"/>
        <w:rPr>
          <w:rFonts w:ascii="宋体" w:hAnsi="宋体" w:cs="宋体"/>
          <w:sz w:val="24"/>
        </w:rPr>
      </w:pPr>
      <w:r>
        <w:rPr>
          <w:rFonts w:hint="eastAsia" w:ascii="宋体" w:hAnsi="宋体" w:cs="宋体"/>
          <w:sz w:val="24"/>
        </w:rPr>
        <w:t>（一）乙方工作人员必须按照甲方对外来工作人员的有关保密管理规定，进行项目的各项活动，在项目活动中保证处理、存储、传输甲方秘密的安全。</w:t>
      </w:r>
    </w:p>
    <w:p w14:paraId="4BC9C995">
      <w:pPr>
        <w:spacing w:line="480" w:lineRule="exact"/>
        <w:ind w:firstLine="480" w:firstLineChars="200"/>
        <w:rPr>
          <w:rFonts w:ascii="宋体" w:hAnsi="宋体" w:cs="宋体"/>
          <w:sz w:val="24"/>
        </w:rPr>
      </w:pPr>
      <w:r>
        <w:rPr>
          <w:rFonts w:hint="eastAsia" w:ascii="宋体" w:hAnsi="宋体" w:cs="宋体"/>
          <w:sz w:val="24"/>
        </w:rPr>
        <w:t>（二）乙方对甲方提供的图纸资料、技术文件等涉及工作秘密和商业秘密的载体都必须进行有效控制，实行专人管理；不得进行非授权操作，不得复制和泄露任何敏感信息。未经甲方书面许可，不得向第三方泄露。</w:t>
      </w:r>
    </w:p>
    <w:p w14:paraId="0D0B39F9">
      <w:pPr>
        <w:spacing w:line="480" w:lineRule="exact"/>
        <w:ind w:firstLine="480" w:firstLineChars="200"/>
        <w:rPr>
          <w:rFonts w:ascii="宋体" w:hAnsi="宋体" w:cs="宋体"/>
          <w:sz w:val="24"/>
        </w:rPr>
      </w:pPr>
      <w:r>
        <w:rPr>
          <w:rFonts w:hint="eastAsia" w:ascii="宋体" w:hAnsi="宋体" w:cs="宋体"/>
          <w:sz w:val="24"/>
        </w:rPr>
        <w:t>（三）对于涉及甲方秘密的各种形式的交流，双方均应注意保密。乙方应接受甲方的保密管理。</w:t>
      </w:r>
    </w:p>
    <w:p w14:paraId="37320BA0">
      <w:pPr>
        <w:spacing w:line="480" w:lineRule="exact"/>
        <w:ind w:firstLine="480" w:firstLineChars="200"/>
        <w:rPr>
          <w:rFonts w:ascii="宋体" w:hAnsi="宋体" w:cs="宋体"/>
          <w:sz w:val="24"/>
        </w:rPr>
      </w:pPr>
      <w:r>
        <w:rPr>
          <w:rFonts w:hint="eastAsia" w:ascii="宋体" w:hAnsi="宋体" w:cs="宋体"/>
          <w:sz w:val="24"/>
        </w:rPr>
        <w:t>（四）乙方应甄选政治可靠、思想进步、作风正派、技术合格的人员承担甲方项目的建设、维护工作，并保持这些人员的相对稳定，人员名单见本协议附件。如果需要变更项目参加人员，需经甲方的书面同意。</w:t>
      </w:r>
    </w:p>
    <w:p w14:paraId="0A738A19">
      <w:pPr>
        <w:spacing w:line="480" w:lineRule="exact"/>
        <w:ind w:firstLine="480" w:firstLineChars="200"/>
        <w:rPr>
          <w:rFonts w:ascii="宋体" w:hAnsi="宋体" w:cs="宋体"/>
          <w:sz w:val="24"/>
        </w:rPr>
      </w:pPr>
      <w:r>
        <w:rPr>
          <w:rFonts w:hint="eastAsia" w:ascii="宋体" w:hAnsi="宋体" w:cs="宋体"/>
          <w:sz w:val="24"/>
        </w:rPr>
        <w:t>（五）在乙方人员上岗前，乙方应对项目参加人员进行上岗前的安全培训，甲乙方均有责任对项目人员对安全管理要求的执行情况进行定期或不定期的检查。</w:t>
      </w:r>
    </w:p>
    <w:p w14:paraId="2FD3402B">
      <w:pPr>
        <w:spacing w:line="480" w:lineRule="exact"/>
        <w:ind w:firstLine="480" w:firstLineChars="200"/>
        <w:rPr>
          <w:rFonts w:ascii="宋体" w:hAnsi="宋体" w:cs="宋体"/>
          <w:sz w:val="24"/>
        </w:rPr>
      </w:pPr>
      <w:r>
        <w:rPr>
          <w:rFonts w:hint="eastAsia" w:ascii="宋体" w:hAnsi="宋体" w:cs="宋体"/>
          <w:sz w:val="24"/>
        </w:rPr>
        <w:t>（六）乙方应确保涉及甲方秘密的文件、资料不因乙方员工离岗、离职而造成泄露。</w:t>
      </w:r>
    </w:p>
    <w:p w14:paraId="5385AC3C">
      <w:pPr>
        <w:spacing w:line="480" w:lineRule="exact"/>
        <w:ind w:firstLine="480" w:firstLineChars="200"/>
        <w:rPr>
          <w:rFonts w:ascii="宋体" w:hAnsi="宋体" w:cs="宋体"/>
          <w:sz w:val="24"/>
        </w:rPr>
      </w:pPr>
      <w:r>
        <w:rPr>
          <w:rFonts w:hint="eastAsia" w:ascii="宋体" w:hAnsi="宋体" w:cs="宋体"/>
          <w:sz w:val="24"/>
        </w:rPr>
        <w:t>（七）乙方在完成项目建设并通过验收后，须将甲方的全部项目文件、资料退还甲方，并履行相关手续。</w:t>
      </w:r>
    </w:p>
    <w:p w14:paraId="328BBF0D">
      <w:pPr>
        <w:spacing w:line="480" w:lineRule="exact"/>
        <w:rPr>
          <w:rFonts w:ascii="宋体" w:hAnsi="宋体"/>
          <w:b/>
          <w:sz w:val="24"/>
        </w:rPr>
      </w:pPr>
      <w:r>
        <w:rPr>
          <w:rFonts w:hint="eastAsia" w:ascii="宋体" w:hAnsi="宋体"/>
          <w:b/>
          <w:sz w:val="24"/>
        </w:rPr>
        <w:t>十、其他事项</w:t>
      </w:r>
    </w:p>
    <w:p w14:paraId="09A0745A">
      <w:pPr>
        <w:spacing w:line="480" w:lineRule="exact"/>
        <w:ind w:firstLine="480" w:firstLineChars="200"/>
        <w:jc w:val="left"/>
        <w:rPr>
          <w:rFonts w:ascii="宋体" w:hAnsi="宋体"/>
          <w:sz w:val="24"/>
        </w:rPr>
      </w:pPr>
      <w:r>
        <w:rPr>
          <w:rFonts w:hint="eastAsia" w:ascii="宋体" w:hAnsi="宋体"/>
          <w:sz w:val="24"/>
        </w:rPr>
        <w:t>（一）采购人在合同的履行期间以及履行期后，可以随时检查项目的执行情况，对采购标准、采购内容进行调查核实，并对发现的问题进行处理。</w:t>
      </w:r>
    </w:p>
    <w:p w14:paraId="2DDE4E53">
      <w:pPr>
        <w:spacing w:line="480" w:lineRule="exact"/>
        <w:ind w:firstLine="480" w:firstLineChars="200"/>
        <w:jc w:val="left"/>
        <w:rPr>
          <w:rFonts w:ascii="宋体" w:hAnsi="宋体"/>
          <w:sz w:val="24"/>
        </w:rPr>
      </w:pPr>
      <w:r>
        <w:rPr>
          <w:rFonts w:hint="eastAsia" w:ascii="宋体" w:hAnsi="宋体"/>
          <w:sz w:val="24"/>
        </w:rPr>
        <w:t>（二）本合同一式六份，甲方执三份，乙方执二份，采购代理机构执一份，甲乙双方签字盖章后生效。</w:t>
      </w:r>
    </w:p>
    <w:p w14:paraId="48D15CE3">
      <w:pPr>
        <w:spacing w:line="480" w:lineRule="exact"/>
        <w:ind w:firstLine="480" w:firstLineChars="200"/>
        <w:jc w:val="left"/>
        <w:rPr>
          <w:rFonts w:ascii="宋体" w:hAnsi="宋体"/>
          <w:sz w:val="24"/>
        </w:rPr>
      </w:pPr>
      <w:r>
        <w:rPr>
          <w:rFonts w:hint="eastAsia" w:ascii="宋体" w:hAnsi="宋体"/>
          <w:sz w:val="24"/>
        </w:rPr>
        <w:t>（三）招标</w:t>
      </w:r>
      <w:r>
        <w:rPr>
          <w:rFonts w:hint="eastAsia" w:ascii="宋体" w:hAnsi="宋体"/>
          <w:bCs/>
          <w:sz w:val="24"/>
        </w:rPr>
        <w:t>文件、投标文件也是合同的组成部分，合同中未约定的以招标文件、投标文件为准。</w:t>
      </w:r>
    </w:p>
    <w:p w14:paraId="23138DF4">
      <w:pPr>
        <w:spacing w:line="480" w:lineRule="exact"/>
        <w:ind w:firstLine="600" w:firstLineChars="250"/>
        <w:jc w:val="left"/>
        <w:rPr>
          <w:rFonts w:ascii="宋体" w:hAnsi="宋体"/>
          <w:sz w:val="24"/>
        </w:rPr>
      </w:pPr>
      <w:r>
        <w:rPr>
          <w:rFonts w:hint="eastAsia" w:ascii="宋体" w:hAnsi="宋体"/>
          <w:sz w:val="24"/>
        </w:rPr>
        <w:t xml:space="preserve">  </w:t>
      </w:r>
    </w:p>
    <w:p w14:paraId="5E5F72A9">
      <w:pPr>
        <w:spacing w:line="480" w:lineRule="exact"/>
        <w:jc w:val="left"/>
        <w:rPr>
          <w:rFonts w:ascii="宋体" w:hAnsi="宋体"/>
          <w:sz w:val="24"/>
        </w:rPr>
      </w:pPr>
    </w:p>
    <w:p w14:paraId="2B88CC8B">
      <w:pPr>
        <w:spacing w:line="480" w:lineRule="exact"/>
        <w:jc w:val="left"/>
        <w:rPr>
          <w:rFonts w:ascii="宋体" w:hAnsi="宋体"/>
          <w:sz w:val="24"/>
        </w:rPr>
      </w:pPr>
      <w:r>
        <w:rPr>
          <w:rFonts w:hint="eastAsia" w:ascii="宋体" w:hAnsi="宋体"/>
          <w:sz w:val="24"/>
        </w:rPr>
        <w:t>甲    方                           乙    方</w:t>
      </w:r>
    </w:p>
    <w:p w14:paraId="3B25CF30">
      <w:pPr>
        <w:spacing w:line="480" w:lineRule="exact"/>
        <w:jc w:val="left"/>
        <w:rPr>
          <w:rFonts w:ascii="宋体" w:hAnsi="宋体"/>
          <w:sz w:val="24"/>
        </w:rPr>
      </w:pPr>
      <w:r>
        <w:rPr>
          <w:rFonts w:hint="eastAsia" w:ascii="宋体" w:hAnsi="宋体"/>
          <w:sz w:val="24"/>
        </w:rPr>
        <w:t xml:space="preserve">单位名称：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单位名称： </w:t>
      </w:r>
    </w:p>
    <w:p w14:paraId="0AE8ADDF">
      <w:pPr>
        <w:spacing w:line="480" w:lineRule="exact"/>
        <w:jc w:val="left"/>
        <w:rPr>
          <w:rFonts w:ascii="宋体" w:hAnsi="宋体"/>
          <w:sz w:val="24"/>
        </w:rPr>
      </w:pPr>
      <w:r>
        <w:rPr>
          <w:rFonts w:hint="eastAsia" w:ascii="宋体" w:hAnsi="宋体"/>
          <w:sz w:val="24"/>
        </w:rPr>
        <w:t xml:space="preserve">地   址：  </w:t>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地    址：</w:t>
      </w:r>
    </w:p>
    <w:p w14:paraId="29699F5E">
      <w:pPr>
        <w:spacing w:line="480" w:lineRule="exact"/>
        <w:jc w:val="left"/>
        <w:rPr>
          <w:rFonts w:ascii="宋体" w:hAnsi="宋体"/>
          <w:sz w:val="24"/>
        </w:rPr>
      </w:pPr>
      <w:r>
        <w:rPr>
          <w:rFonts w:hint="eastAsia" w:ascii="宋体" w:hAnsi="宋体"/>
          <w:sz w:val="24"/>
        </w:rPr>
        <w:t xml:space="preserve">法人代表：                         法人代表： </w:t>
      </w:r>
    </w:p>
    <w:p w14:paraId="2FFDFE25">
      <w:pPr>
        <w:spacing w:line="480" w:lineRule="exact"/>
        <w:jc w:val="left"/>
        <w:rPr>
          <w:rFonts w:ascii="宋体" w:hAnsi="宋体"/>
          <w:sz w:val="24"/>
        </w:rPr>
      </w:pPr>
      <w:r>
        <w:rPr>
          <w:rFonts w:hint="eastAsia" w:ascii="宋体" w:hAnsi="宋体"/>
          <w:sz w:val="24"/>
        </w:rPr>
        <w:t xml:space="preserve">联系电话：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联系电话： </w:t>
      </w:r>
    </w:p>
    <w:p w14:paraId="69F6C5BD">
      <w:pPr>
        <w:spacing w:line="480" w:lineRule="exact"/>
        <w:jc w:val="left"/>
        <w:rPr>
          <w:rFonts w:ascii="宋体" w:hAnsi="宋体"/>
          <w:sz w:val="24"/>
        </w:rPr>
      </w:pPr>
      <w:r>
        <w:rPr>
          <w:rFonts w:hint="eastAsia" w:ascii="宋体" w:hAnsi="宋体"/>
          <w:sz w:val="24"/>
        </w:rPr>
        <w:t xml:space="preserve">开 户 行：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开 户 行： </w:t>
      </w:r>
    </w:p>
    <w:p w14:paraId="62336D1D">
      <w:pPr>
        <w:spacing w:line="480" w:lineRule="exact"/>
        <w:jc w:val="left"/>
        <w:rPr>
          <w:rFonts w:ascii="宋体" w:hAnsi="宋体"/>
          <w:sz w:val="24"/>
        </w:rPr>
      </w:pPr>
      <w:r>
        <w:rPr>
          <w:rFonts w:hint="eastAsia" w:ascii="宋体" w:hAnsi="宋体"/>
          <w:sz w:val="24"/>
        </w:rPr>
        <w:t xml:space="preserve">账    号：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账    号：</w:t>
      </w:r>
    </w:p>
    <w:p w14:paraId="7343B4BA">
      <w:pPr>
        <w:spacing w:line="480" w:lineRule="exact"/>
        <w:jc w:val="left"/>
        <w:rPr>
          <w:rFonts w:ascii="宋体" w:hAnsi="宋体"/>
          <w:sz w:val="24"/>
        </w:rPr>
      </w:pPr>
    </w:p>
    <w:p w14:paraId="66D15E39">
      <w:pPr>
        <w:jc w:val="center"/>
        <w:rPr>
          <w:rFonts w:ascii="宋体" w:hAnsi="宋体"/>
          <w:sz w:val="32"/>
          <w:szCs w:val="32"/>
        </w:rPr>
      </w:pPr>
      <w:r>
        <w:rPr>
          <w:rFonts w:ascii="宋体" w:hAnsi="宋体"/>
          <w:sz w:val="32"/>
          <w:szCs w:val="32"/>
        </w:rPr>
        <w:br w:type="page"/>
      </w:r>
    </w:p>
    <w:p w14:paraId="53CBBB23">
      <w:pPr>
        <w:pStyle w:val="3"/>
        <w:jc w:val="center"/>
        <w:rPr>
          <w:rFonts w:hint="default"/>
          <w:sz w:val="32"/>
          <w:szCs w:val="32"/>
        </w:rPr>
      </w:pPr>
      <w:r>
        <w:rPr>
          <w:sz w:val="32"/>
          <w:szCs w:val="32"/>
        </w:rPr>
        <w:t>合同范本（仅供参考）</w:t>
      </w:r>
    </w:p>
    <w:p w14:paraId="16AD9A1F">
      <w:pPr>
        <w:wordWrap w:val="0"/>
        <w:snapToGrid w:val="0"/>
        <w:jc w:val="right"/>
        <w:rPr>
          <w:rFonts w:ascii="方正小标宋简体" w:hAnsi="方正小标宋简体"/>
          <w:bCs/>
          <w:color w:val="FF0000"/>
          <w:kern w:val="0"/>
          <w:sz w:val="24"/>
        </w:rPr>
      </w:pPr>
      <w:r>
        <w:rPr>
          <w:rFonts w:ascii="方正小标宋简体" w:hAnsi="方正小标宋简体"/>
          <w:bCs/>
          <w:kern w:val="0"/>
          <w:sz w:val="24"/>
        </w:rPr>
        <w:t xml:space="preserve">合同编号：           </w:t>
      </w:r>
    </w:p>
    <w:p w14:paraId="0D8BF384">
      <w:pPr>
        <w:jc w:val="center"/>
        <w:rPr>
          <w:rFonts w:ascii="宋体" w:hAnsi="宋体"/>
          <w:sz w:val="32"/>
          <w:szCs w:val="32"/>
        </w:rPr>
      </w:pPr>
      <w:r>
        <w:rPr>
          <w:rFonts w:ascii="方正小标宋简体" w:hAnsi="方正小标宋简体"/>
          <w:bCs/>
          <w:color w:val="FF0000"/>
          <w:kern w:val="0"/>
          <w:sz w:val="24"/>
        </w:rPr>
        <w:t xml:space="preserve"> </w:t>
      </w:r>
    </w:p>
    <w:p w14:paraId="309EE3A3">
      <w:pPr>
        <w:rPr>
          <w:rFonts w:ascii="宋体" w:hAnsi="宋体"/>
          <w:sz w:val="32"/>
          <w:szCs w:val="32"/>
        </w:rPr>
      </w:pPr>
    </w:p>
    <w:p w14:paraId="764E412E">
      <w:pPr>
        <w:jc w:val="center"/>
        <w:rPr>
          <w:rFonts w:ascii="黑体" w:hAnsi="黑体" w:eastAsia="黑体"/>
          <w:sz w:val="52"/>
          <w:szCs w:val="52"/>
        </w:rPr>
      </w:pPr>
      <w:r>
        <w:rPr>
          <w:rFonts w:hint="eastAsia" w:ascii="黑体" w:hAnsi="黑体" w:eastAsia="黑体"/>
          <w:sz w:val="52"/>
          <w:szCs w:val="52"/>
        </w:rPr>
        <w:t>陕西省巨灾防范工程-等级保护测评及密码应用安全性评估项目</w:t>
      </w:r>
    </w:p>
    <w:p w14:paraId="2C3AFFC4">
      <w:pPr>
        <w:jc w:val="center"/>
        <w:rPr>
          <w:rFonts w:ascii="黑体" w:hAnsi="黑体" w:eastAsia="黑体"/>
          <w:sz w:val="52"/>
          <w:szCs w:val="52"/>
        </w:rPr>
      </w:pPr>
      <w:r>
        <w:rPr>
          <w:rFonts w:hint="eastAsia" w:ascii="黑体" w:hAnsi="黑体" w:eastAsia="黑体"/>
          <w:sz w:val="52"/>
          <w:szCs w:val="52"/>
        </w:rPr>
        <w:t>技术服务合同（采购包3）</w:t>
      </w:r>
    </w:p>
    <w:p w14:paraId="798B4BE9"/>
    <w:p w14:paraId="13D691B0">
      <w:pPr>
        <w:rPr>
          <w:rFonts w:ascii="宋体"/>
          <w:color w:val="FF0000"/>
          <w:sz w:val="28"/>
          <w:szCs w:val="28"/>
        </w:rPr>
      </w:pPr>
      <w:r>
        <w:rPr>
          <w:rFonts w:hint="eastAsia" w:ascii="宋体"/>
          <w:color w:val="FF0000"/>
          <w:sz w:val="28"/>
          <w:szCs w:val="28"/>
        </w:rPr>
        <w:t xml:space="preserve"> </w:t>
      </w:r>
    </w:p>
    <w:p w14:paraId="1C28C035">
      <w:pPr>
        <w:rPr>
          <w:rFonts w:ascii="宋体"/>
          <w:color w:val="FF0000"/>
          <w:sz w:val="28"/>
          <w:szCs w:val="28"/>
        </w:rPr>
      </w:pPr>
      <w:r>
        <w:rPr>
          <w:rFonts w:hint="eastAsia" w:ascii="宋体"/>
          <w:color w:val="FF0000"/>
          <w:sz w:val="28"/>
          <w:szCs w:val="28"/>
        </w:rPr>
        <w:t xml:space="preserve"> </w:t>
      </w:r>
    </w:p>
    <w:p w14:paraId="6284B6C2">
      <w:pPr>
        <w:jc w:val="center"/>
        <w:rPr>
          <w:rFonts w:ascii="宋体" w:hAnsi="宋体"/>
          <w:color w:val="FF0000"/>
          <w:sz w:val="28"/>
          <w:szCs w:val="28"/>
        </w:rPr>
      </w:pPr>
      <w:r>
        <w:rPr>
          <w:rFonts w:hint="eastAsia" w:ascii="宋体" w:hAnsi="宋体"/>
          <w:color w:val="FF0000"/>
          <w:sz w:val="28"/>
          <w:szCs w:val="28"/>
        </w:rPr>
        <w:t xml:space="preserve"> </w:t>
      </w:r>
    </w:p>
    <w:p w14:paraId="6C477A7D">
      <w:pPr>
        <w:jc w:val="center"/>
        <w:rPr>
          <w:rFonts w:ascii="宋体" w:hAnsi="宋体"/>
          <w:color w:val="FF0000"/>
          <w:sz w:val="28"/>
          <w:szCs w:val="28"/>
        </w:rPr>
      </w:pPr>
      <w:r>
        <w:rPr>
          <w:rFonts w:hint="eastAsia" w:ascii="宋体" w:hAnsi="宋体"/>
          <w:color w:val="FF0000"/>
          <w:sz w:val="28"/>
          <w:szCs w:val="28"/>
        </w:rPr>
        <w:t xml:space="preserve"> </w:t>
      </w:r>
    </w:p>
    <w:p w14:paraId="6A2F3585">
      <w:pPr>
        <w:jc w:val="center"/>
        <w:rPr>
          <w:rFonts w:ascii="宋体" w:hAnsi="宋体"/>
          <w:color w:val="FF0000"/>
          <w:sz w:val="28"/>
          <w:szCs w:val="28"/>
        </w:rPr>
      </w:pPr>
      <w:r>
        <w:rPr>
          <w:rFonts w:hint="eastAsia" w:ascii="宋体" w:hAnsi="宋体"/>
          <w:color w:val="FF0000"/>
          <w:sz w:val="28"/>
          <w:szCs w:val="28"/>
        </w:rPr>
        <w:t xml:space="preserve"> </w:t>
      </w:r>
    </w:p>
    <w:p w14:paraId="271897C7">
      <w:pPr>
        <w:jc w:val="center"/>
        <w:rPr>
          <w:rFonts w:ascii="Calibri" w:hAnsi="Calibri"/>
          <w:color w:val="FF0000"/>
          <w:szCs w:val="21"/>
        </w:rPr>
      </w:pPr>
      <w:r>
        <w:rPr>
          <w:color w:val="FF0000"/>
        </w:rPr>
        <w:t xml:space="preserve"> </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57"/>
        <w:gridCol w:w="5597"/>
      </w:tblGrid>
      <w:tr w14:paraId="1B831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57" w:type="dxa"/>
            <w:tcBorders>
              <w:top w:val="single" w:color="auto" w:sz="4" w:space="0"/>
              <w:left w:val="single" w:color="auto" w:sz="4" w:space="0"/>
              <w:bottom w:val="single" w:color="auto" w:sz="4" w:space="0"/>
              <w:right w:val="single" w:color="auto" w:sz="4" w:space="0"/>
            </w:tcBorders>
          </w:tcPr>
          <w:p w14:paraId="6D249148">
            <w:pPr>
              <w:spacing w:line="720" w:lineRule="exact"/>
              <w:jc w:val="right"/>
              <w:rPr>
                <w:rFonts w:ascii="黑体" w:hAnsi="宋体" w:eastAsia="黑体"/>
                <w:b/>
                <w:sz w:val="32"/>
                <w:szCs w:val="32"/>
              </w:rPr>
            </w:pPr>
            <w:r>
              <w:rPr>
                <w:rFonts w:hint="eastAsia" w:ascii="黑体" w:hAnsi="黑体" w:eastAsia="黑体"/>
                <w:b/>
                <w:sz w:val="24"/>
              </w:rPr>
              <w:t>项</w:t>
            </w:r>
            <w:r>
              <w:rPr>
                <w:rFonts w:hint="eastAsia" w:ascii="黑体" w:hAnsi="宋体" w:eastAsia="黑体"/>
                <w:b/>
                <w:sz w:val="24"/>
              </w:rPr>
              <w:t xml:space="preserve">   </w:t>
            </w:r>
            <w:r>
              <w:rPr>
                <w:rFonts w:hint="eastAsia" w:ascii="黑体" w:hAnsi="黑体" w:eastAsia="黑体"/>
                <w:b/>
                <w:sz w:val="24"/>
              </w:rPr>
              <w:t>目</w:t>
            </w:r>
            <w:r>
              <w:rPr>
                <w:rFonts w:hint="eastAsia" w:ascii="黑体" w:hAnsi="宋体" w:eastAsia="黑体"/>
                <w:b/>
                <w:sz w:val="24"/>
              </w:rPr>
              <w:t xml:space="preserve">  </w:t>
            </w:r>
            <w:r>
              <w:rPr>
                <w:rFonts w:hint="eastAsia" w:ascii="黑体" w:hAnsi="黑体" w:eastAsia="黑体"/>
                <w:b/>
                <w:sz w:val="24"/>
              </w:rPr>
              <w:t>名</w:t>
            </w:r>
            <w:r>
              <w:rPr>
                <w:rFonts w:hint="eastAsia" w:ascii="黑体" w:hAnsi="宋体" w:eastAsia="黑体"/>
                <w:b/>
                <w:sz w:val="24"/>
              </w:rPr>
              <w:t xml:space="preserve">  </w:t>
            </w:r>
            <w:r>
              <w:rPr>
                <w:rFonts w:hint="eastAsia" w:ascii="黑体" w:hAnsi="黑体" w:eastAsia="黑体"/>
                <w:b/>
                <w:sz w:val="24"/>
              </w:rPr>
              <w:t>称：</w:t>
            </w:r>
          </w:p>
        </w:tc>
        <w:tc>
          <w:tcPr>
            <w:tcW w:w="5597" w:type="dxa"/>
            <w:tcBorders>
              <w:top w:val="single" w:color="auto" w:sz="4" w:space="0"/>
              <w:left w:val="single" w:color="auto" w:sz="4" w:space="0"/>
              <w:bottom w:val="single" w:color="auto" w:sz="4" w:space="0"/>
              <w:right w:val="single" w:color="auto" w:sz="4" w:space="0"/>
            </w:tcBorders>
          </w:tcPr>
          <w:p w14:paraId="38C78D58">
            <w:pPr>
              <w:spacing w:line="720" w:lineRule="exact"/>
              <w:rPr>
                <w:rFonts w:ascii="黑体" w:hAnsi="宋体" w:eastAsia="黑体"/>
                <w:b/>
                <w:sz w:val="32"/>
                <w:szCs w:val="32"/>
              </w:rPr>
            </w:pPr>
            <w:r>
              <w:rPr>
                <w:rFonts w:hint="eastAsia" w:ascii="黑体" w:hAnsi="黑体" w:eastAsia="黑体"/>
                <w:b/>
                <w:sz w:val="24"/>
                <w:u w:val="single"/>
              </w:rPr>
              <w:t xml:space="preserve">   </w:t>
            </w:r>
          </w:p>
        </w:tc>
      </w:tr>
      <w:tr w14:paraId="50DCC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57" w:type="dxa"/>
            <w:tcBorders>
              <w:top w:val="single" w:color="auto" w:sz="4" w:space="0"/>
              <w:left w:val="single" w:color="auto" w:sz="4" w:space="0"/>
              <w:bottom w:val="single" w:color="auto" w:sz="4" w:space="0"/>
              <w:right w:val="single" w:color="auto" w:sz="4" w:space="0"/>
            </w:tcBorders>
          </w:tcPr>
          <w:p w14:paraId="0E3224E0">
            <w:pPr>
              <w:spacing w:line="720" w:lineRule="exact"/>
              <w:jc w:val="right"/>
              <w:rPr>
                <w:rFonts w:ascii="黑体" w:hAnsi="宋体" w:eastAsia="黑体"/>
                <w:b/>
                <w:sz w:val="32"/>
                <w:szCs w:val="32"/>
              </w:rPr>
            </w:pPr>
            <w:r>
              <w:rPr>
                <w:rFonts w:hint="eastAsia" w:ascii="黑体" w:hAnsi="黑体" w:eastAsia="黑体"/>
                <w:b/>
                <w:sz w:val="24"/>
              </w:rPr>
              <w:t>甲</w:t>
            </w:r>
            <w:r>
              <w:rPr>
                <w:rFonts w:hint="eastAsia" w:ascii="黑体" w:hAnsi="宋体" w:eastAsia="黑体"/>
                <w:b/>
                <w:sz w:val="24"/>
              </w:rPr>
              <w:t xml:space="preserve">  </w:t>
            </w:r>
            <w:r>
              <w:rPr>
                <w:rFonts w:hint="eastAsia" w:ascii="黑体" w:hAnsi="黑体" w:eastAsia="黑体"/>
                <w:b/>
                <w:sz w:val="24"/>
              </w:rPr>
              <w:t>方（委托方）：</w:t>
            </w:r>
          </w:p>
        </w:tc>
        <w:tc>
          <w:tcPr>
            <w:tcW w:w="5597" w:type="dxa"/>
            <w:tcBorders>
              <w:top w:val="single" w:color="auto" w:sz="4" w:space="0"/>
              <w:left w:val="single" w:color="auto" w:sz="4" w:space="0"/>
              <w:bottom w:val="single" w:color="auto" w:sz="4" w:space="0"/>
              <w:right w:val="single" w:color="auto" w:sz="4" w:space="0"/>
            </w:tcBorders>
          </w:tcPr>
          <w:p w14:paraId="1B018B71">
            <w:pPr>
              <w:spacing w:line="720" w:lineRule="exact"/>
              <w:rPr>
                <w:rFonts w:ascii="黑体" w:hAnsi="宋体" w:eastAsia="黑体"/>
                <w:b/>
                <w:sz w:val="32"/>
                <w:szCs w:val="32"/>
              </w:rPr>
            </w:pPr>
          </w:p>
        </w:tc>
      </w:tr>
      <w:tr w14:paraId="6A8E8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57" w:type="dxa"/>
            <w:tcBorders>
              <w:top w:val="single" w:color="auto" w:sz="4" w:space="0"/>
              <w:left w:val="single" w:color="auto" w:sz="4" w:space="0"/>
              <w:bottom w:val="single" w:color="auto" w:sz="4" w:space="0"/>
              <w:right w:val="single" w:color="auto" w:sz="4" w:space="0"/>
            </w:tcBorders>
          </w:tcPr>
          <w:p w14:paraId="5964DB0A">
            <w:pPr>
              <w:spacing w:line="720" w:lineRule="exact"/>
              <w:jc w:val="right"/>
              <w:rPr>
                <w:rFonts w:ascii="黑体" w:hAnsi="宋体" w:eastAsia="黑体"/>
                <w:b/>
                <w:sz w:val="32"/>
                <w:szCs w:val="32"/>
              </w:rPr>
            </w:pPr>
            <w:r>
              <w:rPr>
                <w:rFonts w:hint="eastAsia" w:ascii="黑体" w:hAnsi="黑体" w:eastAsia="黑体"/>
                <w:b/>
                <w:sz w:val="24"/>
              </w:rPr>
              <w:t>乙</w:t>
            </w:r>
            <w:r>
              <w:rPr>
                <w:rFonts w:hint="eastAsia" w:ascii="黑体" w:hAnsi="宋体" w:eastAsia="黑体"/>
                <w:b/>
                <w:sz w:val="24"/>
              </w:rPr>
              <w:t xml:space="preserve">  </w:t>
            </w:r>
            <w:r>
              <w:rPr>
                <w:rFonts w:hint="eastAsia" w:ascii="黑体" w:hAnsi="黑体" w:eastAsia="黑体"/>
                <w:b/>
                <w:sz w:val="24"/>
              </w:rPr>
              <w:t>方（受托方）：</w:t>
            </w:r>
          </w:p>
        </w:tc>
        <w:tc>
          <w:tcPr>
            <w:tcW w:w="5597" w:type="dxa"/>
            <w:tcBorders>
              <w:top w:val="single" w:color="auto" w:sz="4" w:space="0"/>
              <w:left w:val="single" w:color="auto" w:sz="4" w:space="0"/>
              <w:bottom w:val="single" w:color="auto" w:sz="4" w:space="0"/>
              <w:right w:val="single" w:color="auto" w:sz="4" w:space="0"/>
            </w:tcBorders>
          </w:tcPr>
          <w:p w14:paraId="5E465ABC">
            <w:pPr>
              <w:spacing w:line="720" w:lineRule="exact"/>
              <w:rPr>
                <w:rFonts w:ascii="黑体" w:hAnsi="宋体" w:eastAsia="黑体"/>
                <w:b/>
                <w:sz w:val="32"/>
                <w:szCs w:val="32"/>
              </w:rPr>
            </w:pPr>
          </w:p>
        </w:tc>
      </w:tr>
      <w:tr w14:paraId="3766C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57" w:type="dxa"/>
            <w:tcBorders>
              <w:top w:val="single" w:color="auto" w:sz="4" w:space="0"/>
              <w:left w:val="single" w:color="auto" w:sz="4" w:space="0"/>
              <w:bottom w:val="single" w:color="auto" w:sz="4" w:space="0"/>
              <w:right w:val="single" w:color="auto" w:sz="4" w:space="0"/>
            </w:tcBorders>
          </w:tcPr>
          <w:p w14:paraId="4D9802B0">
            <w:pPr>
              <w:spacing w:line="720" w:lineRule="exact"/>
              <w:jc w:val="right"/>
              <w:rPr>
                <w:rFonts w:ascii="黑体" w:hAnsi="宋体" w:eastAsia="黑体"/>
                <w:b/>
                <w:sz w:val="32"/>
                <w:szCs w:val="32"/>
              </w:rPr>
            </w:pPr>
            <w:r>
              <w:rPr>
                <w:rFonts w:hint="eastAsia" w:ascii="黑体" w:hAnsi="黑体" w:eastAsia="黑体"/>
                <w:b/>
                <w:sz w:val="24"/>
              </w:rPr>
              <w:t>签</w:t>
            </w:r>
            <w:r>
              <w:rPr>
                <w:rFonts w:hint="eastAsia" w:ascii="黑体" w:hAnsi="宋体" w:eastAsia="黑体"/>
                <w:b/>
                <w:sz w:val="24"/>
              </w:rPr>
              <w:t xml:space="preserve">  </w:t>
            </w:r>
            <w:r>
              <w:rPr>
                <w:rFonts w:hint="eastAsia" w:ascii="黑体" w:hAnsi="黑体" w:eastAsia="黑体"/>
                <w:b/>
                <w:sz w:val="24"/>
              </w:rPr>
              <w:t>订</w:t>
            </w:r>
            <w:r>
              <w:rPr>
                <w:rFonts w:hint="eastAsia" w:ascii="黑体" w:hAnsi="宋体" w:eastAsia="黑体"/>
                <w:b/>
                <w:sz w:val="24"/>
              </w:rPr>
              <w:t xml:space="preserve">   </w:t>
            </w:r>
            <w:r>
              <w:rPr>
                <w:rFonts w:hint="eastAsia" w:ascii="黑体" w:hAnsi="黑体" w:eastAsia="黑体"/>
                <w:b/>
                <w:sz w:val="24"/>
              </w:rPr>
              <w:t>时</w:t>
            </w:r>
            <w:r>
              <w:rPr>
                <w:rFonts w:hint="eastAsia" w:ascii="黑体" w:hAnsi="宋体" w:eastAsia="黑体"/>
                <w:b/>
                <w:sz w:val="24"/>
              </w:rPr>
              <w:t xml:space="preserve">  </w:t>
            </w:r>
            <w:r>
              <w:rPr>
                <w:rFonts w:hint="eastAsia" w:ascii="黑体" w:hAnsi="黑体" w:eastAsia="黑体"/>
                <w:b/>
                <w:sz w:val="24"/>
              </w:rPr>
              <w:t>间：</w:t>
            </w:r>
          </w:p>
        </w:tc>
        <w:tc>
          <w:tcPr>
            <w:tcW w:w="5597" w:type="dxa"/>
            <w:tcBorders>
              <w:top w:val="single" w:color="auto" w:sz="4" w:space="0"/>
              <w:left w:val="single" w:color="auto" w:sz="4" w:space="0"/>
              <w:bottom w:val="single" w:color="auto" w:sz="4" w:space="0"/>
              <w:right w:val="single" w:color="auto" w:sz="4" w:space="0"/>
            </w:tcBorders>
          </w:tcPr>
          <w:p w14:paraId="77332D65">
            <w:pPr>
              <w:spacing w:line="720" w:lineRule="exact"/>
              <w:rPr>
                <w:rFonts w:ascii="黑体" w:hAnsi="宋体" w:eastAsia="黑体"/>
                <w:b/>
                <w:sz w:val="32"/>
                <w:szCs w:val="32"/>
              </w:rPr>
            </w:pPr>
          </w:p>
        </w:tc>
      </w:tr>
      <w:tr w14:paraId="5AC59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57" w:type="dxa"/>
            <w:tcBorders>
              <w:top w:val="single" w:color="auto" w:sz="4" w:space="0"/>
              <w:left w:val="single" w:color="auto" w:sz="4" w:space="0"/>
              <w:bottom w:val="single" w:color="auto" w:sz="4" w:space="0"/>
              <w:right w:val="single" w:color="auto" w:sz="4" w:space="0"/>
            </w:tcBorders>
          </w:tcPr>
          <w:p w14:paraId="436EB011">
            <w:pPr>
              <w:spacing w:line="720" w:lineRule="exact"/>
              <w:jc w:val="right"/>
              <w:rPr>
                <w:rFonts w:ascii="黑体" w:hAnsi="宋体" w:eastAsia="黑体"/>
                <w:b/>
                <w:sz w:val="24"/>
              </w:rPr>
            </w:pPr>
            <w:r>
              <w:rPr>
                <w:rFonts w:hint="eastAsia" w:ascii="黑体" w:hAnsi="黑体" w:eastAsia="黑体"/>
                <w:b/>
                <w:sz w:val="24"/>
              </w:rPr>
              <w:t>签</w:t>
            </w:r>
            <w:r>
              <w:rPr>
                <w:rFonts w:hint="eastAsia" w:ascii="黑体" w:hAnsi="宋体" w:eastAsia="黑体"/>
                <w:b/>
                <w:sz w:val="24"/>
              </w:rPr>
              <w:t xml:space="preserve">  </w:t>
            </w:r>
            <w:r>
              <w:rPr>
                <w:rFonts w:hint="eastAsia" w:ascii="黑体" w:hAnsi="黑体" w:eastAsia="黑体"/>
                <w:b/>
                <w:sz w:val="24"/>
              </w:rPr>
              <w:t>订</w:t>
            </w:r>
            <w:r>
              <w:rPr>
                <w:rFonts w:hint="eastAsia" w:ascii="黑体" w:hAnsi="宋体" w:eastAsia="黑体"/>
                <w:b/>
                <w:sz w:val="24"/>
              </w:rPr>
              <w:t xml:space="preserve">   </w:t>
            </w:r>
            <w:r>
              <w:rPr>
                <w:rFonts w:hint="eastAsia" w:ascii="黑体" w:hAnsi="黑体" w:eastAsia="黑体"/>
                <w:b/>
                <w:sz w:val="24"/>
              </w:rPr>
              <w:t>地</w:t>
            </w:r>
            <w:r>
              <w:rPr>
                <w:rFonts w:hint="eastAsia" w:ascii="黑体" w:hAnsi="宋体" w:eastAsia="黑体"/>
                <w:b/>
                <w:sz w:val="24"/>
              </w:rPr>
              <w:t xml:space="preserve">  </w:t>
            </w:r>
            <w:r>
              <w:rPr>
                <w:rFonts w:hint="eastAsia" w:ascii="黑体" w:hAnsi="黑体" w:eastAsia="黑体"/>
                <w:b/>
                <w:sz w:val="24"/>
              </w:rPr>
              <w:t>点：</w:t>
            </w:r>
          </w:p>
        </w:tc>
        <w:tc>
          <w:tcPr>
            <w:tcW w:w="5597" w:type="dxa"/>
            <w:tcBorders>
              <w:top w:val="single" w:color="auto" w:sz="4" w:space="0"/>
              <w:left w:val="single" w:color="auto" w:sz="4" w:space="0"/>
              <w:bottom w:val="single" w:color="auto" w:sz="4" w:space="0"/>
              <w:right w:val="single" w:color="auto" w:sz="4" w:space="0"/>
            </w:tcBorders>
          </w:tcPr>
          <w:p w14:paraId="3FF4CFC7">
            <w:pPr>
              <w:spacing w:line="720" w:lineRule="exact"/>
              <w:rPr>
                <w:rFonts w:ascii="黑体" w:hAnsi="宋体" w:eastAsia="黑体"/>
                <w:b/>
                <w:sz w:val="24"/>
              </w:rPr>
            </w:pPr>
          </w:p>
        </w:tc>
      </w:tr>
    </w:tbl>
    <w:p w14:paraId="2DF51C28">
      <w:pPr>
        <w:spacing w:line="360" w:lineRule="auto"/>
        <w:rPr>
          <w:rFonts w:ascii="宋体" w:hAnsi="宋体"/>
          <w:sz w:val="24"/>
        </w:rPr>
      </w:pPr>
      <w:r>
        <w:rPr>
          <w:rFonts w:hint="eastAsia" w:ascii="黑体" w:hAnsi="宋体" w:eastAsia="黑体"/>
          <w:b/>
          <w:color w:val="FF0000"/>
          <w:sz w:val="32"/>
          <w:szCs w:val="32"/>
        </w:rPr>
        <w:br w:type="page"/>
      </w:r>
      <w:r>
        <w:rPr>
          <w:rFonts w:hint="eastAsia" w:ascii="宋体" w:hAnsi="宋体"/>
          <w:b/>
          <w:sz w:val="24"/>
        </w:rPr>
        <w:t xml:space="preserve">     </w:t>
      </w:r>
      <w:r>
        <w:rPr>
          <w:rFonts w:hint="eastAsia" w:ascii="宋体" w:hAnsi="宋体"/>
          <w:sz w:val="24"/>
          <w:u w:val="single"/>
        </w:rPr>
        <w:t xml:space="preserve">         </w:t>
      </w:r>
      <w:r>
        <w:rPr>
          <w:rFonts w:hint="eastAsia" w:ascii="宋体" w:hAnsi="宋体"/>
          <w:sz w:val="24"/>
        </w:rPr>
        <w:t>（以下简称甲方）</w:t>
      </w:r>
      <w:r>
        <w:rPr>
          <w:rFonts w:hint="eastAsia" w:ascii="宋体" w:hAnsi="宋体"/>
          <w:sz w:val="24"/>
          <w:u w:val="single"/>
        </w:rPr>
        <w:t xml:space="preserve">         </w:t>
      </w:r>
      <w:r>
        <w:rPr>
          <w:rFonts w:hint="eastAsia" w:ascii="宋体" w:hAnsi="宋体"/>
          <w:sz w:val="24"/>
        </w:rPr>
        <w:t>采购，在</w:t>
      </w:r>
      <w:r>
        <w:rPr>
          <w:rFonts w:hint="eastAsia" w:ascii="宋体" w:hAnsi="宋体"/>
          <w:sz w:val="24"/>
          <w:u w:val="single"/>
        </w:rPr>
        <w:t xml:space="preserve">           </w:t>
      </w:r>
      <w:r>
        <w:rPr>
          <w:rFonts w:hint="eastAsia" w:ascii="宋体" w:hAnsi="宋体"/>
          <w:sz w:val="24"/>
        </w:rPr>
        <w:t>的监督管理下，由</w:t>
      </w:r>
      <w:r>
        <w:rPr>
          <w:rFonts w:hint="eastAsia" w:ascii="宋体" w:hAnsi="宋体"/>
          <w:sz w:val="24"/>
          <w:u w:val="single"/>
        </w:rPr>
        <w:t>陕西开源招标有限公司</w:t>
      </w:r>
      <w:r>
        <w:rPr>
          <w:rFonts w:hint="eastAsia" w:ascii="宋体" w:hAnsi="宋体"/>
          <w:sz w:val="24"/>
        </w:rPr>
        <w:t>组织采购，选定</w:t>
      </w:r>
      <w:r>
        <w:rPr>
          <w:rFonts w:hint="eastAsia" w:ascii="宋体" w:hAnsi="宋体"/>
          <w:sz w:val="24"/>
          <w:u w:val="single"/>
        </w:rPr>
        <w:t xml:space="preserve">         </w:t>
      </w:r>
      <w:r>
        <w:rPr>
          <w:rFonts w:hint="eastAsia" w:ascii="宋体" w:hAnsi="宋体"/>
          <w:sz w:val="24"/>
        </w:rPr>
        <w:t xml:space="preserve"> (以下简称乙方）为该项目中标人。依据《中华人民共和国民法典》和《中华人民共和国政府采购法》，经甲、乙双方共同协商，按下述条款和条件签署本合同。</w:t>
      </w:r>
    </w:p>
    <w:p w14:paraId="5FF99ED2">
      <w:pPr>
        <w:spacing w:line="480" w:lineRule="exact"/>
        <w:jc w:val="left"/>
        <w:rPr>
          <w:rFonts w:ascii="宋体" w:hAnsi="宋体"/>
          <w:b/>
          <w:sz w:val="24"/>
        </w:rPr>
      </w:pPr>
      <w:r>
        <w:rPr>
          <w:rFonts w:hint="eastAsia" w:ascii="宋体" w:hAnsi="宋体"/>
          <w:b/>
          <w:sz w:val="24"/>
        </w:rPr>
        <w:t>一、合同内容</w:t>
      </w:r>
    </w:p>
    <w:p w14:paraId="49CB39FA">
      <w:pPr>
        <w:spacing w:line="480" w:lineRule="exact"/>
        <w:ind w:firstLine="480" w:firstLineChars="200"/>
        <w:rPr>
          <w:rFonts w:ascii="宋体" w:hAnsi="宋体"/>
          <w:sz w:val="24"/>
        </w:rPr>
      </w:pPr>
      <w:r>
        <w:rPr>
          <w:rFonts w:hint="eastAsia" w:ascii="宋体" w:hAnsi="宋体"/>
          <w:sz w:val="24"/>
        </w:rPr>
        <w:t>（一）目标</w:t>
      </w:r>
    </w:p>
    <w:p w14:paraId="1C98A6B3">
      <w:pPr>
        <w:spacing w:line="480" w:lineRule="exact"/>
        <w:ind w:firstLine="480" w:firstLineChars="200"/>
        <w:rPr>
          <w:rFonts w:ascii="宋体" w:hAnsi="宋体"/>
          <w:sz w:val="24"/>
        </w:rPr>
      </w:pPr>
      <w:r>
        <w:rPr>
          <w:rFonts w:hint="eastAsia" w:ascii="宋体" w:hAnsi="宋体"/>
          <w:sz w:val="24"/>
        </w:rPr>
        <w:t>对以下信息系统开展密码应用安全性评估工作，并提供测评报告等相关报告。信息系统名称及安全保护等级如下表。</w:t>
      </w:r>
    </w:p>
    <w:tbl>
      <w:tblPr>
        <w:tblStyle w:val="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384"/>
        <w:gridCol w:w="3200"/>
        <w:gridCol w:w="2293"/>
      </w:tblGrid>
      <w:tr w14:paraId="7F3D77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3" w:hRule="atLeast"/>
          <w:jc w:val="center"/>
        </w:trPr>
        <w:tc>
          <w:tcPr>
            <w:tcW w:w="1384" w:type="dxa"/>
            <w:vAlign w:val="center"/>
          </w:tcPr>
          <w:p w14:paraId="14D807A9">
            <w:pPr>
              <w:pStyle w:val="5"/>
              <w:spacing w:line="360" w:lineRule="auto"/>
              <w:jc w:val="center"/>
              <w:rPr>
                <w:rFonts w:ascii="Calibri" w:hAnsi="Calibri"/>
              </w:rPr>
            </w:pPr>
            <w:r>
              <w:rPr>
                <w:rFonts w:hint="eastAsia" w:cs="微软雅黑"/>
                <w:b/>
                <w:color w:val="353535"/>
              </w:rPr>
              <w:t>序号</w:t>
            </w:r>
          </w:p>
        </w:tc>
        <w:tc>
          <w:tcPr>
            <w:tcW w:w="3200" w:type="dxa"/>
            <w:vAlign w:val="center"/>
          </w:tcPr>
          <w:p w14:paraId="3322A5D2">
            <w:pPr>
              <w:pStyle w:val="5"/>
              <w:spacing w:line="360" w:lineRule="auto"/>
              <w:jc w:val="center"/>
              <w:rPr>
                <w:rFonts w:ascii="Calibri" w:hAnsi="Calibri"/>
              </w:rPr>
            </w:pPr>
            <w:r>
              <w:rPr>
                <w:rFonts w:hint="eastAsia" w:cs="微软雅黑"/>
                <w:b/>
                <w:color w:val="353535"/>
              </w:rPr>
              <w:t>系统名称</w:t>
            </w:r>
          </w:p>
        </w:tc>
        <w:tc>
          <w:tcPr>
            <w:tcW w:w="2293" w:type="dxa"/>
            <w:vAlign w:val="center"/>
          </w:tcPr>
          <w:p w14:paraId="6524466F">
            <w:pPr>
              <w:pStyle w:val="5"/>
              <w:spacing w:line="360" w:lineRule="auto"/>
              <w:jc w:val="center"/>
              <w:rPr>
                <w:rFonts w:ascii="Calibri" w:hAnsi="Calibri"/>
              </w:rPr>
            </w:pPr>
            <w:r>
              <w:rPr>
                <w:rFonts w:hint="eastAsia" w:cs="微软雅黑"/>
                <w:b/>
                <w:color w:val="353535"/>
              </w:rPr>
              <w:t>系统等级</w:t>
            </w:r>
          </w:p>
        </w:tc>
      </w:tr>
      <w:tr w14:paraId="13A1AF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3" w:hRule="atLeast"/>
          <w:jc w:val="center"/>
        </w:trPr>
        <w:tc>
          <w:tcPr>
            <w:tcW w:w="1384" w:type="dxa"/>
            <w:vAlign w:val="center"/>
          </w:tcPr>
          <w:p w14:paraId="2D71D695">
            <w:pPr>
              <w:pStyle w:val="5"/>
              <w:spacing w:line="360" w:lineRule="auto"/>
              <w:jc w:val="center"/>
              <w:rPr>
                <w:rFonts w:ascii="Calibri" w:hAnsi="Calibri"/>
              </w:rPr>
            </w:pPr>
            <w:r>
              <w:rPr>
                <w:rFonts w:hint="eastAsia" w:cs="微软雅黑"/>
                <w:color w:val="353535"/>
              </w:rPr>
              <w:t>1</w:t>
            </w:r>
          </w:p>
        </w:tc>
        <w:tc>
          <w:tcPr>
            <w:tcW w:w="3200" w:type="dxa"/>
            <w:vAlign w:val="center"/>
          </w:tcPr>
          <w:p w14:paraId="67864C5F">
            <w:pPr>
              <w:pStyle w:val="5"/>
              <w:spacing w:line="360" w:lineRule="auto"/>
              <w:jc w:val="center"/>
              <w:rPr>
                <w:rFonts w:cs="微软雅黑"/>
                <w:color w:val="353535"/>
              </w:rPr>
            </w:pPr>
            <w:r>
              <w:rPr>
                <w:rFonts w:hint="eastAsia"/>
              </w:rPr>
              <w:t>数据质检平台</w:t>
            </w:r>
          </w:p>
        </w:tc>
        <w:tc>
          <w:tcPr>
            <w:tcW w:w="2293" w:type="dxa"/>
            <w:vAlign w:val="center"/>
          </w:tcPr>
          <w:p w14:paraId="172BDDE4">
            <w:pPr>
              <w:pStyle w:val="5"/>
              <w:spacing w:line="360" w:lineRule="auto"/>
              <w:jc w:val="center"/>
              <w:rPr>
                <w:rFonts w:ascii="Calibri" w:hAnsi="Calibri"/>
              </w:rPr>
            </w:pPr>
            <w:r>
              <w:rPr>
                <w:rFonts w:hint="eastAsia" w:cs="微软雅黑"/>
                <w:color w:val="353535"/>
              </w:rPr>
              <w:t>三级</w:t>
            </w:r>
          </w:p>
        </w:tc>
      </w:tr>
    </w:tbl>
    <w:p w14:paraId="398E6C20">
      <w:pPr>
        <w:spacing w:line="480" w:lineRule="exact"/>
        <w:ind w:firstLine="480" w:firstLineChars="200"/>
        <w:rPr>
          <w:rFonts w:ascii="宋体" w:hAnsi="宋体"/>
          <w:sz w:val="24"/>
        </w:rPr>
      </w:pPr>
      <w:r>
        <w:rPr>
          <w:rFonts w:hint="eastAsia" w:ascii="宋体" w:hAnsi="宋体"/>
          <w:sz w:val="24"/>
        </w:rPr>
        <w:t>（二）具体工作内容</w:t>
      </w:r>
    </w:p>
    <w:p w14:paraId="01989ADD">
      <w:pPr>
        <w:spacing w:line="480" w:lineRule="exact"/>
        <w:ind w:firstLine="480" w:firstLineChars="200"/>
        <w:rPr>
          <w:rFonts w:ascii="宋体" w:hAnsi="宋体"/>
          <w:sz w:val="24"/>
        </w:rPr>
      </w:pPr>
      <w:r>
        <w:rPr>
          <w:rFonts w:hint="eastAsia" w:ascii="宋体" w:hAnsi="宋体"/>
          <w:sz w:val="24"/>
        </w:rPr>
        <w:t>1、数据质检平台开展密码应用安全性评估，需公司依据三级系统要求进行信息系统测评，形成测评方案、测评报告、整改报告、复测报告等。</w:t>
      </w:r>
    </w:p>
    <w:p w14:paraId="067357D9">
      <w:pPr>
        <w:spacing w:line="480" w:lineRule="exact"/>
        <w:ind w:firstLine="480" w:firstLineChars="200"/>
        <w:rPr>
          <w:rFonts w:ascii="宋体" w:hAnsi="宋体"/>
          <w:sz w:val="24"/>
        </w:rPr>
      </w:pPr>
      <w:r>
        <w:rPr>
          <w:rFonts w:hint="eastAsia" w:ascii="宋体" w:hAnsi="宋体"/>
          <w:sz w:val="24"/>
        </w:rPr>
        <w:t>2、根据密码应用安全性评估要求以及陕西省地震局需求，提供制度完善、密码安全预案修正以及密码安全相关方案的编制等服务。</w:t>
      </w:r>
    </w:p>
    <w:p w14:paraId="54AB0A8D">
      <w:pPr>
        <w:spacing w:line="480" w:lineRule="exact"/>
        <w:jc w:val="left"/>
        <w:rPr>
          <w:rFonts w:ascii="宋体" w:hAnsi="宋体"/>
          <w:b/>
          <w:sz w:val="24"/>
        </w:rPr>
      </w:pPr>
      <w:r>
        <w:rPr>
          <w:rFonts w:hint="eastAsia" w:ascii="宋体" w:hAnsi="宋体"/>
          <w:b/>
          <w:sz w:val="24"/>
        </w:rPr>
        <w:t>二、合同价格</w:t>
      </w:r>
    </w:p>
    <w:p w14:paraId="0A51BBFD">
      <w:pPr>
        <w:spacing w:line="500" w:lineRule="exact"/>
        <w:ind w:left="480" w:leftChars="200"/>
        <w:jc w:val="left"/>
        <w:rPr>
          <w:rFonts w:ascii="宋体" w:hAnsi="宋体"/>
          <w:sz w:val="24"/>
        </w:rPr>
      </w:pPr>
      <w:r>
        <w:rPr>
          <w:rFonts w:hint="eastAsia" w:ascii="宋体" w:hAnsi="宋体"/>
          <w:sz w:val="24"/>
        </w:rPr>
        <w:t>合同总价：</w:t>
      </w:r>
      <w:r>
        <w:rPr>
          <w:rFonts w:hint="eastAsia" w:ascii="宋体" w:hAnsi="宋体"/>
          <w:color w:val="000000"/>
          <w:sz w:val="24"/>
          <w:u w:val="single"/>
        </w:rPr>
        <w:t xml:space="preserve">人民币       元整（¥         元） </w:t>
      </w:r>
    </w:p>
    <w:p w14:paraId="275D261F">
      <w:pPr>
        <w:spacing w:line="480" w:lineRule="exact"/>
        <w:ind w:firstLine="480" w:firstLineChars="200"/>
        <w:jc w:val="left"/>
        <w:rPr>
          <w:rFonts w:ascii="宋体" w:hAnsi="宋体"/>
          <w:sz w:val="24"/>
        </w:rPr>
      </w:pPr>
      <w:r>
        <w:rPr>
          <w:rFonts w:hint="eastAsia" w:ascii="宋体" w:hAnsi="宋体" w:cs="宋体"/>
          <w:sz w:val="24"/>
        </w:rPr>
        <w:t>说明：</w:t>
      </w:r>
    </w:p>
    <w:p w14:paraId="6BDC5870">
      <w:pPr>
        <w:spacing w:line="500" w:lineRule="exact"/>
        <w:ind w:left="480"/>
        <w:jc w:val="left"/>
        <w:rPr>
          <w:rFonts w:ascii="宋体" w:hAnsi="宋体"/>
          <w:sz w:val="24"/>
        </w:rPr>
      </w:pPr>
      <w:r>
        <w:rPr>
          <w:rFonts w:hint="eastAsia" w:ascii="宋体" w:hAnsi="宋体"/>
          <w:sz w:val="24"/>
        </w:rPr>
        <w:t>（一）合同总价包含完成本项目的所有费用。</w:t>
      </w:r>
    </w:p>
    <w:p w14:paraId="1404F4B1">
      <w:pPr>
        <w:spacing w:line="500" w:lineRule="exact"/>
        <w:ind w:left="480"/>
        <w:jc w:val="left"/>
        <w:rPr>
          <w:rFonts w:ascii="宋体" w:hAnsi="宋体"/>
          <w:sz w:val="24"/>
        </w:rPr>
      </w:pPr>
      <w:r>
        <w:rPr>
          <w:rFonts w:hint="eastAsia" w:ascii="宋体" w:hAnsi="宋体"/>
          <w:sz w:val="24"/>
        </w:rPr>
        <w:t xml:space="preserve">（二）合同总价一次包死，不受市场价格变化的影响，并作为结算的唯一依据。 </w:t>
      </w:r>
    </w:p>
    <w:p w14:paraId="4FB7C80A">
      <w:pPr>
        <w:spacing w:line="480" w:lineRule="exact"/>
        <w:jc w:val="left"/>
        <w:rPr>
          <w:rFonts w:ascii="宋体" w:hAnsi="宋体"/>
          <w:b/>
          <w:sz w:val="24"/>
        </w:rPr>
      </w:pPr>
      <w:r>
        <w:rPr>
          <w:rFonts w:hint="eastAsia" w:ascii="宋体" w:hAnsi="宋体"/>
          <w:b/>
          <w:sz w:val="24"/>
        </w:rPr>
        <w:t>三、合同款项支付</w:t>
      </w:r>
    </w:p>
    <w:p w14:paraId="21B12888">
      <w:pPr>
        <w:autoSpaceDE w:val="0"/>
        <w:autoSpaceDN w:val="0"/>
        <w:adjustRightInd w:val="0"/>
        <w:spacing w:line="360" w:lineRule="auto"/>
        <w:ind w:firstLine="480" w:firstLineChars="200"/>
        <w:rPr>
          <w:rFonts w:ascii="宋体" w:hAnsi="宋体" w:cs="宋体"/>
          <w:bCs/>
          <w:sz w:val="24"/>
        </w:rPr>
      </w:pPr>
      <w:r>
        <w:rPr>
          <w:rFonts w:hint="eastAsia" w:ascii="宋体" w:hAnsi="宋体" w:cs="宋体"/>
          <w:bCs/>
          <w:sz w:val="24"/>
        </w:rPr>
        <w:t>（一）结算单位：</w:t>
      </w:r>
      <w:r>
        <w:rPr>
          <w:rFonts w:hint="eastAsia" w:ascii="宋体" w:hAnsi="宋体"/>
          <w:sz w:val="24"/>
        </w:rPr>
        <w:t>采购人结算，在付款前，必须开具发票给采购人。</w:t>
      </w:r>
    </w:p>
    <w:p w14:paraId="6EE32D4D">
      <w:pPr>
        <w:pStyle w:val="6"/>
        <w:spacing w:line="480" w:lineRule="exact"/>
        <w:ind w:firstLine="480" w:firstLineChars="200"/>
        <w:jc w:val="left"/>
        <w:rPr>
          <w:rFonts w:hAnsi="宋体"/>
          <w:sz w:val="24"/>
        </w:rPr>
      </w:pPr>
      <w:r>
        <w:rPr>
          <w:rFonts w:hint="eastAsia" w:hAnsi="宋体" w:cs="宋体"/>
          <w:bCs/>
          <w:sz w:val="24"/>
        </w:rPr>
        <w:t>（二）付款方式：合同签订后7个工作日内，由乙方向甲方支付5%的履约保证金，甲方收到后向乙方支付合同金额的100%。</w:t>
      </w:r>
      <w:r>
        <w:rPr>
          <w:rFonts w:hAnsi="宋体"/>
          <w:sz w:val="24"/>
        </w:rPr>
        <w:t xml:space="preserve"> </w:t>
      </w:r>
    </w:p>
    <w:p w14:paraId="7067E59C">
      <w:pPr>
        <w:spacing w:line="480" w:lineRule="exact"/>
        <w:jc w:val="left"/>
        <w:rPr>
          <w:rFonts w:ascii="宋体" w:hAnsi="宋体"/>
          <w:b/>
          <w:sz w:val="24"/>
        </w:rPr>
      </w:pPr>
      <w:r>
        <w:rPr>
          <w:rFonts w:hint="eastAsia" w:ascii="宋体" w:hAnsi="宋体"/>
          <w:b/>
          <w:sz w:val="24"/>
        </w:rPr>
        <w:t>四、项目实施条件</w:t>
      </w:r>
    </w:p>
    <w:p w14:paraId="77D94BA6">
      <w:pPr>
        <w:autoSpaceDE w:val="0"/>
        <w:autoSpaceDN w:val="0"/>
        <w:adjustRightInd w:val="0"/>
        <w:spacing w:line="360" w:lineRule="auto"/>
        <w:ind w:firstLine="480" w:firstLineChars="200"/>
        <w:rPr>
          <w:rFonts w:ascii="宋体" w:hAnsi="宋体"/>
          <w:sz w:val="24"/>
        </w:rPr>
      </w:pPr>
      <w:r>
        <w:rPr>
          <w:rFonts w:hint="eastAsia" w:ascii="宋体" w:hAnsi="宋体" w:cs="宋体"/>
          <w:bCs/>
          <w:sz w:val="24"/>
        </w:rPr>
        <w:t>（一）</w:t>
      </w:r>
      <w:r>
        <w:rPr>
          <w:rFonts w:hint="eastAsia" w:ascii="宋体" w:hAnsi="宋体" w:cs="Helvetica"/>
          <w:kern w:val="0"/>
          <w:sz w:val="24"/>
          <w:szCs w:val="21"/>
        </w:rPr>
        <w:t>服务期：</w:t>
      </w:r>
      <w:r>
        <w:rPr>
          <w:rFonts w:hint="eastAsia" w:ascii="宋体" w:hAnsi="宋体" w:cs="宋体"/>
          <w:bCs/>
          <w:sz w:val="24"/>
        </w:rPr>
        <w:t>自项目实施起45日历天内完成</w:t>
      </w:r>
      <w:r>
        <w:rPr>
          <w:rFonts w:hint="eastAsia" w:ascii="宋体" w:hAnsi="宋体"/>
          <w:sz w:val="24"/>
        </w:rPr>
        <w:t>。</w:t>
      </w:r>
    </w:p>
    <w:p w14:paraId="0A5F8AAF">
      <w:pPr>
        <w:autoSpaceDE w:val="0"/>
        <w:autoSpaceDN w:val="0"/>
        <w:adjustRightInd w:val="0"/>
        <w:spacing w:line="360" w:lineRule="auto"/>
        <w:ind w:firstLine="480" w:firstLineChars="200"/>
        <w:rPr>
          <w:rFonts w:ascii="宋体" w:hAnsi="宋体" w:cs="宋体"/>
          <w:bCs/>
          <w:sz w:val="24"/>
        </w:rPr>
      </w:pPr>
      <w:r>
        <w:rPr>
          <w:rFonts w:hint="eastAsia" w:ascii="宋体" w:hAnsi="宋体" w:cs="宋体"/>
          <w:bCs/>
          <w:sz w:val="24"/>
        </w:rPr>
        <w:t>（二）项目实施地点：陕西省地震局指定地点。</w:t>
      </w:r>
    </w:p>
    <w:p w14:paraId="6960D73E">
      <w:pPr>
        <w:spacing w:line="480" w:lineRule="exact"/>
        <w:jc w:val="left"/>
        <w:rPr>
          <w:rFonts w:ascii="宋体" w:hAnsi="宋体" w:cs="宋体"/>
          <w:b/>
          <w:sz w:val="24"/>
        </w:rPr>
      </w:pPr>
      <w:r>
        <w:rPr>
          <w:rFonts w:hint="eastAsia" w:ascii="宋体" w:hAnsi="宋体" w:cs="宋体"/>
          <w:b/>
          <w:sz w:val="24"/>
        </w:rPr>
        <w:t>五、质量保证</w:t>
      </w:r>
    </w:p>
    <w:p w14:paraId="1C46C4D9">
      <w:pPr>
        <w:spacing w:line="480" w:lineRule="exact"/>
        <w:ind w:firstLine="480" w:firstLineChars="200"/>
        <w:rPr>
          <w:rFonts w:ascii="宋体" w:hAnsi="宋体" w:cs="宋体"/>
          <w:sz w:val="24"/>
        </w:rPr>
      </w:pPr>
      <w:r>
        <w:rPr>
          <w:rFonts w:hint="eastAsia" w:ascii="宋体" w:hAnsi="宋体" w:cs="宋体"/>
          <w:sz w:val="24"/>
        </w:rPr>
        <w:t>（一）乙方应当保证服务内容质量完全符合合同规定的要求，并对服务内容质量问题负责。</w:t>
      </w:r>
    </w:p>
    <w:p w14:paraId="01169F0E">
      <w:pPr>
        <w:spacing w:line="480" w:lineRule="exact"/>
        <w:ind w:firstLine="480" w:firstLineChars="200"/>
        <w:rPr>
          <w:rFonts w:ascii="宋体" w:hAnsi="宋体"/>
          <w:color w:val="000000"/>
          <w:sz w:val="24"/>
        </w:rPr>
      </w:pPr>
      <w:r>
        <w:rPr>
          <w:rFonts w:hint="eastAsia" w:ascii="宋体" w:hAnsi="宋体" w:cs="宋体"/>
          <w:sz w:val="24"/>
        </w:rPr>
        <w:t>（二）在本合同有效期内，</w:t>
      </w:r>
      <w:r>
        <w:rPr>
          <w:rFonts w:hint="eastAsia" w:ascii="宋体" w:hAnsi="宋体" w:cs="宋体"/>
          <w:color w:val="000000"/>
          <w:sz w:val="24"/>
        </w:rPr>
        <w:t>乙方应派出专业技术人员为甲方提供技术服务，具体以乙方投标文件中提供的人员安排为准，乙方项目组人员不</w:t>
      </w:r>
      <w:r>
        <w:rPr>
          <w:rFonts w:hint="eastAsia" w:ascii="宋体" w:hAnsi="宋体"/>
          <w:color w:val="000000"/>
          <w:sz w:val="24"/>
        </w:rPr>
        <w:t>少于</w:t>
      </w:r>
      <w:r>
        <w:rPr>
          <w:rFonts w:ascii="宋体" w:hAnsi="宋体"/>
          <w:color w:val="000000"/>
          <w:sz w:val="24"/>
        </w:rPr>
        <w:t>5</w:t>
      </w:r>
      <w:r>
        <w:rPr>
          <w:rFonts w:hint="eastAsia" w:ascii="宋体" w:hAnsi="宋体"/>
          <w:color w:val="000000"/>
          <w:sz w:val="24"/>
        </w:rPr>
        <w:t>人。</w:t>
      </w:r>
    </w:p>
    <w:p w14:paraId="08D065CB">
      <w:pPr>
        <w:spacing w:line="480" w:lineRule="exact"/>
        <w:ind w:firstLine="480" w:firstLineChars="200"/>
        <w:rPr>
          <w:rFonts w:ascii="宋体" w:hAnsi="宋体" w:cs="宋体"/>
          <w:color w:val="000000"/>
          <w:sz w:val="24"/>
        </w:rPr>
      </w:pPr>
      <w:r>
        <w:rPr>
          <w:rFonts w:hint="eastAsia" w:ascii="宋体" w:hAnsi="宋体" w:cs="宋体"/>
          <w:color w:val="000000"/>
          <w:sz w:val="24"/>
        </w:rPr>
        <w:t>（三）合同签订后乙方应向甲方书面提供投标文件中所确定的参加项目工作相关人员信息。乙方更换其项目负责人与其他技术服务人员，须提交书面申请，征得甲方书面同意后方可更换。</w:t>
      </w:r>
    </w:p>
    <w:p w14:paraId="2049D167">
      <w:pPr>
        <w:spacing w:line="480" w:lineRule="exact"/>
        <w:ind w:firstLine="480" w:firstLineChars="200"/>
        <w:rPr>
          <w:rFonts w:ascii="宋体" w:hAnsi="宋体" w:cs="宋体"/>
          <w:color w:val="000000"/>
          <w:sz w:val="24"/>
        </w:rPr>
      </w:pPr>
      <w:r>
        <w:rPr>
          <w:rFonts w:hint="eastAsia" w:ascii="宋体" w:hAnsi="宋体" w:cs="宋体"/>
          <w:color w:val="000000"/>
          <w:sz w:val="24"/>
        </w:rPr>
        <w:t>（四）甲方认为乙方工作人员不能胜任项目工作的，有权要求乙方立即更换。上述被更换的人员无甲方另行批准不得重新参加本项目技术服务工作。</w:t>
      </w:r>
    </w:p>
    <w:p w14:paraId="5646FBE5">
      <w:pPr>
        <w:spacing w:line="480" w:lineRule="exact"/>
        <w:jc w:val="left"/>
        <w:rPr>
          <w:rFonts w:ascii="宋体" w:hAnsi="宋体" w:cs="宋体"/>
          <w:b/>
          <w:color w:val="000000"/>
          <w:sz w:val="24"/>
        </w:rPr>
      </w:pPr>
      <w:r>
        <w:rPr>
          <w:rFonts w:hint="eastAsia" w:ascii="宋体" w:hAnsi="宋体" w:cs="宋体"/>
          <w:b/>
          <w:color w:val="000000"/>
          <w:sz w:val="24"/>
        </w:rPr>
        <w:t>六、技术服务</w:t>
      </w:r>
    </w:p>
    <w:p w14:paraId="0C0BD82F">
      <w:pPr>
        <w:spacing w:line="480" w:lineRule="exact"/>
        <w:ind w:firstLine="482" w:firstLineChars="200"/>
        <w:jc w:val="left"/>
        <w:rPr>
          <w:rFonts w:ascii="宋体" w:hAnsi="宋体" w:cs="宋体"/>
          <w:b/>
          <w:color w:val="000000"/>
          <w:sz w:val="24"/>
        </w:rPr>
      </w:pPr>
      <w:r>
        <w:rPr>
          <w:rFonts w:hint="eastAsia" w:ascii="宋体" w:hAnsi="宋体" w:cs="宋体"/>
          <w:b/>
          <w:color w:val="000000"/>
          <w:sz w:val="24"/>
        </w:rPr>
        <w:t>（一）技术资料</w:t>
      </w:r>
    </w:p>
    <w:p w14:paraId="07EE1E0A">
      <w:pPr>
        <w:pStyle w:val="5"/>
        <w:ind w:firstLine="480"/>
        <w:rPr>
          <w:color w:val="000000"/>
        </w:rPr>
      </w:pPr>
      <w:r>
        <w:rPr>
          <w:rFonts w:hint="eastAsia"/>
          <w:color w:val="000000"/>
        </w:rPr>
        <w:t>乙方应完成项目验收资料的准备，出具经权威机构认可的《商用密码应用安全性评估报告》，协助甲方进行问题整改，整改后进行复测评工作。</w:t>
      </w:r>
    </w:p>
    <w:p w14:paraId="5C2BAC97">
      <w:pPr>
        <w:spacing w:line="480" w:lineRule="exact"/>
        <w:ind w:firstLine="482" w:firstLineChars="200"/>
        <w:jc w:val="left"/>
        <w:rPr>
          <w:rFonts w:ascii="宋体" w:hAnsi="宋体" w:cs="宋体"/>
          <w:b/>
          <w:color w:val="000000"/>
          <w:sz w:val="24"/>
        </w:rPr>
      </w:pPr>
      <w:r>
        <w:rPr>
          <w:rFonts w:hint="eastAsia" w:ascii="宋体" w:hAnsi="宋体" w:cs="宋体"/>
          <w:b/>
          <w:color w:val="000000"/>
          <w:sz w:val="24"/>
        </w:rPr>
        <w:t>（二）服务承诺</w:t>
      </w:r>
    </w:p>
    <w:p w14:paraId="72C47B64">
      <w:pPr>
        <w:spacing w:line="480" w:lineRule="exact"/>
        <w:ind w:firstLine="480" w:firstLineChars="200"/>
        <w:rPr>
          <w:rFonts w:ascii="宋体" w:hAnsi="宋体" w:cs="宋体"/>
          <w:color w:val="000000"/>
          <w:sz w:val="24"/>
        </w:rPr>
      </w:pPr>
      <w:r>
        <w:rPr>
          <w:rFonts w:hint="eastAsia" w:ascii="宋体" w:hAnsi="宋体" w:cs="宋体"/>
          <w:color w:val="000000"/>
          <w:sz w:val="24"/>
        </w:rPr>
        <w:t>乙方承诺在售后1年服务期限内，提供相关技术咨询及服务，主要包括配合完成密评备案工作、协助整改工作、技术培训工作、技术咨询工作、应急响应工作等内容。</w:t>
      </w:r>
    </w:p>
    <w:p w14:paraId="195E9264">
      <w:pPr>
        <w:spacing w:line="500" w:lineRule="exact"/>
        <w:ind w:left="480"/>
        <w:jc w:val="left"/>
        <w:rPr>
          <w:rFonts w:ascii="宋体" w:hAnsi="宋体"/>
          <w:color w:val="000000"/>
          <w:sz w:val="24"/>
        </w:rPr>
      </w:pPr>
      <w:r>
        <w:rPr>
          <w:rFonts w:hint="eastAsia" w:ascii="宋体" w:hAnsi="宋体"/>
          <w:color w:val="000000"/>
          <w:sz w:val="24"/>
        </w:rPr>
        <w:t>1.配合完成密评备案工作</w:t>
      </w:r>
    </w:p>
    <w:p w14:paraId="3A9DC101">
      <w:pPr>
        <w:spacing w:line="480" w:lineRule="exact"/>
        <w:ind w:firstLine="480" w:firstLineChars="200"/>
        <w:rPr>
          <w:rFonts w:ascii="宋体" w:hAnsi="宋体" w:cs="宋体"/>
          <w:color w:val="000000"/>
          <w:sz w:val="24"/>
        </w:rPr>
      </w:pPr>
      <w:r>
        <w:rPr>
          <w:rFonts w:hint="eastAsia" w:ascii="宋体" w:hAnsi="宋体" w:cs="宋体"/>
          <w:color w:val="000000"/>
          <w:sz w:val="24"/>
        </w:rPr>
        <w:t>根据国家密码管理局印发《关于规范商用密码应用安全性评估结果备案工作的通知》，配合甲方在网络与信息系统运营者自密评报告出具之日起30日内，填写《网络与信息系统密评备案信息表》，连同密评报告报网络与信息系统所在地省级密码管理部门备案。密评报告符合《商用密码应用安全性评估报告模板(2023年版)》的格式要求。</w:t>
      </w:r>
    </w:p>
    <w:p w14:paraId="0E1C837A">
      <w:pPr>
        <w:spacing w:line="500" w:lineRule="exact"/>
        <w:ind w:left="480"/>
        <w:jc w:val="left"/>
        <w:rPr>
          <w:rFonts w:ascii="宋体" w:hAnsi="宋体"/>
          <w:color w:val="000000"/>
          <w:sz w:val="24"/>
        </w:rPr>
      </w:pPr>
      <w:r>
        <w:rPr>
          <w:rFonts w:hint="eastAsia" w:ascii="宋体" w:hAnsi="宋体"/>
          <w:color w:val="000000"/>
          <w:sz w:val="24"/>
        </w:rPr>
        <w:t>本阶段工作成果：</w:t>
      </w:r>
    </w:p>
    <w:p w14:paraId="3491B06D">
      <w:pPr>
        <w:spacing w:line="500" w:lineRule="exact"/>
        <w:ind w:left="480"/>
        <w:jc w:val="left"/>
        <w:rPr>
          <w:rFonts w:ascii="宋体" w:hAnsi="宋体"/>
          <w:color w:val="000000"/>
          <w:sz w:val="24"/>
        </w:rPr>
      </w:pPr>
      <w:r>
        <w:rPr>
          <w:rFonts w:hint="eastAsia" w:ascii="宋体" w:hAnsi="宋体"/>
          <w:color w:val="000000"/>
          <w:sz w:val="24"/>
        </w:rPr>
        <w:t>《网络与信息系统密评备案信息表》</w:t>
      </w:r>
    </w:p>
    <w:p w14:paraId="5EA3DB7A">
      <w:pPr>
        <w:spacing w:line="500" w:lineRule="exact"/>
        <w:ind w:left="480"/>
        <w:jc w:val="left"/>
        <w:rPr>
          <w:rFonts w:ascii="宋体" w:hAnsi="宋体"/>
          <w:color w:val="000000"/>
          <w:sz w:val="24"/>
        </w:rPr>
      </w:pPr>
      <w:r>
        <w:rPr>
          <w:rFonts w:hint="eastAsia" w:ascii="宋体" w:hAnsi="宋体"/>
          <w:color w:val="000000"/>
          <w:sz w:val="24"/>
        </w:rPr>
        <w:t>2.协助整改工作</w:t>
      </w:r>
    </w:p>
    <w:p w14:paraId="5CE387B8">
      <w:pPr>
        <w:spacing w:line="480" w:lineRule="exact"/>
        <w:ind w:firstLine="480" w:firstLineChars="200"/>
        <w:rPr>
          <w:rFonts w:ascii="宋体" w:hAnsi="宋体" w:cs="宋体"/>
          <w:color w:val="000000"/>
          <w:sz w:val="24"/>
        </w:rPr>
      </w:pPr>
      <w:r>
        <w:rPr>
          <w:rFonts w:hint="eastAsia" w:ascii="宋体" w:hAnsi="宋体" w:cs="宋体"/>
          <w:color w:val="000000"/>
          <w:sz w:val="24"/>
        </w:rPr>
        <w:t>根据初次测评结果内容，分析信息系统安全情况与商用密码应用安全性评估要求的差距，并进行风险分析，乙方出具科学合理的整改建议及整改方案，配合甲方进行安全整改方案制定和信息安全整改工作。</w:t>
      </w:r>
    </w:p>
    <w:p w14:paraId="07BF6BD3">
      <w:pPr>
        <w:spacing w:line="480" w:lineRule="exact"/>
        <w:ind w:firstLine="480" w:firstLineChars="200"/>
        <w:rPr>
          <w:rFonts w:ascii="宋体" w:hAnsi="宋体" w:cs="宋体"/>
          <w:color w:val="000000"/>
          <w:sz w:val="24"/>
        </w:rPr>
      </w:pPr>
      <w:r>
        <w:rPr>
          <w:rFonts w:hint="eastAsia" w:ascii="宋体" w:hAnsi="宋体" w:cs="宋体"/>
          <w:color w:val="000000"/>
          <w:sz w:val="24"/>
        </w:rPr>
        <w:t>在商用密码应用安全性评估安全建设整改工作中，乙方严格遵循商用密码应用安全性评估国家有关规定和标准规范要求，坚持管理和技术并重的原则，将技术措施和管理措施有机结合，建立信息系统综合防护体系，提高信息系统整体安全保护能力。按照相关要求，落实信息安全责任制，建立并落实各类安全管理制度，安全保护技术措施。</w:t>
      </w:r>
    </w:p>
    <w:p w14:paraId="4061CDDD">
      <w:pPr>
        <w:spacing w:line="500" w:lineRule="exact"/>
        <w:ind w:left="480"/>
        <w:jc w:val="left"/>
        <w:rPr>
          <w:rFonts w:ascii="宋体" w:hAnsi="宋体"/>
          <w:color w:val="000000"/>
          <w:sz w:val="24"/>
        </w:rPr>
      </w:pPr>
      <w:r>
        <w:rPr>
          <w:rFonts w:hint="eastAsia" w:ascii="宋体" w:hAnsi="宋体"/>
          <w:color w:val="000000"/>
          <w:sz w:val="24"/>
        </w:rPr>
        <w:t>本阶段工作成果：</w:t>
      </w:r>
    </w:p>
    <w:p w14:paraId="5741BEC4">
      <w:pPr>
        <w:spacing w:line="500" w:lineRule="exact"/>
        <w:ind w:left="480"/>
        <w:jc w:val="left"/>
        <w:rPr>
          <w:rFonts w:ascii="宋体" w:hAnsi="宋体"/>
          <w:color w:val="000000"/>
          <w:sz w:val="24"/>
        </w:rPr>
      </w:pPr>
      <w:r>
        <w:rPr>
          <w:rFonts w:hint="eastAsia" w:ascii="宋体" w:hAnsi="宋体"/>
          <w:color w:val="000000"/>
          <w:sz w:val="24"/>
        </w:rPr>
        <w:t>《****整改技术方案》</w:t>
      </w:r>
    </w:p>
    <w:p w14:paraId="3BA60FC1">
      <w:pPr>
        <w:spacing w:line="480" w:lineRule="exact"/>
        <w:ind w:firstLine="425"/>
        <w:jc w:val="left"/>
        <w:rPr>
          <w:rFonts w:ascii="宋体" w:hAnsi="宋体"/>
          <w:color w:val="000000"/>
          <w:sz w:val="24"/>
        </w:rPr>
      </w:pPr>
      <w:r>
        <w:rPr>
          <w:rFonts w:hint="eastAsia" w:ascii="宋体" w:hAnsi="宋体"/>
          <w:color w:val="000000"/>
          <w:sz w:val="24"/>
        </w:rPr>
        <w:t>3.技术培训工作</w:t>
      </w:r>
    </w:p>
    <w:p w14:paraId="0D1EEC7A">
      <w:pPr>
        <w:spacing w:line="480" w:lineRule="exact"/>
        <w:ind w:firstLine="480" w:firstLineChars="200"/>
        <w:rPr>
          <w:rFonts w:ascii="宋体" w:hAnsi="宋体" w:cs="宋体"/>
          <w:color w:val="000000"/>
          <w:sz w:val="24"/>
        </w:rPr>
      </w:pPr>
      <w:r>
        <w:rPr>
          <w:rFonts w:hint="eastAsia" w:ascii="宋体" w:hAnsi="宋体" w:cs="宋体"/>
          <w:color w:val="000000"/>
          <w:sz w:val="24"/>
        </w:rPr>
        <w:t>乙方须按采购要求的时间为甲方免费培训技术人员若干名，针对不同类型用户，制定有针对性的培训计划。培训以受培训人员熟练掌握相应技能为原则。乙方培训人员(包括相关职称证书、姓名、联系方式等)与具体的培训计划安排表(根据甲方要求协商制定)。</w:t>
      </w:r>
    </w:p>
    <w:p w14:paraId="47221FFD">
      <w:pPr>
        <w:spacing w:line="480" w:lineRule="exact"/>
        <w:ind w:firstLine="480" w:firstLineChars="200"/>
        <w:rPr>
          <w:rFonts w:ascii="宋体" w:hAnsi="宋体" w:cs="宋体"/>
          <w:color w:val="000000"/>
          <w:sz w:val="24"/>
        </w:rPr>
      </w:pPr>
      <w:r>
        <w:rPr>
          <w:rFonts w:hint="eastAsia" w:ascii="宋体" w:hAnsi="宋体" w:cs="宋体"/>
          <w:color w:val="000000"/>
          <w:sz w:val="24"/>
        </w:rPr>
        <w:t>技术培训包括但不限于以下内容:</w:t>
      </w:r>
    </w:p>
    <w:p w14:paraId="42DE1F1A">
      <w:pPr>
        <w:spacing w:line="480" w:lineRule="exact"/>
        <w:jc w:val="left"/>
        <w:rPr>
          <w:rFonts w:ascii="宋体" w:hAnsi="宋体"/>
          <w:color w:val="000000"/>
          <w:sz w:val="24"/>
        </w:rPr>
      </w:pPr>
      <w:r>
        <w:rPr>
          <w:rFonts w:hint="eastAsia" w:ascii="宋体" w:hAnsi="宋体"/>
          <w:color w:val="000000"/>
          <w:sz w:val="24"/>
        </w:rPr>
        <w:t>（1）技术标准和测评具体项目的要求;</w:t>
      </w:r>
    </w:p>
    <w:p w14:paraId="52340EF1">
      <w:pPr>
        <w:spacing w:line="480" w:lineRule="exact"/>
        <w:jc w:val="left"/>
        <w:rPr>
          <w:rFonts w:ascii="宋体" w:hAnsi="宋体"/>
          <w:color w:val="000000"/>
          <w:sz w:val="24"/>
        </w:rPr>
      </w:pPr>
      <w:r>
        <w:rPr>
          <w:rFonts w:hint="eastAsia" w:ascii="宋体" w:hAnsi="宋体"/>
          <w:color w:val="000000"/>
          <w:sz w:val="24"/>
        </w:rPr>
        <w:t>（2）测评后问题风险以及整改方案;</w:t>
      </w:r>
    </w:p>
    <w:p w14:paraId="36FDB46B">
      <w:pPr>
        <w:spacing w:line="480" w:lineRule="exact"/>
        <w:jc w:val="left"/>
        <w:rPr>
          <w:rFonts w:ascii="宋体" w:hAnsi="宋体"/>
          <w:color w:val="000000"/>
          <w:sz w:val="24"/>
        </w:rPr>
      </w:pPr>
      <w:r>
        <w:rPr>
          <w:rFonts w:hint="eastAsia" w:ascii="宋体" w:hAnsi="宋体"/>
          <w:color w:val="000000"/>
          <w:sz w:val="24"/>
        </w:rPr>
        <w:t>（3）日常安全检查以及问题处理技能;</w:t>
      </w:r>
    </w:p>
    <w:p w14:paraId="51AA2001">
      <w:pPr>
        <w:spacing w:line="480" w:lineRule="exact"/>
        <w:jc w:val="left"/>
        <w:rPr>
          <w:rFonts w:ascii="宋体" w:hAnsi="宋体"/>
          <w:color w:val="000000"/>
          <w:sz w:val="24"/>
        </w:rPr>
      </w:pPr>
      <w:r>
        <w:rPr>
          <w:rFonts w:hint="eastAsia" w:ascii="宋体" w:hAnsi="宋体"/>
          <w:color w:val="000000"/>
          <w:sz w:val="24"/>
        </w:rPr>
        <w:t>（4）风险控制以及日后运维改进方案。</w:t>
      </w:r>
    </w:p>
    <w:p w14:paraId="21415779">
      <w:pPr>
        <w:spacing w:line="500" w:lineRule="exact"/>
        <w:ind w:left="480"/>
        <w:jc w:val="left"/>
        <w:rPr>
          <w:rFonts w:ascii="宋体" w:hAnsi="宋体"/>
          <w:color w:val="000000"/>
          <w:sz w:val="24"/>
        </w:rPr>
      </w:pPr>
      <w:r>
        <w:rPr>
          <w:rFonts w:hint="eastAsia" w:ascii="宋体" w:hAnsi="宋体"/>
          <w:color w:val="000000"/>
          <w:sz w:val="24"/>
        </w:rPr>
        <w:t>本阶段工作成果：</w:t>
      </w:r>
    </w:p>
    <w:p w14:paraId="2F886734">
      <w:pPr>
        <w:spacing w:line="500" w:lineRule="exact"/>
        <w:ind w:left="480"/>
        <w:jc w:val="left"/>
        <w:rPr>
          <w:rFonts w:ascii="宋体" w:hAnsi="宋体"/>
          <w:color w:val="000000"/>
          <w:sz w:val="24"/>
        </w:rPr>
      </w:pPr>
      <w:r>
        <w:rPr>
          <w:rFonts w:hint="eastAsia" w:ascii="宋体" w:hAnsi="宋体"/>
          <w:color w:val="000000"/>
          <w:sz w:val="24"/>
        </w:rPr>
        <w:t>《XXX单位培训计划》</w:t>
      </w:r>
    </w:p>
    <w:p w14:paraId="053C2418">
      <w:pPr>
        <w:spacing w:line="480" w:lineRule="exact"/>
        <w:ind w:firstLine="425"/>
        <w:jc w:val="left"/>
        <w:rPr>
          <w:rFonts w:ascii="宋体" w:hAnsi="宋体"/>
          <w:color w:val="000000"/>
          <w:sz w:val="24"/>
        </w:rPr>
      </w:pPr>
      <w:r>
        <w:rPr>
          <w:rFonts w:hint="eastAsia" w:ascii="宋体" w:hAnsi="宋体"/>
          <w:color w:val="000000"/>
          <w:sz w:val="24"/>
        </w:rPr>
        <w:t>4.技术咨询服务</w:t>
      </w:r>
    </w:p>
    <w:p w14:paraId="05F4E230">
      <w:pPr>
        <w:spacing w:line="480" w:lineRule="exact"/>
        <w:ind w:firstLine="480" w:firstLineChars="200"/>
        <w:rPr>
          <w:rFonts w:ascii="宋体" w:hAnsi="宋体" w:cs="宋体"/>
          <w:color w:val="000000"/>
          <w:sz w:val="24"/>
        </w:rPr>
      </w:pPr>
      <w:r>
        <w:rPr>
          <w:rFonts w:hint="eastAsia" w:ascii="宋体" w:hAnsi="宋体" w:cs="宋体"/>
          <w:color w:val="000000"/>
          <w:sz w:val="24"/>
        </w:rPr>
        <w:t>技术咨询服务目前可提供安全技术咨询服务和法律法规咨询服务。</w:t>
      </w:r>
    </w:p>
    <w:p w14:paraId="532A9CA9">
      <w:pPr>
        <w:spacing w:line="480" w:lineRule="exact"/>
        <w:jc w:val="left"/>
        <w:rPr>
          <w:rFonts w:ascii="宋体" w:hAnsi="宋体"/>
          <w:color w:val="000000"/>
          <w:sz w:val="24"/>
        </w:rPr>
      </w:pPr>
      <w:r>
        <w:rPr>
          <w:rFonts w:hint="eastAsia" w:ascii="宋体" w:hAnsi="宋体"/>
          <w:color w:val="000000"/>
          <w:sz w:val="24"/>
        </w:rPr>
        <w:t>（1）安全技术咨询</w:t>
      </w:r>
    </w:p>
    <w:p w14:paraId="76E36AAA">
      <w:pPr>
        <w:spacing w:line="480" w:lineRule="exact"/>
        <w:ind w:firstLine="480" w:firstLineChars="200"/>
        <w:rPr>
          <w:rFonts w:ascii="宋体" w:hAnsi="宋体" w:cs="宋体"/>
          <w:color w:val="000000"/>
          <w:sz w:val="24"/>
        </w:rPr>
      </w:pPr>
      <w:r>
        <w:rPr>
          <w:rFonts w:hint="eastAsia" w:ascii="宋体" w:hAnsi="宋体" w:cs="宋体"/>
          <w:color w:val="000000"/>
          <w:sz w:val="24"/>
        </w:rPr>
        <w:t>乙方提供安全技术咨询服务，按照“技术咨询请求、技术咨询沟通、输出技术方案”的访问进行问题的一对一回复，咨询内容为商用密码应用安全性评估技术要求，具体咨询内容如下。</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14"/>
        <w:gridCol w:w="6308"/>
      </w:tblGrid>
      <w:tr w14:paraId="26C26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9" w:type="pct"/>
            <w:shd w:val="clear" w:color="auto" w:fill="D9D9D9"/>
          </w:tcPr>
          <w:p w14:paraId="09DAF450">
            <w:pPr>
              <w:spacing w:line="480" w:lineRule="exact"/>
              <w:ind w:firstLine="482" w:firstLineChars="200"/>
              <w:jc w:val="center"/>
              <w:rPr>
                <w:rFonts w:ascii="宋体" w:hAnsi="宋体" w:cs="宋体"/>
                <w:b/>
                <w:bCs/>
                <w:color w:val="000000"/>
                <w:sz w:val="24"/>
              </w:rPr>
            </w:pPr>
            <w:r>
              <w:rPr>
                <w:rFonts w:ascii="宋体" w:hAnsi="宋体" w:cs="宋体"/>
                <w:b/>
                <w:bCs/>
                <w:color w:val="000000"/>
                <w:sz w:val="24"/>
              </w:rPr>
              <w:t>咨询内容</w:t>
            </w:r>
          </w:p>
        </w:tc>
        <w:tc>
          <w:tcPr>
            <w:tcW w:w="3701" w:type="pct"/>
            <w:shd w:val="clear" w:color="auto" w:fill="D9D9D9"/>
          </w:tcPr>
          <w:p w14:paraId="170621CE">
            <w:pPr>
              <w:spacing w:line="480" w:lineRule="exact"/>
              <w:ind w:firstLine="482" w:firstLineChars="200"/>
              <w:jc w:val="center"/>
              <w:rPr>
                <w:rFonts w:ascii="宋体" w:hAnsi="宋体" w:cs="宋体"/>
                <w:b/>
                <w:bCs/>
                <w:color w:val="000000"/>
                <w:sz w:val="24"/>
              </w:rPr>
            </w:pPr>
            <w:r>
              <w:rPr>
                <w:rFonts w:ascii="宋体" w:hAnsi="宋体" w:cs="宋体"/>
                <w:b/>
                <w:bCs/>
                <w:color w:val="000000"/>
                <w:sz w:val="24"/>
              </w:rPr>
              <w:t>涉及内容</w:t>
            </w:r>
          </w:p>
        </w:tc>
      </w:tr>
      <w:tr w14:paraId="1F5B8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9" w:type="pct"/>
            <w:vAlign w:val="center"/>
          </w:tcPr>
          <w:p w14:paraId="0230464F">
            <w:pPr>
              <w:spacing w:line="480" w:lineRule="exact"/>
              <w:rPr>
                <w:rFonts w:ascii="宋体" w:hAnsi="宋体" w:cs="宋体"/>
                <w:color w:val="000000"/>
                <w:sz w:val="24"/>
              </w:rPr>
            </w:pPr>
            <w:r>
              <w:rPr>
                <w:rFonts w:hint="eastAsia" w:ascii="宋体" w:hAnsi="宋体" w:cs="宋体"/>
                <w:color w:val="000000"/>
                <w:sz w:val="24"/>
              </w:rPr>
              <w:t>商用密码应用安全性评估</w:t>
            </w:r>
            <w:r>
              <w:rPr>
                <w:rFonts w:ascii="宋体" w:hAnsi="宋体" w:cs="宋体"/>
                <w:color w:val="000000"/>
                <w:sz w:val="24"/>
              </w:rPr>
              <w:t>技术要求</w:t>
            </w:r>
          </w:p>
        </w:tc>
        <w:tc>
          <w:tcPr>
            <w:tcW w:w="3701" w:type="pct"/>
            <w:vAlign w:val="center"/>
          </w:tcPr>
          <w:p w14:paraId="58B22C24">
            <w:pPr>
              <w:spacing w:line="480" w:lineRule="exact"/>
              <w:rPr>
                <w:rFonts w:ascii="宋体" w:hAnsi="宋体" w:cs="宋体"/>
                <w:color w:val="000000"/>
                <w:sz w:val="24"/>
              </w:rPr>
            </w:pPr>
            <w:r>
              <w:rPr>
                <w:rFonts w:hint="eastAsia" w:ascii="宋体" w:hAnsi="宋体" w:cs="宋体"/>
                <w:color w:val="000000"/>
                <w:sz w:val="24"/>
              </w:rPr>
              <w:t>系统使用的密码算法、密码技术、密码产品及密码服务；身份鉴别、</w:t>
            </w:r>
            <w:r>
              <w:rPr>
                <w:rFonts w:ascii="宋体" w:hAnsi="宋体" w:cs="宋体"/>
                <w:color w:val="000000"/>
                <w:sz w:val="24"/>
              </w:rPr>
              <w:t>电子门禁记录数据完整性</w:t>
            </w:r>
            <w:r>
              <w:rPr>
                <w:rFonts w:hint="eastAsia" w:ascii="宋体" w:hAnsi="宋体" w:cs="宋体"/>
                <w:color w:val="000000"/>
                <w:sz w:val="24"/>
              </w:rPr>
              <w:t>、</w:t>
            </w:r>
            <w:r>
              <w:rPr>
                <w:rFonts w:ascii="宋体" w:hAnsi="宋体" w:cs="宋体"/>
                <w:color w:val="000000"/>
                <w:sz w:val="24"/>
              </w:rPr>
              <w:t>视频记录数据完整性</w:t>
            </w:r>
            <w:r>
              <w:rPr>
                <w:rFonts w:hint="eastAsia" w:ascii="宋体" w:hAnsi="宋体" w:cs="宋体"/>
                <w:color w:val="000000"/>
                <w:sz w:val="24"/>
              </w:rPr>
              <w:t>、</w:t>
            </w:r>
            <w:r>
              <w:rPr>
                <w:rFonts w:ascii="宋体" w:hAnsi="宋体" w:cs="宋体"/>
                <w:color w:val="000000"/>
                <w:sz w:val="24"/>
              </w:rPr>
              <w:t>硬件密码模块实现</w:t>
            </w:r>
            <w:r>
              <w:rPr>
                <w:rFonts w:hint="eastAsia" w:ascii="宋体" w:hAnsi="宋体" w:cs="宋体"/>
                <w:color w:val="000000"/>
                <w:sz w:val="24"/>
              </w:rPr>
              <w:t>、</w:t>
            </w:r>
            <w:r>
              <w:rPr>
                <w:rFonts w:ascii="宋体" w:hAnsi="宋体" w:cs="宋体"/>
                <w:color w:val="000000"/>
                <w:sz w:val="24"/>
              </w:rPr>
              <w:t>访问控制信息完整性</w:t>
            </w:r>
            <w:r>
              <w:rPr>
                <w:rFonts w:hint="eastAsia" w:ascii="宋体" w:hAnsi="宋体" w:cs="宋体"/>
                <w:color w:val="000000"/>
                <w:sz w:val="24"/>
              </w:rPr>
              <w:t>、</w:t>
            </w:r>
            <w:r>
              <w:rPr>
                <w:rFonts w:ascii="宋体" w:hAnsi="宋体" w:cs="宋体"/>
                <w:color w:val="000000"/>
                <w:sz w:val="24"/>
              </w:rPr>
              <w:t>通信数据完整性</w:t>
            </w:r>
            <w:r>
              <w:rPr>
                <w:rFonts w:hint="eastAsia" w:ascii="宋体" w:hAnsi="宋体" w:cs="宋体"/>
                <w:color w:val="000000"/>
                <w:sz w:val="24"/>
              </w:rPr>
              <w:t>、</w:t>
            </w:r>
            <w:r>
              <w:rPr>
                <w:rFonts w:ascii="宋体" w:hAnsi="宋体" w:cs="宋体"/>
                <w:color w:val="000000"/>
                <w:sz w:val="24"/>
              </w:rPr>
              <w:t>通信数据机密性</w:t>
            </w:r>
            <w:r>
              <w:rPr>
                <w:rFonts w:hint="eastAsia" w:ascii="宋体" w:hAnsi="宋体" w:cs="宋体"/>
                <w:color w:val="000000"/>
                <w:sz w:val="24"/>
              </w:rPr>
              <w:t>、</w:t>
            </w:r>
            <w:r>
              <w:rPr>
                <w:rFonts w:ascii="宋体" w:hAnsi="宋体" w:cs="宋体"/>
                <w:color w:val="000000"/>
                <w:sz w:val="24"/>
              </w:rPr>
              <w:t>集中管理通道安全</w:t>
            </w:r>
            <w:r>
              <w:rPr>
                <w:rFonts w:hint="eastAsia" w:ascii="宋体" w:hAnsi="宋体" w:cs="宋体"/>
                <w:color w:val="000000"/>
                <w:sz w:val="24"/>
              </w:rPr>
              <w:t>、</w:t>
            </w:r>
            <w:r>
              <w:rPr>
                <w:rFonts w:ascii="宋体" w:hAnsi="宋体" w:cs="宋体"/>
                <w:color w:val="000000"/>
                <w:sz w:val="24"/>
              </w:rPr>
              <w:t>远程管理身份鉴别信息机密性</w:t>
            </w:r>
            <w:r>
              <w:rPr>
                <w:rFonts w:hint="eastAsia" w:ascii="宋体" w:hAnsi="宋体" w:cs="宋体"/>
                <w:color w:val="000000"/>
                <w:sz w:val="24"/>
              </w:rPr>
              <w:t>、</w:t>
            </w:r>
            <w:r>
              <w:rPr>
                <w:rFonts w:ascii="宋体" w:hAnsi="宋体" w:cs="宋体"/>
                <w:color w:val="000000"/>
                <w:sz w:val="24"/>
              </w:rPr>
              <w:t>敏感标记完整性</w:t>
            </w:r>
            <w:r>
              <w:rPr>
                <w:rFonts w:hint="eastAsia" w:ascii="宋体" w:hAnsi="宋体" w:cs="宋体"/>
                <w:color w:val="000000"/>
                <w:sz w:val="24"/>
              </w:rPr>
              <w:t>、</w:t>
            </w:r>
            <w:r>
              <w:rPr>
                <w:rFonts w:ascii="宋体" w:hAnsi="宋体" w:cs="宋体"/>
                <w:color w:val="000000"/>
                <w:sz w:val="24"/>
              </w:rPr>
              <w:t>重要程序或文件完整性</w:t>
            </w:r>
            <w:r>
              <w:rPr>
                <w:rFonts w:hint="eastAsia" w:ascii="宋体" w:hAnsi="宋体" w:cs="宋体"/>
                <w:color w:val="000000"/>
                <w:sz w:val="24"/>
              </w:rPr>
              <w:t>、</w:t>
            </w:r>
            <w:r>
              <w:rPr>
                <w:rFonts w:ascii="宋体" w:hAnsi="宋体" w:cs="宋体"/>
                <w:color w:val="000000"/>
                <w:sz w:val="24"/>
              </w:rPr>
              <w:t>日志记录完整性</w:t>
            </w:r>
            <w:r>
              <w:rPr>
                <w:rFonts w:hint="eastAsia" w:ascii="宋体" w:hAnsi="宋体" w:cs="宋体"/>
                <w:color w:val="000000"/>
                <w:sz w:val="24"/>
              </w:rPr>
              <w:t>、</w:t>
            </w:r>
            <w:r>
              <w:rPr>
                <w:rFonts w:ascii="宋体" w:hAnsi="宋体" w:cs="宋体"/>
                <w:color w:val="000000"/>
                <w:sz w:val="24"/>
              </w:rPr>
              <w:t>数据传输安全</w:t>
            </w:r>
            <w:r>
              <w:rPr>
                <w:rFonts w:hint="eastAsia" w:ascii="宋体" w:hAnsi="宋体" w:cs="宋体"/>
                <w:color w:val="000000"/>
                <w:sz w:val="24"/>
              </w:rPr>
              <w:t>、</w:t>
            </w:r>
            <w:r>
              <w:rPr>
                <w:rFonts w:ascii="宋体" w:hAnsi="宋体" w:cs="宋体"/>
                <w:color w:val="000000"/>
                <w:sz w:val="24"/>
              </w:rPr>
              <w:t>数据存储安全</w:t>
            </w:r>
            <w:r>
              <w:rPr>
                <w:rFonts w:hint="eastAsia" w:ascii="宋体" w:hAnsi="宋体" w:cs="宋体"/>
                <w:color w:val="000000"/>
                <w:sz w:val="24"/>
              </w:rPr>
              <w:t>、</w:t>
            </w:r>
            <w:r>
              <w:rPr>
                <w:rFonts w:ascii="宋体" w:hAnsi="宋体" w:cs="宋体"/>
                <w:color w:val="000000"/>
                <w:sz w:val="24"/>
              </w:rPr>
              <w:t>数据传输</w:t>
            </w:r>
            <w:r>
              <w:rPr>
                <w:rFonts w:hint="eastAsia" w:ascii="宋体" w:hAnsi="宋体" w:cs="宋体"/>
                <w:color w:val="000000"/>
                <w:sz w:val="24"/>
              </w:rPr>
              <w:t>完整性、</w:t>
            </w:r>
            <w:r>
              <w:rPr>
                <w:rFonts w:ascii="宋体" w:hAnsi="宋体" w:cs="宋体"/>
                <w:color w:val="000000"/>
                <w:sz w:val="24"/>
              </w:rPr>
              <w:t>数据</w:t>
            </w:r>
            <w:r>
              <w:rPr>
                <w:rFonts w:hint="eastAsia" w:ascii="宋体" w:hAnsi="宋体" w:cs="宋体"/>
                <w:color w:val="000000"/>
                <w:sz w:val="24"/>
              </w:rPr>
              <w:t>存储完整性、</w:t>
            </w:r>
            <w:r>
              <w:rPr>
                <w:rFonts w:ascii="宋体" w:hAnsi="宋体" w:cs="宋体"/>
                <w:color w:val="000000"/>
                <w:sz w:val="24"/>
              </w:rPr>
              <w:t>日志记录完整性</w:t>
            </w:r>
            <w:r>
              <w:rPr>
                <w:rFonts w:hint="eastAsia" w:ascii="宋体" w:hAnsi="宋体" w:cs="宋体"/>
                <w:color w:val="000000"/>
                <w:sz w:val="24"/>
              </w:rPr>
              <w:t>、</w:t>
            </w:r>
            <w:r>
              <w:rPr>
                <w:rFonts w:ascii="宋体" w:hAnsi="宋体" w:cs="宋体"/>
                <w:color w:val="000000"/>
                <w:sz w:val="24"/>
              </w:rPr>
              <w:t>重要应用程序加载和卸载</w:t>
            </w:r>
            <w:r>
              <w:rPr>
                <w:rFonts w:hint="eastAsia" w:ascii="宋体" w:hAnsi="宋体" w:cs="宋体"/>
                <w:color w:val="000000"/>
                <w:sz w:val="24"/>
              </w:rPr>
              <w:t>、密钥管理测评等。</w:t>
            </w:r>
          </w:p>
        </w:tc>
      </w:tr>
    </w:tbl>
    <w:p w14:paraId="4C196F40">
      <w:pPr>
        <w:spacing w:line="500" w:lineRule="exact"/>
        <w:ind w:left="480"/>
        <w:jc w:val="left"/>
        <w:rPr>
          <w:rFonts w:ascii="宋体" w:hAnsi="宋体"/>
          <w:color w:val="000000"/>
          <w:sz w:val="24"/>
        </w:rPr>
      </w:pPr>
      <w:r>
        <w:rPr>
          <w:rFonts w:hint="eastAsia" w:ascii="宋体" w:hAnsi="宋体"/>
          <w:color w:val="000000"/>
          <w:sz w:val="24"/>
        </w:rPr>
        <w:t>本阶段工作成果：</w:t>
      </w:r>
    </w:p>
    <w:p w14:paraId="09392AA9">
      <w:pPr>
        <w:spacing w:line="500" w:lineRule="exact"/>
        <w:ind w:left="480"/>
        <w:jc w:val="left"/>
        <w:rPr>
          <w:rFonts w:ascii="宋体" w:hAnsi="宋体"/>
          <w:color w:val="000000"/>
          <w:sz w:val="24"/>
        </w:rPr>
      </w:pPr>
      <w:r>
        <w:rPr>
          <w:rFonts w:hint="eastAsia" w:ascii="宋体" w:hAnsi="宋体"/>
          <w:color w:val="000000"/>
          <w:sz w:val="24"/>
        </w:rPr>
        <w:t>《****技术咨询方案》</w:t>
      </w:r>
    </w:p>
    <w:p w14:paraId="42826364">
      <w:pPr>
        <w:spacing w:line="480" w:lineRule="exact"/>
        <w:jc w:val="left"/>
        <w:rPr>
          <w:rFonts w:ascii="宋体" w:hAnsi="宋体"/>
          <w:color w:val="000000"/>
          <w:sz w:val="24"/>
        </w:rPr>
      </w:pPr>
      <w:r>
        <w:rPr>
          <w:rFonts w:hint="eastAsia" w:ascii="宋体" w:hAnsi="宋体"/>
          <w:color w:val="000000"/>
          <w:sz w:val="24"/>
        </w:rPr>
        <w:t>（2）法律法规咨询</w:t>
      </w:r>
    </w:p>
    <w:p w14:paraId="280445DC">
      <w:pPr>
        <w:spacing w:line="480" w:lineRule="exact"/>
        <w:ind w:firstLine="480" w:firstLineChars="200"/>
        <w:rPr>
          <w:rFonts w:ascii="宋体" w:hAnsi="宋体" w:cs="宋体"/>
          <w:color w:val="000000"/>
          <w:sz w:val="24"/>
        </w:rPr>
      </w:pPr>
      <w:r>
        <w:rPr>
          <w:rFonts w:hint="eastAsia" w:ascii="宋体" w:hAnsi="宋体" w:cs="宋体"/>
          <w:color w:val="000000"/>
          <w:sz w:val="24"/>
        </w:rPr>
        <w:t>乙方需提供和信息安全相关的法律法规咨询服务，按照“法律法规咨询请求</w:t>
      </w:r>
      <w:r>
        <w:rPr>
          <w:rFonts w:ascii="宋体" w:hAnsi="宋体" w:cs="宋体"/>
          <w:color w:val="000000"/>
          <w:sz w:val="24"/>
        </w:rPr>
        <w:t></w:t>
      </w:r>
      <w:r>
        <w:rPr>
          <w:rFonts w:hint="eastAsia" w:ascii="宋体" w:hAnsi="宋体" w:cs="宋体"/>
          <w:color w:val="000000"/>
          <w:sz w:val="24"/>
        </w:rPr>
        <w:t>法律法规咨询沟通</w:t>
      </w:r>
      <w:r>
        <w:rPr>
          <w:rFonts w:ascii="宋体" w:hAnsi="宋体" w:cs="宋体"/>
          <w:color w:val="000000"/>
          <w:sz w:val="24"/>
        </w:rPr>
        <w:t></w:t>
      </w:r>
      <w:r>
        <w:rPr>
          <w:rFonts w:hint="eastAsia" w:ascii="宋体" w:hAnsi="宋体" w:cs="宋体"/>
          <w:color w:val="000000"/>
          <w:sz w:val="24"/>
        </w:rPr>
        <w:t xml:space="preserve">输出咨询文档”的访问进行问题的一对一回复。 </w:t>
      </w:r>
    </w:p>
    <w:p w14:paraId="6093E3CB">
      <w:pPr>
        <w:spacing w:line="500" w:lineRule="exact"/>
        <w:ind w:left="480"/>
        <w:jc w:val="left"/>
        <w:rPr>
          <w:rFonts w:ascii="宋体" w:hAnsi="宋体"/>
          <w:color w:val="000000"/>
          <w:sz w:val="24"/>
        </w:rPr>
      </w:pPr>
      <w:r>
        <w:rPr>
          <w:rFonts w:hint="eastAsia" w:ascii="宋体" w:hAnsi="宋体"/>
          <w:color w:val="000000"/>
          <w:sz w:val="24"/>
        </w:rPr>
        <w:t>本阶段工作成果：</w:t>
      </w:r>
    </w:p>
    <w:p w14:paraId="5EA22EA2">
      <w:pPr>
        <w:spacing w:line="500" w:lineRule="exact"/>
        <w:ind w:left="480"/>
        <w:jc w:val="left"/>
        <w:rPr>
          <w:rFonts w:ascii="宋体" w:hAnsi="宋体"/>
          <w:color w:val="000000"/>
          <w:sz w:val="24"/>
        </w:rPr>
      </w:pPr>
      <w:r>
        <w:rPr>
          <w:rFonts w:hint="eastAsia" w:ascii="宋体" w:hAnsi="宋体"/>
          <w:color w:val="000000"/>
          <w:sz w:val="24"/>
        </w:rPr>
        <w:t>《****咨询方案》</w:t>
      </w:r>
    </w:p>
    <w:p w14:paraId="6285C01C">
      <w:pPr>
        <w:spacing w:line="480" w:lineRule="exact"/>
        <w:ind w:firstLine="425"/>
        <w:jc w:val="left"/>
        <w:rPr>
          <w:rFonts w:ascii="宋体" w:hAnsi="宋体"/>
          <w:color w:val="000000"/>
          <w:sz w:val="24"/>
        </w:rPr>
      </w:pPr>
      <w:r>
        <w:rPr>
          <w:rFonts w:hint="eastAsia" w:ascii="宋体" w:hAnsi="宋体"/>
          <w:color w:val="000000"/>
          <w:sz w:val="24"/>
        </w:rPr>
        <w:t>5.应急响应工作</w:t>
      </w:r>
    </w:p>
    <w:p w14:paraId="04958E73">
      <w:pPr>
        <w:spacing w:line="480" w:lineRule="exact"/>
        <w:ind w:firstLine="480" w:firstLineChars="200"/>
        <w:rPr>
          <w:rFonts w:ascii="宋体" w:hAnsi="宋体" w:cs="宋体"/>
          <w:color w:val="000000"/>
          <w:sz w:val="24"/>
        </w:rPr>
      </w:pPr>
      <w:r>
        <w:rPr>
          <w:rFonts w:hint="eastAsia" w:ascii="宋体" w:hAnsi="宋体" w:cs="宋体"/>
          <w:color w:val="000000"/>
          <w:sz w:val="24"/>
        </w:rPr>
        <w:t>乙方针对该项目成立应急处置小组和应急处置预案，全程24小时待命，在接到甲方请求后，密评人员在1小时内作好服务应答和反馈，并在6小时内到达现场。</w:t>
      </w:r>
    </w:p>
    <w:p w14:paraId="6B9AC94F">
      <w:pPr>
        <w:spacing w:line="480" w:lineRule="exact"/>
        <w:ind w:firstLine="480" w:firstLineChars="200"/>
        <w:rPr>
          <w:rFonts w:ascii="宋体" w:hAnsi="宋体" w:cs="宋体"/>
          <w:color w:val="000000"/>
          <w:sz w:val="24"/>
        </w:rPr>
      </w:pPr>
      <w:r>
        <w:rPr>
          <w:rFonts w:hint="eastAsia" w:ascii="宋体" w:hAnsi="宋体" w:cs="宋体"/>
          <w:color w:val="000000"/>
          <w:sz w:val="24"/>
        </w:rPr>
        <w:t>接到被测评安全事件应急处置请求后，在第一时间启动应急处置预案，组织对事件进行分析研判，提出应急处置方案，采取有关技术措施，并针对已入侵系统进行调查取证、灾难恢复等安全服务工作，协助甲方快速有效完成对突发安全事件的应急处置，尽量减小网络攻击对甲方所造成的风险损失。</w:t>
      </w:r>
    </w:p>
    <w:p w14:paraId="27FCEE58">
      <w:pPr>
        <w:spacing w:line="480" w:lineRule="exact"/>
        <w:ind w:firstLine="480" w:firstLineChars="200"/>
        <w:rPr>
          <w:rFonts w:ascii="宋体" w:hAnsi="宋体" w:cs="宋体"/>
          <w:color w:val="000000"/>
          <w:sz w:val="24"/>
        </w:rPr>
      </w:pPr>
      <w:r>
        <w:rPr>
          <w:rFonts w:hint="eastAsia" w:ascii="宋体" w:hAnsi="宋体" w:cs="宋体"/>
          <w:color w:val="000000"/>
          <w:sz w:val="24"/>
        </w:rPr>
        <w:t>在应急响应的各项环节中，应符合《中华人民共和国突发事件应对法》《中华人民共和国网络安全法》等法律法规和《国家突发公共事件总体应急预案》《国家网络安全事件应急预案》等相关规定。</w:t>
      </w:r>
    </w:p>
    <w:p w14:paraId="2C9195EF">
      <w:pPr>
        <w:spacing w:line="480" w:lineRule="exact"/>
        <w:jc w:val="left"/>
        <w:rPr>
          <w:rFonts w:ascii="宋体" w:hAnsi="宋体" w:cs="宋体"/>
          <w:b/>
          <w:color w:val="000000"/>
          <w:sz w:val="24"/>
        </w:rPr>
      </w:pPr>
      <w:r>
        <w:rPr>
          <w:rFonts w:hint="eastAsia" w:ascii="宋体" w:hAnsi="宋体" w:cs="宋体"/>
          <w:b/>
          <w:color w:val="000000"/>
          <w:sz w:val="24"/>
        </w:rPr>
        <w:t>七、违约责任</w:t>
      </w:r>
    </w:p>
    <w:p w14:paraId="1D3CA737">
      <w:pPr>
        <w:spacing w:line="480" w:lineRule="exact"/>
        <w:ind w:firstLine="480" w:firstLineChars="200"/>
        <w:rPr>
          <w:rFonts w:ascii="宋体" w:hAnsi="宋体" w:cs="宋体"/>
          <w:sz w:val="24"/>
        </w:rPr>
      </w:pPr>
      <w:r>
        <w:rPr>
          <w:rFonts w:hint="eastAsia" w:ascii="宋体" w:hAnsi="宋体" w:cs="宋体"/>
          <w:sz w:val="24"/>
        </w:rPr>
        <w:t>（一）按《中华人民共和国民法典》中的相关条款执行。</w:t>
      </w:r>
    </w:p>
    <w:p w14:paraId="334DA917">
      <w:pPr>
        <w:spacing w:line="480" w:lineRule="exact"/>
        <w:ind w:firstLine="480" w:firstLineChars="200"/>
        <w:rPr>
          <w:rFonts w:ascii="宋体" w:hAnsi="宋体" w:cs="宋体"/>
          <w:sz w:val="24"/>
        </w:rPr>
      </w:pPr>
      <w:r>
        <w:rPr>
          <w:rFonts w:hint="eastAsia" w:ascii="宋体" w:hAnsi="宋体" w:cs="宋体"/>
          <w:sz w:val="24"/>
        </w:rPr>
        <w:t>（二）乙方未按期完成技术服务工作的，每逾期一周，应向甲方支付相当于技术服务报酬0.2%的违约金，逾期超过30日的，甲方有权单方解除合同，乙方应当支付相当于合同金额5%的违约金。</w:t>
      </w:r>
    </w:p>
    <w:p w14:paraId="2734C757">
      <w:pPr>
        <w:spacing w:line="480" w:lineRule="exact"/>
        <w:ind w:firstLine="480" w:firstLineChars="200"/>
        <w:rPr>
          <w:rFonts w:ascii="宋体" w:hAnsi="宋体" w:cs="宋体"/>
          <w:sz w:val="24"/>
        </w:rPr>
      </w:pPr>
      <w:r>
        <w:rPr>
          <w:rFonts w:hint="eastAsia" w:ascii="宋体" w:hAnsi="宋体" w:cs="宋体"/>
          <w:sz w:val="24"/>
        </w:rPr>
        <w:t>（三）乙方未按合同约定履行合同义务，经甲方催告仍未纠正的，甲方有权单方解除合同。由于整改纠正造成进度延期交付的视同逾期交付。</w:t>
      </w:r>
    </w:p>
    <w:p w14:paraId="46C8F691">
      <w:pPr>
        <w:spacing w:line="480" w:lineRule="exact"/>
        <w:ind w:firstLine="480" w:firstLineChars="200"/>
        <w:rPr>
          <w:rFonts w:ascii="宋体" w:hAnsi="宋体" w:cs="宋体"/>
          <w:sz w:val="24"/>
        </w:rPr>
      </w:pPr>
      <w:r>
        <w:rPr>
          <w:rFonts w:hint="eastAsia" w:ascii="宋体" w:hAnsi="宋体" w:cs="宋体"/>
          <w:sz w:val="24"/>
        </w:rPr>
        <w:t>（四）乙方提供的技术服务不符合本合同约定的验收标准，未通过甲方验收的，乙方应退还甲方已支付的全部款项，并向甲方支付相当于技术服务报酬10%的违约金。</w:t>
      </w:r>
    </w:p>
    <w:p w14:paraId="3C38544C">
      <w:pPr>
        <w:spacing w:line="480" w:lineRule="exact"/>
        <w:ind w:firstLine="480" w:firstLineChars="200"/>
        <w:rPr>
          <w:rFonts w:ascii="宋体" w:hAnsi="宋体" w:cs="宋体"/>
          <w:sz w:val="24"/>
        </w:rPr>
      </w:pPr>
      <w:r>
        <w:rPr>
          <w:rFonts w:hint="eastAsia" w:ascii="宋体" w:hAnsi="宋体" w:cs="宋体"/>
          <w:sz w:val="24"/>
        </w:rPr>
        <w:t>（五）乙方违反合同约定的保密义务，应承担一切法律责任并向甲方支付相当于技术服务报酬5%的违约金。</w:t>
      </w:r>
    </w:p>
    <w:p w14:paraId="2779632B">
      <w:pPr>
        <w:spacing w:line="480" w:lineRule="exact"/>
        <w:ind w:firstLine="480" w:firstLineChars="200"/>
        <w:rPr>
          <w:rFonts w:ascii="宋体" w:hAnsi="宋体" w:cs="宋体"/>
          <w:sz w:val="24"/>
        </w:rPr>
      </w:pPr>
      <w:r>
        <w:rPr>
          <w:rFonts w:hint="eastAsia" w:ascii="宋体" w:hAnsi="宋体" w:cs="宋体"/>
          <w:sz w:val="24"/>
        </w:rPr>
        <w:t>（六）合同因乙方原因解除的，甲方有权要求乙方退还甲方已支付的全部款项，且乙方应向甲方支付相当于技术服务报酬10%的违约金。</w:t>
      </w:r>
    </w:p>
    <w:p w14:paraId="14559B01">
      <w:pPr>
        <w:spacing w:line="480" w:lineRule="exact"/>
        <w:ind w:firstLine="480" w:firstLineChars="200"/>
        <w:rPr>
          <w:rFonts w:ascii="宋体" w:hAnsi="宋体" w:cs="宋体"/>
          <w:sz w:val="24"/>
        </w:rPr>
      </w:pPr>
      <w:r>
        <w:rPr>
          <w:rFonts w:hint="eastAsia" w:ascii="宋体" w:hAnsi="宋体" w:cs="宋体"/>
          <w:sz w:val="24"/>
        </w:rPr>
        <w:t>（七）如有纠纷，双方友好协商解决，协商不成时可诉讼到甲方所在地人民法院解决。</w:t>
      </w:r>
    </w:p>
    <w:p w14:paraId="20C453B7">
      <w:pPr>
        <w:spacing w:line="480" w:lineRule="exact"/>
        <w:jc w:val="left"/>
        <w:rPr>
          <w:rFonts w:ascii="宋体" w:hAnsi="宋体"/>
          <w:b/>
          <w:sz w:val="24"/>
        </w:rPr>
      </w:pPr>
      <w:r>
        <w:rPr>
          <w:rFonts w:hint="eastAsia" w:ascii="宋体" w:hAnsi="宋体"/>
          <w:b/>
          <w:sz w:val="24"/>
        </w:rPr>
        <w:t>八、验收</w:t>
      </w:r>
    </w:p>
    <w:p w14:paraId="10173C06">
      <w:pPr>
        <w:pStyle w:val="5"/>
        <w:ind w:firstLine="480"/>
      </w:pPr>
      <w:r>
        <w:rPr>
          <w:rFonts w:hint="eastAsia"/>
        </w:rPr>
        <w:t>由甲方统一组织，甲方与相关人员组成验收小组完成验收。双方根据最终验收情况，编写验收报告。乙方完成系统的密码应用安全性评估工作，并提交《商用密码应用安全性评估报告》，甲方通过审核后即为完成验收。</w:t>
      </w:r>
    </w:p>
    <w:p w14:paraId="162E8C38">
      <w:pPr>
        <w:pStyle w:val="5"/>
        <w:rPr>
          <w:b/>
        </w:rPr>
      </w:pPr>
      <w:r>
        <w:rPr>
          <w:rFonts w:hint="eastAsia"/>
          <w:b/>
        </w:rPr>
        <w:t>九、保密责任与义务</w:t>
      </w:r>
    </w:p>
    <w:p w14:paraId="6D0CD1F1">
      <w:pPr>
        <w:spacing w:line="480" w:lineRule="exact"/>
        <w:ind w:firstLine="480" w:firstLineChars="200"/>
        <w:rPr>
          <w:rFonts w:ascii="宋体" w:hAnsi="宋体" w:cs="宋体"/>
          <w:sz w:val="24"/>
        </w:rPr>
      </w:pPr>
      <w:r>
        <w:rPr>
          <w:rFonts w:hint="eastAsia" w:ascii="宋体" w:hAnsi="宋体" w:cs="宋体"/>
          <w:sz w:val="24"/>
        </w:rPr>
        <w:t>（一）乙方工作人员必须按照甲方对外来工作人员的有关保密管理规定，进行项目的各项活动，在项目活动中保证处理、存储、传输甲方秘密的安全。</w:t>
      </w:r>
    </w:p>
    <w:p w14:paraId="6D6A0D67">
      <w:pPr>
        <w:spacing w:line="480" w:lineRule="exact"/>
        <w:ind w:firstLine="480" w:firstLineChars="200"/>
        <w:rPr>
          <w:rFonts w:ascii="宋体" w:hAnsi="宋体" w:cs="宋体"/>
          <w:sz w:val="24"/>
        </w:rPr>
      </w:pPr>
      <w:r>
        <w:rPr>
          <w:rFonts w:hint="eastAsia" w:ascii="宋体" w:hAnsi="宋体" w:cs="宋体"/>
          <w:sz w:val="24"/>
        </w:rPr>
        <w:t>（二）乙方对甲方提供的图纸资料、技术文件等涉及工作秘密和商业秘密的载体都必须进行有效控制，实行专人管理；不得进行非授权操作，不得复制和泄露任何敏感信息。未经甲方书面许可，不得向第三方泄露。</w:t>
      </w:r>
    </w:p>
    <w:p w14:paraId="16013446">
      <w:pPr>
        <w:spacing w:line="480" w:lineRule="exact"/>
        <w:ind w:firstLine="480" w:firstLineChars="200"/>
        <w:rPr>
          <w:rFonts w:ascii="宋体" w:hAnsi="宋体" w:cs="宋体"/>
          <w:sz w:val="24"/>
        </w:rPr>
      </w:pPr>
      <w:r>
        <w:rPr>
          <w:rFonts w:hint="eastAsia" w:ascii="宋体" w:hAnsi="宋体" w:cs="宋体"/>
          <w:sz w:val="24"/>
        </w:rPr>
        <w:t>（三）对于涉及甲方秘密的各种形式的交流，双方均应注意保密。乙方应接受甲方的保密管理。</w:t>
      </w:r>
    </w:p>
    <w:p w14:paraId="2DC2A29C">
      <w:pPr>
        <w:spacing w:line="480" w:lineRule="exact"/>
        <w:ind w:firstLine="480" w:firstLineChars="200"/>
        <w:rPr>
          <w:rFonts w:ascii="宋体" w:hAnsi="宋体" w:cs="宋体"/>
          <w:sz w:val="24"/>
        </w:rPr>
      </w:pPr>
      <w:r>
        <w:rPr>
          <w:rFonts w:hint="eastAsia" w:ascii="宋体" w:hAnsi="宋体" w:cs="宋体"/>
          <w:sz w:val="24"/>
        </w:rPr>
        <w:t>（四）乙方应甄选政治可靠、思想进步、作风正派、技术合格的人员承担甲方项目的建设、维护工作，并保持这些人员的相对稳定，人员名单见本协议附件。如果需要变更项目参加人员，需经甲方的书面同意。</w:t>
      </w:r>
    </w:p>
    <w:p w14:paraId="76282D9F">
      <w:pPr>
        <w:spacing w:line="480" w:lineRule="exact"/>
        <w:ind w:firstLine="480" w:firstLineChars="200"/>
        <w:rPr>
          <w:rFonts w:ascii="宋体" w:hAnsi="宋体" w:cs="宋体"/>
          <w:sz w:val="24"/>
        </w:rPr>
      </w:pPr>
      <w:r>
        <w:rPr>
          <w:rFonts w:hint="eastAsia" w:ascii="宋体" w:hAnsi="宋体" w:cs="宋体"/>
          <w:sz w:val="24"/>
        </w:rPr>
        <w:t>（五）在乙方人员上岗前，乙方应对项目参加人员进行上岗前的安全培训，甲乙方均有责任对项目人员对安全管理要求的执行情况进行定期或不定期的检查。</w:t>
      </w:r>
    </w:p>
    <w:p w14:paraId="2D279078">
      <w:pPr>
        <w:spacing w:line="480" w:lineRule="exact"/>
        <w:ind w:firstLine="480" w:firstLineChars="200"/>
        <w:rPr>
          <w:rFonts w:ascii="宋体" w:hAnsi="宋体" w:cs="宋体"/>
          <w:sz w:val="24"/>
        </w:rPr>
      </w:pPr>
      <w:r>
        <w:rPr>
          <w:rFonts w:hint="eastAsia" w:ascii="宋体" w:hAnsi="宋体" w:cs="宋体"/>
          <w:sz w:val="24"/>
        </w:rPr>
        <w:t>（六）乙方应确保涉及甲方秘密的文件、资料不因乙方员工离岗、离职而造成泄露。</w:t>
      </w:r>
    </w:p>
    <w:p w14:paraId="103D51D1">
      <w:pPr>
        <w:spacing w:line="480" w:lineRule="exact"/>
        <w:ind w:firstLine="480" w:firstLineChars="200"/>
        <w:rPr>
          <w:rFonts w:ascii="宋体" w:hAnsi="宋体" w:cs="宋体"/>
          <w:sz w:val="24"/>
        </w:rPr>
      </w:pPr>
      <w:r>
        <w:rPr>
          <w:rFonts w:hint="eastAsia" w:ascii="宋体" w:hAnsi="宋体" w:cs="宋体"/>
          <w:sz w:val="24"/>
        </w:rPr>
        <w:t>（七）乙方在完成项目建设并通过验收后，须将甲方的全部项目文件、资料退还甲方，并履行相关手续。</w:t>
      </w:r>
    </w:p>
    <w:p w14:paraId="2F6ECA97">
      <w:pPr>
        <w:spacing w:line="480" w:lineRule="exact"/>
        <w:rPr>
          <w:rFonts w:ascii="宋体" w:hAnsi="宋体"/>
          <w:b/>
          <w:sz w:val="24"/>
        </w:rPr>
      </w:pPr>
      <w:r>
        <w:rPr>
          <w:rFonts w:hint="eastAsia" w:ascii="宋体" w:hAnsi="宋体"/>
          <w:b/>
          <w:sz w:val="24"/>
        </w:rPr>
        <w:t>十、其他事项</w:t>
      </w:r>
    </w:p>
    <w:p w14:paraId="3C4EED74">
      <w:pPr>
        <w:spacing w:line="480" w:lineRule="exact"/>
        <w:ind w:firstLine="480" w:firstLineChars="200"/>
        <w:jc w:val="left"/>
        <w:rPr>
          <w:rFonts w:ascii="宋体" w:hAnsi="宋体"/>
          <w:sz w:val="24"/>
        </w:rPr>
      </w:pPr>
      <w:r>
        <w:rPr>
          <w:rFonts w:hint="eastAsia" w:ascii="宋体" w:hAnsi="宋体"/>
          <w:sz w:val="24"/>
        </w:rPr>
        <w:t>（一）采购人在合同的履行期间以及履行期后，可以随时检查项目的执行情况，对采购标准、采购内容进行调查核实，并对发现的问题进行处理。</w:t>
      </w:r>
    </w:p>
    <w:p w14:paraId="1B7A1CE2">
      <w:pPr>
        <w:spacing w:line="480" w:lineRule="exact"/>
        <w:ind w:firstLine="480" w:firstLineChars="200"/>
        <w:jc w:val="left"/>
        <w:rPr>
          <w:rFonts w:ascii="宋体" w:hAnsi="宋体"/>
          <w:sz w:val="24"/>
        </w:rPr>
      </w:pPr>
      <w:r>
        <w:rPr>
          <w:rFonts w:hint="eastAsia" w:ascii="宋体" w:hAnsi="宋体"/>
          <w:sz w:val="24"/>
        </w:rPr>
        <w:t>（二）本合同一式六份，甲方执三份，乙方执二份，采购代理机构执一份，甲乙双方签字盖章后生效。</w:t>
      </w:r>
    </w:p>
    <w:p w14:paraId="35479D03">
      <w:pPr>
        <w:spacing w:line="480" w:lineRule="exact"/>
        <w:ind w:firstLine="480" w:firstLineChars="200"/>
        <w:jc w:val="left"/>
        <w:rPr>
          <w:rFonts w:ascii="宋体" w:hAnsi="宋体"/>
          <w:sz w:val="24"/>
        </w:rPr>
      </w:pPr>
      <w:r>
        <w:rPr>
          <w:rFonts w:hint="eastAsia" w:ascii="宋体" w:hAnsi="宋体"/>
          <w:sz w:val="24"/>
        </w:rPr>
        <w:t>（三）招标</w:t>
      </w:r>
      <w:r>
        <w:rPr>
          <w:rFonts w:hint="eastAsia" w:ascii="宋体" w:hAnsi="宋体"/>
          <w:bCs/>
          <w:sz w:val="24"/>
        </w:rPr>
        <w:t>文件、投标文件也是合同的组成部分，合同中未约定的以招标文件、投标文件为准。</w:t>
      </w:r>
    </w:p>
    <w:p w14:paraId="24201442">
      <w:pPr>
        <w:spacing w:line="480" w:lineRule="exact"/>
        <w:ind w:firstLine="600" w:firstLineChars="250"/>
        <w:jc w:val="left"/>
        <w:rPr>
          <w:rFonts w:ascii="宋体" w:hAnsi="宋体"/>
          <w:sz w:val="24"/>
        </w:rPr>
      </w:pPr>
      <w:r>
        <w:rPr>
          <w:rFonts w:hint="eastAsia" w:ascii="宋体" w:hAnsi="宋体"/>
          <w:sz w:val="24"/>
        </w:rPr>
        <w:t xml:space="preserve">  </w:t>
      </w:r>
    </w:p>
    <w:p w14:paraId="636FB607">
      <w:pPr>
        <w:spacing w:line="480" w:lineRule="exact"/>
        <w:jc w:val="left"/>
        <w:rPr>
          <w:rFonts w:ascii="宋体" w:hAnsi="宋体"/>
          <w:sz w:val="24"/>
        </w:rPr>
      </w:pPr>
    </w:p>
    <w:p w14:paraId="1C3F6474">
      <w:pPr>
        <w:spacing w:line="480" w:lineRule="exact"/>
        <w:jc w:val="left"/>
        <w:rPr>
          <w:rFonts w:ascii="宋体" w:hAnsi="宋体"/>
          <w:sz w:val="24"/>
        </w:rPr>
      </w:pPr>
      <w:r>
        <w:rPr>
          <w:rFonts w:hint="eastAsia" w:ascii="宋体" w:hAnsi="宋体"/>
          <w:sz w:val="24"/>
        </w:rPr>
        <w:t>甲    方                           乙    方</w:t>
      </w:r>
    </w:p>
    <w:p w14:paraId="74199C16">
      <w:pPr>
        <w:spacing w:line="480" w:lineRule="exact"/>
        <w:jc w:val="left"/>
        <w:rPr>
          <w:rFonts w:ascii="宋体" w:hAnsi="宋体"/>
          <w:sz w:val="24"/>
        </w:rPr>
      </w:pPr>
      <w:r>
        <w:rPr>
          <w:rFonts w:hint="eastAsia" w:ascii="宋体" w:hAnsi="宋体"/>
          <w:sz w:val="24"/>
        </w:rPr>
        <w:t xml:space="preserve">单位名称：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单位名称： </w:t>
      </w:r>
    </w:p>
    <w:p w14:paraId="72883090">
      <w:pPr>
        <w:spacing w:line="480" w:lineRule="exact"/>
        <w:jc w:val="left"/>
        <w:rPr>
          <w:rFonts w:ascii="宋体" w:hAnsi="宋体"/>
          <w:sz w:val="24"/>
        </w:rPr>
      </w:pPr>
      <w:r>
        <w:rPr>
          <w:rFonts w:hint="eastAsia" w:ascii="宋体" w:hAnsi="宋体"/>
          <w:sz w:val="24"/>
        </w:rPr>
        <w:t xml:space="preserve">地   址：  </w:t>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地    址：</w:t>
      </w:r>
    </w:p>
    <w:p w14:paraId="7C1B166E">
      <w:pPr>
        <w:spacing w:line="480" w:lineRule="exact"/>
        <w:jc w:val="left"/>
        <w:rPr>
          <w:rFonts w:ascii="宋体" w:hAnsi="宋体"/>
          <w:sz w:val="24"/>
        </w:rPr>
      </w:pPr>
      <w:r>
        <w:rPr>
          <w:rFonts w:hint="eastAsia" w:ascii="宋体" w:hAnsi="宋体"/>
          <w:sz w:val="24"/>
        </w:rPr>
        <w:t xml:space="preserve">法人代表：                         法人代表： </w:t>
      </w:r>
    </w:p>
    <w:p w14:paraId="4180DA9C">
      <w:pPr>
        <w:spacing w:line="480" w:lineRule="exact"/>
        <w:jc w:val="left"/>
        <w:rPr>
          <w:rFonts w:ascii="宋体" w:hAnsi="宋体"/>
          <w:sz w:val="24"/>
        </w:rPr>
      </w:pPr>
      <w:r>
        <w:rPr>
          <w:rFonts w:hint="eastAsia" w:ascii="宋体" w:hAnsi="宋体"/>
          <w:sz w:val="24"/>
        </w:rPr>
        <w:t xml:space="preserve">联系电话：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联系电话： </w:t>
      </w:r>
    </w:p>
    <w:p w14:paraId="18336D10">
      <w:pPr>
        <w:spacing w:line="480" w:lineRule="exact"/>
        <w:jc w:val="left"/>
        <w:rPr>
          <w:rFonts w:ascii="宋体" w:hAnsi="宋体"/>
          <w:sz w:val="24"/>
        </w:rPr>
      </w:pPr>
      <w:r>
        <w:rPr>
          <w:rFonts w:hint="eastAsia" w:ascii="宋体" w:hAnsi="宋体"/>
          <w:sz w:val="24"/>
        </w:rPr>
        <w:t xml:space="preserve">开 户 行：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开 户 行： </w:t>
      </w:r>
    </w:p>
    <w:p w14:paraId="72EA356A">
      <w:pPr>
        <w:spacing w:line="480" w:lineRule="exact"/>
        <w:jc w:val="left"/>
        <w:rPr>
          <w:rFonts w:ascii="宋体" w:hAnsi="宋体"/>
          <w:sz w:val="24"/>
        </w:rPr>
      </w:pPr>
      <w:r>
        <w:rPr>
          <w:rFonts w:hint="eastAsia" w:ascii="宋体" w:hAnsi="宋体"/>
          <w:sz w:val="24"/>
        </w:rPr>
        <w:t xml:space="preserve">账    号：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账    号：</w:t>
      </w:r>
    </w:p>
    <w:p w14:paraId="70F77C46">
      <w:pPr>
        <w:spacing w:line="480" w:lineRule="exact"/>
        <w:jc w:val="left"/>
        <w:rPr>
          <w:rFonts w:ascii="宋体" w:hAnsi="宋体"/>
          <w:sz w:val="24"/>
        </w:rPr>
      </w:pPr>
    </w:p>
    <w:p w14:paraId="0F237DE8"/>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Malgun Gothic Semilight"/>
    <w:panose1 w:val="00000000000000000000"/>
    <w:charset w:val="86"/>
    <w:family w:val="auto"/>
    <w:pitch w:val="default"/>
    <w:sig w:usb0="00000000" w:usb1="00000000" w:usb2="00000012" w:usb3="00000000" w:csb0="00040001" w:csb1="00000000"/>
  </w:font>
  <w:font w:name="微软雅黑">
    <w:panose1 w:val="020B0503020204020204"/>
    <w:charset w:val="86"/>
    <w:family w:val="swiss"/>
    <w:pitch w:val="default"/>
    <w:sig w:usb0="80000287" w:usb1="2ACF3C50" w:usb2="00000016" w:usb3="00000000" w:csb0="0004001F" w:csb1="00000000"/>
  </w:font>
  <w:font w:name="Helvetica">
    <w:altName w:val="Arial"/>
    <w:panose1 w:val="020B0604020202020204"/>
    <w:charset w:val="00"/>
    <w:family w:val="swiss"/>
    <w:pitch w:val="default"/>
    <w:sig w:usb0="00000000" w:usb1="00000000" w:usb2="00000000" w:usb3="00000000" w:csb0="00000001" w:csb1="00000000"/>
  </w:font>
  <w:font w:name="Malgun Gothic Semilight">
    <w:panose1 w:val="020B0502040204020203"/>
    <w:charset w:val="86"/>
    <w:family w:val="auto"/>
    <w:pitch w:val="default"/>
    <w:sig w:usb0="900002AF" w:usb1="01D77CFB" w:usb2="00000012" w:usb3="00000000" w:csb0="203E01BD" w:csb1="D7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A046B"/>
    <w:multiLevelType w:val="singleLevel"/>
    <w:tmpl w:val="1ECA046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164010AD"/>
    <w:rsid w:val="01306965"/>
    <w:rsid w:val="0D523741"/>
    <w:rsid w:val="10D66437"/>
    <w:rsid w:val="112D098E"/>
    <w:rsid w:val="15667941"/>
    <w:rsid w:val="164010AD"/>
    <w:rsid w:val="171B54BE"/>
    <w:rsid w:val="1E0A6237"/>
    <w:rsid w:val="27C15667"/>
    <w:rsid w:val="31E97269"/>
    <w:rsid w:val="35697EBA"/>
    <w:rsid w:val="3D54642C"/>
    <w:rsid w:val="4D9A686C"/>
    <w:rsid w:val="53A96AB8"/>
    <w:rsid w:val="56AC3ADE"/>
    <w:rsid w:val="639F01D6"/>
    <w:rsid w:val="653E102A"/>
    <w:rsid w:val="6D3C31F9"/>
    <w:rsid w:val="6F526BC2"/>
    <w:rsid w:val="749618C5"/>
    <w:rsid w:val="75983326"/>
    <w:rsid w:val="774A385E"/>
    <w:rsid w:val="784571E7"/>
    <w:rsid w:val="7A9F4C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pPr>
    <w:rPr>
      <w:rFonts w:asciiTheme="minorEastAsia" w:hAnsiTheme="minorEastAsia" w:eastAsiaTheme="minorEastAsia" w:cstheme="minorBidi"/>
      <w:kern w:val="2"/>
      <w:sz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4">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lock Text"/>
    <w:basedOn w:val="1"/>
    <w:unhideWhenUsed/>
    <w:qFormat/>
    <w:uiPriority w:val="99"/>
    <w:pPr>
      <w:spacing w:after="120"/>
      <w:ind w:left="1440" w:leftChars="700" w:right="1440" w:rightChars="700"/>
    </w:pPr>
  </w:style>
  <w:style w:type="paragraph" w:styleId="5">
    <w:name w:val="Body Text"/>
    <w:basedOn w:val="1"/>
    <w:next w:val="1"/>
    <w:qFormat/>
    <w:uiPriority w:val="0"/>
    <w:rPr>
      <w:rFonts w:ascii="宋体" w:hAnsi="宋体" w:eastAsia="宋体" w:cs="宋体"/>
      <w:sz w:val="24"/>
      <w:lang w:val="zh-CN" w:bidi="zh-CN"/>
    </w:rPr>
  </w:style>
  <w:style w:type="paragraph" w:styleId="6">
    <w:name w:val="Plain Text"/>
    <w:basedOn w:val="1"/>
    <w:qFormat/>
    <w:uiPriority w:val="99"/>
    <w:pPr>
      <w:spacing w:line="324" w:lineRule="auto"/>
    </w:pPr>
    <w:rPr>
      <w:rFonts w:ascii="宋体" w:hAnsi="Courier New"/>
    </w:rPr>
  </w:style>
  <w:style w:type="paragraph" w:styleId="7">
    <w:name w:val="footer"/>
    <w:basedOn w:val="1"/>
    <w:next w:val="5"/>
    <w:qFormat/>
    <w:uiPriority w:val="99"/>
    <w:pPr>
      <w:tabs>
        <w:tab w:val="center" w:pos="4153"/>
        <w:tab w:val="right" w:pos="8306"/>
      </w:tabs>
      <w:adjustRightInd w:val="0"/>
      <w:spacing w:line="240" w:lineRule="atLeast"/>
      <w:jc w:val="left"/>
      <w:textAlignment w:val="baseline"/>
    </w:pPr>
    <w:rPr>
      <w:kern w:val="0"/>
      <w:sz w:val="18"/>
    </w:rPr>
  </w:style>
  <w:style w:type="character" w:customStyle="1" w:styleId="10">
    <w:name w:val="NormalCharacter"/>
    <w:link w:val="11"/>
    <w:autoRedefine/>
    <w:qFormat/>
    <w:uiPriority w:val="0"/>
    <w:rPr>
      <w:rFonts w:ascii="宋体" w:hAnsi="宋体"/>
    </w:rPr>
  </w:style>
  <w:style w:type="paragraph" w:customStyle="1" w:styleId="11">
    <w:name w:val="UserStyle_64"/>
    <w:basedOn w:val="1"/>
    <w:link w:val="10"/>
    <w:autoRedefine/>
    <w:qFormat/>
    <w:uiPriority w:val="0"/>
    <w:pPr>
      <w:spacing w:line="240" w:lineRule="auto"/>
      <w:textAlignment w:val="baseline"/>
    </w:pPr>
    <w:rPr>
      <w:rFonts w:ascii="宋体" w:hAnsi="宋体"/>
    </w:rPr>
  </w:style>
  <w:style w:type="paragraph" w:customStyle="1" w:styleId="12">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2051</Words>
  <Characters>2082</Characters>
  <Lines>0</Lines>
  <Paragraphs>0</Paragraphs>
  <TotalTime>0</TotalTime>
  <ScaleCrop>false</ScaleCrop>
  <LinksUpToDate>false</LinksUpToDate>
  <CharactersWithSpaces>2372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2024-05-09T10:21:00Z</dcterms:created>
  <dc:creator>々尚haha</dc:creator>
  <cp:lastModifiedBy>々尚haha</cp:lastModifiedBy>
  <dcterms:modified xsi:type="dcterms:W3CDTF">2024-09-06T08:31:03Z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A97DD11FAB6543E2B0CC4804C9365F4A_11</vt:lpwstr>
  </property>
</Properties>
</file>