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版本号：CT-ZB00-019-202520250113001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校内其它建筑消防勘察设计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CT-ZB00-019-2025</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校内其它建筑消防勘察设计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CT-ZB00-019-2025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校内其它建筑消防勘察设计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陕西科技大学校内其它建筑消防勘察设计，具体内容以招标文件及答疑文件等文件所涵盖的全部内容为准。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1、法定代表人身份证明或授权委托书：提供法定代表人授权书（附法定代表人、被授权人身份证复印件），法定代表人直接参加投标，须提供法定代表人身份证明；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中国：投标人不得为“信用中国”网站（www.creditchina.gov.cn）（中国执行信息公开网）中被列入失信被执行人、重大税收违法失信主体和中国政府采购网（www.ccgp.gov.cn）政府采购严重违法失信行为记录名单的单位；</w:t>
      </w:r>
    </w:p>
    <w:p>
      <w:pPr>
        <w:pStyle w:val="null3"/>
      </w:pPr>
      <w:r>
        <w:rPr>
          <w:rFonts w:ascii="仿宋_GB2312" w:hAnsi="仿宋_GB2312" w:cs="仿宋_GB2312" w:eastAsia="仿宋_GB2312"/>
        </w:rPr>
        <w:t>3、企业资质：供应商具备工程设计综合资质甲级及以上或建筑行业工程设计甲级及以上资质或建筑行业（建筑工程）设计专业甲级及以上资质或消防设施工程设计专项甲级及以上资质；</w:t>
      </w:r>
    </w:p>
    <w:p>
      <w:pPr>
        <w:pStyle w:val="null3"/>
      </w:pPr>
      <w:r>
        <w:rPr>
          <w:rFonts w:ascii="仿宋_GB2312" w:hAnsi="仿宋_GB2312" w:cs="仿宋_GB2312" w:eastAsia="仿宋_GB2312"/>
        </w:rPr>
        <w:t>4、设计负责人：拟派设计负责人须具备一级注册建筑师或注册公用设备工程师或注册电气工程师或注册消防工程师二级（含二级）及以上证书且在本单位注册。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的50%执行。中标单位在领取中标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陕西科技大学陕西科技大学校内其它建筑消防勘察设计，具体内容以招标文件及答疑文件等文件所涵盖的全部内容为准。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陕西科技大学校内其它建筑消防勘察设计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标的名称：陕西科技大学校内其它建筑消防勘察设计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pPr>
            <w:r>
              <w:rPr>
                <w:rFonts w:ascii="仿宋_GB2312" w:hAnsi="仿宋_GB2312" w:cs="仿宋_GB2312" w:eastAsia="仿宋_GB2312"/>
              </w:rPr>
              <w:t>1</w:t>
            </w:r>
          </w:p>
        </w:tc>
        <w:tc>
          <w:tcPr>
            <w:tcW w:type="dxa" w:w="2769"/>
          </w:tcPr>
          <w:p>
            <w:pPr>
              <w:pStyle w:val="null3"/>
              <w:spacing w:before="150"/>
              <w:jc w:val="both"/>
            </w:pPr>
            <w:r>
              <w:rPr>
                <w:rFonts w:ascii="仿宋_GB2312" w:hAnsi="仿宋_GB2312" w:cs="仿宋_GB2312" w:eastAsia="仿宋_GB2312"/>
                <w:sz w:val="20"/>
                <w:b/>
              </w:rPr>
              <w:t>一、项目概况及总体要求</w:t>
            </w:r>
          </w:p>
          <w:p>
            <w:pPr>
              <w:pStyle w:val="null3"/>
              <w:ind w:firstLine="455"/>
              <w:jc w:val="both"/>
            </w:pPr>
            <w:r>
              <w:rPr>
                <w:rFonts w:ascii="仿宋_GB2312" w:hAnsi="仿宋_GB2312" w:cs="仿宋_GB2312" w:eastAsia="仿宋_GB2312"/>
                <w:sz w:val="20"/>
              </w:rPr>
              <w:t>1. 设计内容：西安未央校区及咸阳校区在用建筑表1等的消防安全隐患整改项目设计，包含整改方案、改造施工图</w:t>
            </w:r>
            <w:r>
              <w:rPr>
                <w:rFonts w:ascii="仿宋_GB2312" w:hAnsi="仿宋_GB2312" w:cs="仿宋_GB2312" w:eastAsia="仿宋_GB2312"/>
                <w:sz w:val="20"/>
              </w:rPr>
              <w:t>、单体至消防控制室之间的联动设计</w:t>
            </w:r>
            <w:r>
              <w:rPr>
                <w:rFonts w:ascii="仿宋_GB2312" w:hAnsi="仿宋_GB2312" w:cs="仿宋_GB2312" w:eastAsia="仿宋_GB2312"/>
                <w:sz w:val="20"/>
              </w:rPr>
              <w:t>等。</w:t>
            </w:r>
          </w:p>
          <w:p>
            <w:pPr>
              <w:pStyle w:val="null3"/>
              <w:jc w:val="center"/>
            </w:pPr>
            <w:r>
              <w:rPr>
                <w:rFonts w:ascii="仿宋_GB2312" w:hAnsi="仿宋_GB2312" w:cs="仿宋_GB2312" w:eastAsia="仿宋_GB2312"/>
                <w:sz w:val="20"/>
                <w:b/>
              </w:rPr>
              <w:t>表</w:t>
            </w:r>
            <w:r>
              <w:rPr>
                <w:rFonts w:ascii="仿宋_GB2312" w:hAnsi="仿宋_GB2312" w:cs="仿宋_GB2312" w:eastAsia="仿宋_GB2312"/>
                <w:sz w:val="20"/>
                <w:b/>
              </w:rPr>
              <w:t>1 未整治建筑概况</w:t>
            </w:r>
          </w:p>
          <w:tbl>
            <w:tblPr>
              <w:tblInd w:type="dxa" w:w="210"/>
              <w:tblBorders>
                <w:top w:val="none" w:color="000000" w:sz="4"/>
                <w:left w:val="none" w:color="000000" w:sz="4"/>
                <w:bottom w:val="none" w:color="000000" w:sz="4"/>
                <w:right w:val="none" w:color="000000" w:sz="4"/>
                <w:insideH w:val="none"/>
                <w:insideV w:val="none"/>
              </w:tblBorders>
            </w:tblPr>
            <w:tblGrid>
              <w:gridCol w:w="873"/>
              <w:gridCol w:w="617"/>
              <w:gridCol w:w="511"/>
              <w:gridCol w:w="551"/>
            </w:tblGrid>
            <w:tr>
              <w:tc>
                <w:tcPr>
                  <w:tcW w:type="dxa" w:w="8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建筑名称</w:t>
                  </w:r>
                </w:p>
              </w:tc>
              <w:tc>
                <w:tcPr>
                  <w:tcW w:type="dxa" w:w="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地点</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面积（</w:t>
                  </w:r>
                  <w:r>
                    <w:rPr>
                      <w:rFonts w:ascii="仿宋_GB2312" w:hAnsi="仿宋_GB2312" w:cs="仿宋_GB2312" w:eastAsia="仿宋_GB2312"/>
                      <w:sz w:val="20"/>
                    </w:rPr>
                    <w:t>m</w:t>
                  </w:r>
                  <w:r>
                    <w:rPr>
                      <w:rFonts w:ascii="仿宋_GB2312" w:hAnsi="仿宋_GB2312" w:cs="仿宋_GB2312" w:eastAsia="仿宋_GB2312"/>
                      <w:sz w:val="20"/>
                      <w:vertAlign w:val="superscript"/>
                    </w:rPr>
                    <w:t>2</w:t>
                  </w:r>
                  <w:r>
                    <w:rPr>
                      <w:rFonts w:ascii="仿宋_GB2312" w:hAnsi="仿宋_GB2312" w:cs="仿宋_GB2312" w:eastAsia="仿宋_GB2312"/>
                      <w:sz w:val="20"/>
                    </w:rPr>
                    <w:t>)</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建筑性质</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环境学院（原后勤服务楼）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2079.6</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实验实训用房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教学区污水处理站</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459.982</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后勤及附属用房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教学区北大门</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126.79</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后勤及附属用房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物业管理用房（技术转移中心）</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1602.74</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实验实训用房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环境学院钢结构用房</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2044.17</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实验实训用房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学生区南门</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70.6</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后勤及附属用房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家属区南大门</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后勤及附属用房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小北门</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28.96</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后勤及附属用房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快递服务中心</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221.2</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后勤及附属用房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南大门</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164</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后勤及附属用房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研究生综合楼</w:t>
                  </w:r>
                  <w:r>
                    <w:rPr>
                      <w:rFonts w:ascii="仿宋_GB2312" w:hAnsi="仿宋_GB2312" w:cs="仿宋_GB2312" w:eastAsia="仿宋_GB2312"/>
                      <w:sz w:val="20"/>
                    </w:rPr>
                    <w:t>2（前沿院）</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13581.79</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实验实训用房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研究生综合楼</w:t>
                  </w:r>
                  <w:r>
                    <w:rPr>
                      <w:rFonts w:ascii="仿宋_GB2312" w:hAnsi="仿宋_GB2312" w:cs="仿宋_GB2312" w:eastAsia="仿宋_GB2312"/>
                      <w:sz w:val="20"/>
                    </w:rPr>
                    <w:t>1</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1536</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18公寓以外附属商业</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东门</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46.811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后勤及附属用房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西门</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29.042</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后勤及附属用房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V-C-17（综合楼）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5495</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师生活动用房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图书馆</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32765</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图书馆</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田径运动场（标准田径场）</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4516.614</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老年公寓</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5464.47</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后勤及附属用房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地下车库（二期家属楼）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6594.55</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后勤及附属用房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25#（教工住宅）</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28404.75</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教师公寓</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24#（教工住宅）</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52575.54</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教师公寓</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22#（教工住宅）</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36734.26</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教师公寓</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二期教学楼（人文楼）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56121.94</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实验实训用房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实验楼</w:t>
                  </w:r>
                  <w:r>
                    <w:rPr>
                      <w:rFonts w:ascii="仿宋_GB2312" w:hAnsi="仿宋_GB2312" w:cs="仿宋_GB2312" w:eastAsia="仿宋_GB2312"/>
                      <w:sz w:val="20"/>
                    </w:rPr>
                    <w:t>A区</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41869</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实验实训用房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实验楼</w:t>
                  </w:r>
                  <w:r>
                    <w:rPr>
                      <w:rFonts w:ascii="仿宋_GB2312" w:hAnsi="仿宋_GB2312" w:cs="仿宋_GB2312" w:eastAsia="仿宋_GB2312"/>
                      <w:sz w:val="20"/>
                    </w:rPr>
                    <w:t>B区</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60884</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实验实训用房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1#教学楼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83202.832</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国际交流中心</w:t>
                  </w:r>
                  <w:r>
                    <w:rPr>
                      <w:rFonts w:ascii="仿宋_GB2312" w:hAnsi="仿宋_GB2312" w:cs="仿宋_GB2312" w:eastAsia="仿宋_GB2312"/>
                      <w:sz w:val="20"/>
                    </w:rPr>
                    <w:t>B区（理科楼）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60916</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实验实训用房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23#（教工住宅）</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35243.23</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教师公寓</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w:t>
                  </w:r>
                  <w:r>
                    <w:rPr>
                      <w:rFonts w:ascii="仿宋_GB2312" w:hAnsi="仿宋_GB2312" w:cs="仿宋_GB2312" w:eastAsia="仿宋_GB2312"/>
                      <w:sz w:val="20"/>
                    </w:rPr>
                    <w:t>(实验)实训中心</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53392.59</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实验实训用房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21#（教工住宅）</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49488.32</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教师公寓</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科研楼（四号教学楼）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95941.3</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实验实训用房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3#教学楼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1882.159</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培训中心</w:t>
                  </w:r>
                  <w:r>
                    <w:rPr>
                      <w:rFonts w:ascii="仿宋_GB2312" w:hAnsi="仿宋_GB2312" w:cs="仿宋_GB2312" w:eastAsia="仿宋_GB2312"/>
                      <w:sz w:val="20"/>
                    </w:rPr>
                    <w:t>2#综合楼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21106.815</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12公寓以外商业部分</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文体馆（教学区）</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7918</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会堂</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游泳池</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1116.08</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体育用房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2#教学楼（校史馆、博物馆）</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5008.321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教室</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活动中心（生活区体育馆）</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10316.3</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师生活动用房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逸夫楼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26775</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行政及实验实训用房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中心配电室</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后勤及附属用房</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国际公寓及青教公寓</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西安未央校区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公寓以外的商业部分</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家属楼</w:t>
                  </w:r>
                  <w:r>
                    <w:rPr>
                      <w:rFonts w:ascii="仿宋_GB2312" w:hAnsi="仿宋_GB2312" w:cs="仿宋_GB2312" w:eastAsia="仿宋_GB2312"/>
                      <w:sz w:val="20"/>
                    </w:rPr>
                    <w:t>4号楼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咸阳校区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7522</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家属楼</w:t>
                  </w:r>
                  <w:r>
                    <w:rPr>
                      <w:rFonts w:ascii="仿宋_GB2312" w:hAnsi="仿宋_GB2312" w:cs="仿宋_GB2312" w:eastAsia="仿宋_GB2312"/>
                      <w:sz w:val="20"/>
                    </w:rPr>
                    <w:t>11号楼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咸阳校区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4060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家属楼</w:t>
                  </w:r>
                  <w:r>
                    <w:rPr>
                      <w:rFonts w:ascii="仿宋_GB2312" w:hAnsi="仿宋_GB2312" w:cs="仿宋_GB2312" w:eastAsia="仿宋_GB2312"/>
                      <w:sz w:val="20"/>
                    </w:rPr>
                    <w:t>12号楼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咸阳校区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4060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家属楼</w:t>
                  </w:r>
                  <w:r>
                    <w:rPr>
                      <w:rFonts w:ascii="仿宋_GB2312" w:hAnsi="仿宋_GB2312" w:cs="仿宋_GB2312" w:eastAsia="仿宋_GB2312"/>
                      <w:sz w:val="20"/>
                    </w:rPr>
                    <w:t>25号楼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咸阳校区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4247</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家属楼</w:t>
                  </w:r>
                  <w:r>
                    <w:rPr>
                      <w:rFonts w:ascii="仿宋_GB2312" w:hAnsi="仿宋_GB2312" w:cs="仿宋_GB2312" w:eastAsia="仿宋_GB2312"/>
                      <w:sz w:val="20"/>
                    </w:rPr>
                    <w:t>26号楼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咸阳校区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5824</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家属楼</w:t>
                  </w:r>
                  <w:r>
                    <w:rPr>
                      <w:rFonts w:ascii="仿宋_GB2312" w:hAnsi="仿宋_GB2312" w:cs="仿宋_GB2312" w:eastAsia="仿宋_GB2312"/>
                      <w:sz w:val="20"/>
                    </w:rPr>
                    <w:t>27号楼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咸阳校区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6453.79</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住宅</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沁园餐厅</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咸阳校区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2155</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学生四公寓（</w:t>
                  </w:r>
                  <w:r>
                    <w:rPr>
                      <w:rFonts w:ascii="仿宋_GB2312" w:hAnsi="仿宋_GB2312" w:cs="仿宋_GB2312" w:eastAsia="仿宋_GB2312"/>
                      <w:sz w:val="20"/>
                    </w:rPr>
                    <w:t>B、D区）</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咸阳校区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6400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学生五公寓</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咸阳校区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4300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宾馆</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学生六公寓</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咸阳校区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4910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宿舍</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科技楼</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咸阳校区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9977</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管委会办公室</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咸阳校区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1005</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办公</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社区服务中心</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咸阳校区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645</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社区服务中心</w:t>
                  </w:r>
                </w:p>
              </w:tc>
            </w:tr>
          </w:tbl>
          <w:p>
            <w:pPr>
              <w:pStyle w:val="null3"/>
              <w:ind w:firstLine="400"/>
              <w:jc w:val="both"/>
            </w:pPr>
            <w:r>
              <w:rPr>
                <w:rFonts w:ascii="仿宋_GB2312" w:hAnsi="仿宋_GB2312" w:cs="仿宋_GB2312" w:eastAsia="仿宋_GB2312"/>
                <w:sz w:val="20"/>
              </w:rPr>
              <w:t>2. 设计内容根据招标文件及相关规范要求应齐全完整，主要设备、材料的规格型号和参数在图纸上标注详尽，满足招标和施工需求。</w:t>
            </w:r>
          </w:p>
          <w:p>
            <w:pPr>
              <w:pStyle w:val="null3"/>
              <w:ind w:firstLine="400"/>
              <w:jc w:val="both"/>
            </w:pPr>
            <w:r>
              <w:rPr>
                <w:rFonts w:ascii="仿宋_GB2312" w:hAnsi="仿宋_GB2312" w:cs="仿宋_GB2312" w:eastAsia="仿宋_GB2312"/>
                <w:sz w:val="20"/>
              </w:rPr>
              <w:t>3. 改造设计应考虑与整个校区现有消防系统的联网和兼容性。</w:t>
            </w:r>
          </w:p>
          <w:p>
            <w:pPr>
              <w:pStyle w:val="null3"/>
              <w:ind w:firstLine="400"/>
              <w:jc w:val="both"/>
            </w:pPr>
            <w:r>
              <w:rPr>
                <w:rFonts w:ascii="仿宋_GB2312" w:hAnsi="仿宋_GB2312" w:cs="仿宋_GB2312" w:eastAsia="仿宋_GB2312"/>
                <w:sz w:val="20"/>
              </w:rPr>
              <w:t>4. 咸阳校区应增加消防水池，消防泵房，室外消防管网，消控室，满</w:t>
            </w:r>
          </w:p>
          <w:p>
            <w:pPr>
              <w:pStyle w:val="null3"/>
              <w:jc w:val="both"/>
            </w:pPr>
            <w:r>
              <w:rPr>
                <w:rFonts w:ascii="仿宋_GB2312" w:hAnsi="仿宋_GB2312" w:cs="仿宋_GB2312" w:eastAsia="仿宋_GB2312"/>
                <w:sz w:val="20"/>
              </w:rPr>
              <w:t>足咸阳校区各建筑消防需要。</w:t>
            </w:r>
          </w:p>
          <w:p>
            <w:pPr>
              <w:pStyle w:val="null3"/>
              <w:ind w:firstLine="455"/>
              <w:jc w:val="both"/>
            </w:pPr>
            <w:r>
              <w:rPr>
                <w:rFonts w:ascii="仿宋_GB2312" w:hAnsi="仿宋_GB2312" w:cs="仿宋_GB2312" w:eastAsia="仿宋_GB2312"/>
                <w:sz w:val="20"/>
              </w:rPr>
              <w:t>5. 因各单体建设时间较长，后期的装饰装修对原设计存在一定改动，本次改造设计前，各专业设计人员应充分踏勘现场，熟悉房屋使用现状，并根据现状实测后进行改造施工图设计，确保改造施工图纸与实际相符，且满足相关规范要求。</w:t>
            </w:r>
          </w:p>
          <w:p>
            <w:pPr>
              <w:pStyle w:val="null3"/>
              <w:ind w:firstLine="455"/>
              <w:jc w:val="both"/>
            </w:pPr>
            <w:r>
              <w:rPr>
                <w:rFonts w:ascii="仿宋_GB2312" w:hAnsi="仿宋_GB2312" w:cs="仿宋_GB2312" w:eastAsia="仿宋_GB2312"/>
                <w:sz w:val="20"/>
              </w:rPr>
              <w:t>6. 中标单位应协助建设单位做好与属地住建部门和相关消防专家的沟通协调工作，确保整改过程中及整改完成后符合要求，最终取得住建部门出具的验收合格证书（消防评估论证意见函）。</w:t>
            </w:r>
          </w:p>
          <w:p>
            <w:pPr>
              <w:pStyle w:val="null3"/>
              <w:jc w:val="both"/>
            </w:pPr>
            <w:r>
              <w:rPr>
                <w:rFonts w:ascii="仿宋_GB2312" w:hAnsi="仿宋_GB2312" w:cs="仿宋_GB2312" w:eastAsia="仿宋_GB2312"/>
                <w:sz w:val="20"/>
                <w:b/>
              </w:rPr>
              <w:t>二、设计参考资料及依据</w:t>
            </w:r>
          </w:p>
          <w:p>
            <w:pPr>
              <w:pStyle w:val="null3"/>
              <w:ind w:firstLine="455"/>
              <w:jc w:val="both"/>
            </w:pPr>
            <w:r>
              <w:rPr>
                <w:rFonts w:ascii="仿宋_GB2312" w:hAnsi="仿宋_GB2312" w:cs="仿宋_GB2312" w:eastAsia="仿宋_GB2312"/>
                <w:sz w:val="20"/>
              </w:rPr>
              <w:t>1. 原施工图纸及相关规范标准。</w:t>
            </w:r>
          </w:p>
          <w:p>
            <w:pPr>
              <w:pStyle w:val="null3"/>
              <w:ind w:firstLine="455"/>
              <w:jc w:val="both"/>
            </w:pPr>
            <w:r>
              <w:rPr>
                <w:rFonts w:ascii="仿宋_GB2312" w:hAnsi="仿宋_GB2312" w:cs="仿宋_GB2312" w:eastAsia="仿宋_GB2312"/>
                <w:sz w:val="20"/>
              </w:rPr>
              <w:t>2. 房屋使用现状。</w:t>
            </w:r>
          </w:p>
          <w:p>
            <w:pPr>
              <w:pStyle w:val="null3"/>
              <w:numPr>
                <w:ilvl w:val="0"/>
                <w:numId w:val="1"/>
              </w:numPr>
              <w:jc w:val="both"/>
            </w:pPr>
            <w:r>
              <w:rPr>
                <w:rFonts w:ascii="仿宋_GB2312" w:hAnsi="仿宋_GB2312" w:cs="仿宋_GB2312" w:eastAsia="仿宋_GB2312"/>
                <w:sz w:val="20"/>
              </w:rPr>
              <w:t>西安市未央区住房和城市建设局出具的《关于陕西科技大学校内建筑消防安全隐患排查意见函》中与表</w:t>
            </w:r>
            <w:r>
              <w:rPr>
                <w:rFonts w:ascii="仿宋_GB2312" w:hAnsi="仿宋_GB2312" w:cs="仿宋_GB2312" w:eastAsia="仿宋_GB2312"/>
                <w:sz w:val="20"/>
              </w:rPr>
              <w:t>1各单体相关的问题清单</w:t>
            </w:r>
            <w:r>
              <w:rPr>
                <w:rFonts w:ascii="仿宋_GB2312" w:hAnsi="仿宋_GB2312" w:cs="仿宋_GB2312" w:eastAsia="仿宋_GB2312"/>
                <w:sz w:val="20"/>
              </w:rPr>
              <w:t>。</w:t>
            </w:r>
            <w:r>
              <w:rPr>
                <w:rFonts w:ascii="仿宋_GB2312" w:hAnsi="仿宋_GB2312" w:cs="仿宋_GB2312" w:eastAsia="仿宋_GB2312"/>
                <w:sz w:val="20"/>
              </w:rPr>
              <w:t xml:space="preserve">  </w:t>
            </w:r>
          </w:p>
          <w:p>
            <w:pPr>
              <w:pStyle w:val="null3"/>
              <w:numPr>
                <w:ilvl w:val="0"/>
                <w:numId w:val="1"/>
              </w:numPr>
              <w:jc w:val="both"/>
            </w:pPr>
            <w:r>
              <w:rPr>
                <w:rFonts w:ascii="仿宋_GB2312" w:hAnsi="仿宋_GB2312" w:cs="仿宋_GB2312" w:eastAsia="仿宋_GB2312"/>
                <w:sz w:val="20"/>
              </w:rPr>
              <w:t>《陕科大消防设施故障排查清单</w:t>
            </w:r>
            <w:r>
              <w:rPr>
                <w:rFonts w:ascii="仿宋_GB2312" w:hAnsi="仿宋_GB2312" w:cs="仿宋_GB2312" w:eastAsia="仿宋_GB2312"/>
                <w:sz w:val="20"/>
              </w:rPr>
              <w:t>(自查)》中与表1各单体等工程相关的问题清单。</w:t>
            </w:r>
          </w:p>
          <w:p>
            <w:pPr>
              <w:pStyle w:val="null3"/>
              <w:numPr>
                <w:ilvl w:val="0"/>
                <w:numId w:val="1"/>
              </w:numPr>
              <w:jc w:val="both"/>
            </w:pPr>
            <w:r>
              <w:rPr>
                <w:rFonts w:ascii="仿宋_GB2312" w:hAnsi="仿宋_GB2312" w:cs="仿宋_GB2312" w:eastAsia="仿宋_GB2312"/>
                <w:sz w:val="20"/>
              </w:rPr>
              <w:t>相关政府职能部门现场检查或验收过程中提出的问题。</w:t>
            </w:r>
          </w:p>
          <w:p>
            <w:pPr>
              <w:pStyle w:val="null3"/>
              <w:numPr>
                <w:ilvl w:val="0"/>
                <w:numId w:val="1"/>
              </w:numPr>
              <w:jc w:val="both"/>
            </w:pPr>
            <w:r>
              <w:rPr>
                <w:rFonts w:ascii="仿宋_GB2312" w:hAnsi="仿宋_GB2312" w:cs="仿宋_GB2312" w:eastAsia="仿宋_GB2312"/>
                <w:sz w:val="20"/>
              </w:rPr>
              <w:t>《咸阳市住房和城乡建设局建设工程消防技术指导服务函》中与表</w:t>
            </w:r>
            <w:r>
              <w:rPr>
                <w:rFonts w:ascii="仿宋_GB2312" w:hAnsi="仿宋_GB2312" w:cs="仿宋_GB2312" w:eastAsia="仿宋_GB2312"/>
                <w:sz w:val="20"/>
              </w:rPr>
              <w:t>1各单体相关的问题清单。</w:t>
            </w:r>
          </w:p>
          <w:p>
            <w:pPr>
              <w:pStyle w:val="null3"/>
              <w:jc w:val="both"/>
            </w:pPr>
            <w:r>
              <w:rPr>
                <w:rFonts w:ascii="仿宋_GB2312" w:hAnsi="仿宋_GB2312" w:cs="仿宋_GB2312" w:eastAsia="仿宋_GB2312"/>
                <w:sz w:val="20"/>
                <w:b/>
              </w:rPr>
              <w:t>三、设计成果</w:t>
            </w:r>
          </w:p>
          <w:p>
            <w:pPr>
              <w:pStyle w:val="null3"/>
              <w:ind w:firstLine="400"/>
              <w:jc w:val="both"/>
            </w:pPr>
            <w:r>
              <w:rPr>
                <w:rFonts w:ascii="仿宋_GB2312" w:hAnsi="仿宋_GB2312" w:cs="仿宋_GB2312" w:eastAsia="仿宋_GB2312"/>
                <w:sz w:val="20"/>
              </w:rPr>
              <w:t>1. 整改方案（满足与住建部门、消防专家沟通的要求，确定后完善施工图设计）。</w:t>
            </w:r>
          </w:p>
          <w:p>
            <w:pPr>
              <w:pStyle w:val="null3"/>
              <w:ind w:firstLine="400"/>
              <w:jc w:val="both"/>
            </w:pPr>
            <w:r>
              <w:rPr>
                <w:rFonts w:ascii="仿宋_GB2312" w:hAnsi="仿宋_GB2312" w:cs="仿宋_GB2312" w:eastAsia="仿宋_GB2312"/>
                <w:sz w:val="20"/>
              </w:rPr>
              <w:t>2. 改造施工图纸（包含单体与消防控制室之间的联动设计）。</w:t>
            </w:r>
          </w:p>
          <w:p>
            <w:pPr>
              <w:pStyle w:val="null3"/>
              <w:jc w:val="both"/>
            </w:pPr>
            <w:r>
              <w:rPr>
                <w:rFonts w:ascii="仿宋_GB2312" w:hAnsi="仿宋_GB2312" w:cs="仿宋_GB2312" w:eastAsia="仿宋_GB2312"/>
                <w:sz w:val="20"/>
              </w:rPr>
              <w:t xml:space="preserve">   3. 设计概算。</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满足项目需求及招标人要求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合同签订后90日内完成初步设计并提交正式成果。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完成现场勘察后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完成施工图设计并提交甲方审核通过后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本合同在履行过程中发生争议，委托方与承接方应及时协商解决。也可由当地建设行政主管部门调解，调解不成时，双方当事人可向项目所在地人民法院提起诉讼。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单位在领取中标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投标方案.docx 服务内容及服务邀请应答表 投标函 投标人资格证明文件.docx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投标人不得为“信用中国”网站（www.creditchina.gov.cn）（中国执行信息公开网）中被列入失信被执行人、重大税收违法失信主体和中国政府采购网（www.ccgp.gov.cn）政府采购严重违法失信行为记录名单的单位；</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供应商具备工程设计综合资质甲级及以上或建筑行业工程设计甲级及以上资质或建筑行业（建筑工程）设计专业甲级及以上资质或消防设施工程设计专项甲级及以上资质；</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设计负责人</w:t>
            </w:r>
          </w:p>
        </w:tc>
        <w:tc>
          <w:tcPr>
            <w:tcW w:type="dxa" w:w="3322"/>
          </w:tcPr>
          <w:p>
            <w:pPr>
              <w:pStyle w:val="null3"/>
            </w:pPr>
            <w:r>
              <w:rPr>
                <w:rFonts w:ascii="仿宋_GB2312" w:hAnsi="仿宋_GB2312" w:cs="仿宋_GB2312" w:eastAsia="仿宋_GB2312"/>
              </w:rPr>
              <w:t>拟派设计负责人须具备一级注册建筑师或注册公用设备工程师或注册电气工程师或注册消防工程师二级（含二级）及以上证书且在本单位注册。</w:t>
            </w:r>
          </w:p>
        </w:tc>
        <w:tc>
          <w:tcPr>
            <w:tcW w:type="dxa" w:w="1661"/>
          </w:tcPr>
          <w:p>
            <w:pPr>
              <w:pStyle w:val="null3"/>
            </w:pPr>
            <w:r>
              <w:rPr>
                <w:rFonts w:ascii="仿宋_GB2312" w:hAnsi="仿宋_GB2312" w:cs="仿宋_GB2312" w:eastAsia="仿宋_GB2312"/>
              </w:rPr>
              <w:t>投标方案.docx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投标文件投标人的签字、盖章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投标文件对招标文件响应，未附有采购人不能接受条件的，不存在重大偏离。</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评审内容：①项目整体设计方案工作思路明确②设计依据符合规范③项目重点、难点把控④设计内容科学合理。 评审标准：以上内容全面详细、目标明确、科学合理且完全符合本项目采购要求得20分。评审内容缺每一项扣5分,评审内容有缺陷（缺陷指内容明显错误、描述过于简单、与项目特点不匹配、凭空编造、逻辑漏洞、出现常识性错误或不适用本项目特性等）的扣2.5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评审内容：①时间进度安排计划②工作流程③进度保障措施。评审标准：以上方案内容全面详细、目标明确、科学合理且完全符合本项目采购要求得12分。评审内容每缺一项扣4分,评审内容有缺陷（缺陷指内容明显错误、描述过于简单、与项目特点不匹配、凭空编造、逻辑漏洞、出现常识性错误或不适用本项目特性等）的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评审标准：以上内容全面详细、阐述条理清晰详尽、可行性强且符合本项目采购需求得8分。评审内容每缺一项扣4分,评审内容有缺陷（缺陷指内容明显错误、描述过于简单、与项目特点不匹配、凭空编造、逻辑漏洞、出现常识性错误或不适用本项目特性等）的扣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1.提供团队人员情况信息表（表内至少包括姓名、性别、年龄、学历、分工安排）及框架结构图，人员数量及相关经验能满足采购需求的得5分，不提供不得分；2.除项目负责人外，需配备机电专业人员，每提供一位具备相关专业注册执业资格或相关专业高级（含）以上技术职称的人员每提供1人证书得1分，最高可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部管理制度②日常工作制度③人员培训制度④岗位职责⑤操作规程。评审标准：以上内容全面详细、阐述条理清晰详尽、可行性强且符合本项目需求得15分。评审内容每缺一项扣3分,评审内容有缺陷（缺陷指内容明显错误、描述过于简单、与项目特点不匹配、凭空编造、逻辑漏洞、出现常识性错误或不适用本项目特性等）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评审内容：①对本项目的合理化建议具有科学性、前瞻性、地域性、可行性②承诺接受采购人对服务的考核、监督及管理，定期调研采购人对服务质量的满意度并加以改进，确保服务工作的优质高效。 评审标准：以上内容全面详细、计划安排合理、逻辑清晰、可行性强得5分。评审内容每缺一项扣2.5分,评审内容有缺陷（缺陷指内容明显错误、描述过于简单、与项目特点不匹配、凭空编造、逻辑漏洞、出现常识性错误或不适用本项目特性等）的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提供供应商2021年12月至响应文件递交截止日类似项目业绩（以合同复印件或中标通知书为准），每提供一份业绩得2分，最高得10分。若提供虚假业绩，一经发现，按无效投标处理。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2.满足招标文件要求且报价最低的投标报价为评标基准价，其价格分20分。 3.报价得分=（基准价/投标报价）×20的公式计算得分。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详见附件：建设工程设计合同.docx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