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版本号：SCZC2025-CS-0027-00120250115001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场馆设备更新及配套工程项目设计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SCZC2025-CS-0027-001</w:t>
      </w:r>
      <w:r>
        <w:br/>
      </w:r>
      <w:r>
        <w:br/>
      </w:r>
      <w:r>
        <w:br/>
      </w:r>
    </w:p>
    <w:p>
      <w:pPr>
        <w:pStyle w:val="null3"/>
        <w:jc w:val="center"/>
        <w:outlineLvl w:val="2"/>
      </w:pPr>
      <w:r>
        <w:rPr>
          <w:rFonts w:ascii="仿宋_GB2312" w:hAnsi="仿宋_GB2312" w:cs="仿宋_GB2312" w:eastAsia="仿宋_GB2312"/>
          <w:sz w:val="28"/>
          <w:b/>
        </w:rPr>
        <w:t>陕西历史博物馆</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2025年01月15日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陕西历史博物馆</w:t>
      </w:r>
      <w:r>
        <w:rPr>
          <w:rFonts w:ascii="仿宋_GB2312" w:hAnsi="仿宋_GB2312" w:cs="仿宋_GB2312" w:eastAsia="仿宋_GB2312"/>
        </w:rPr>
        <w:t>委托，拟对</w:t>
      </w:r>
      <w:r>
        <w:rPr>
          <w:rFonts w:ascii="仿宋_GB2312" w:hAnsi="仿宋_GB2312" w:cs="仿宋_GB2312" w:eastAsia="仿宋_GB2312"/>
        </w:rPr>
        <w:t>场馆设备更新及配套工程项目设计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SCZC2025-CS-0027-001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场馆设备更新及配套工程项目设计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对项目整体进行设计，详见竞争性磋商文件第三章。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1、企业资质：供应商须具备建设行政主管部门颁发的工程设计综合甲级资质或建筑行业工程设计甲级资质或建筑行业（建筑工程）设计甲级资质</w:t>
      </w:r>
    </w:p>
    <w:p>
      <w:pPr>
        <w:pStyle w:val="null3"/>
      </w:pPr>
      <w:r>
        <w:rPr>
          <w:rFonts w:ascii="仿宋_GB2312" w:hAnsi="仿宋_GB2312" w:cs="仿宋_GB2312" w:eastAsia="仿宋_GB2312"/>
        </w:rPr>
        <w:t>2、项目负责人：拟派项目负责人须具备一级注册建筑师执业资格，且在本单位注册，并提供响应文件提交截止时间前半年内任意一个月供应商为项目负责人缴纳社会保险的证明文件。</w:t>
      </w:r>
    </w:p>
    <w:p>
      <w:pPr>
        <w:pStyle w:val="null3"/>
      </w:pPr>
      <w:r>
        <w:rPr>
          <w:rFonts w:ascii="仿宋_GB2312" w:hAnsi="仿宋_GB2312" w:cs="仿宋_GB2312" w:eastAsia="仿宋_GB2312"/>
        </w:rPr>
        <w:t>3、法定代表人（或单位负责人）身份证明、授权委托书及授权代表在本单位缴纳社会保险证明：法定代表人（或单位负责人）参加磋商的，须出具法定代表人（或单位负责人）身份证明，并与营业执照（或事业单位法人证书）上信息一致。授权代表参加磋商的，须出具法定代表人（或单位负责人）身份证明、授权委托书及响应文件提交截止时间前半年内任意一个月授权代表在本单位的社会保险缴纳证明。</w:t>
      </w:r>
    </w:p>
    <w:p>
      <w:pPr>
        <w:pStyle w:val="null3"/>
      </w:pPr>
      <w:r>
        <w:rPr>
          <w:rFonts w:ascii="仿宋_GB2312" w:hAnsi="仿宋_GB2312" w:cs="仿宋_GB2312" w:eastAsia="仿宋_GB2312"/>
        </w:rPr>
        <w:t>4、信用查询信息：供应商在递交响应文件截止时间前被“信用中国”网站（www.creditchina.gov.cn）和中国政府采购网（www.ccgp.gov.cn）上被列入失信被执行人、重大税收违法失信主体、政府采购严重违法失信行为记录名单的，不得参加磋商。</w:t>
      </w:r>
    </w:p>
    <w:p>
      <w:pPr>
        <w:pStyle w:val="null3"/>
      </w:pPr>
      <w:r>
        <w:rPr>
          <w:rFonts w:ascii="仿宋_GB2312" w:hAnsi="仿宋_GB2312" w:cs="仿宋_GB2312" w:eastAsia="仿宋_GB2312"/>
        </w:rPr>
        <w:t>5、供应商不得存在的情形：供应商不得存在下列情形之一： （1）单位负责人为同一人或者存在直接控股、管理关系的不同供应商，不得参加同一合同项下的政府采购活动； （2）为本项目提供整体设计、规范编制或者项目管理、监理、检测等服务的供应商，不得再参加该采购项目的其他采购活动。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陕西历史博物馆</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西安市雁塔区小寨东路91号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029-85262330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西安市高新二路2号山西证券大厦8层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钟玉艳、王莉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029-85257505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银行账号：102461183053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代理服务费收费标准：招标代理服务费参照《国家计委关于印发&lt;招标代理服务收费管理暂行办法&gt;的通知》（计价格[2002]1980号）规定标准收取。 招标代理服务费缴纳账户信息如下 银行户名：陕西省采购招标有限责任公司 开户银行：中国光大银行西安友谊路支行 账 号：78560188000095264 联 系 人：财务部 联系电话：029-85263975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陕西历史博物馆</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陕西历史博物馆</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陕西历史博物馆</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地址：西安市高新二路2号山西证券大厦8层综合办公室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本项目设备更新包括博物馆空调系统、文物存储设施、设备更新的配套工程、馆区“三年攻坚行动”消防整改工程（以下简称：馆区消防整改）4 部分内容。空调系统主要包括温湿度独立控制机组（单冷）、冷却塔机组、变风量新风及其净化机组、恒温恒湿机组、更新库房调湿板、多联机机组、空调末端设备（现有燃气锅炉热源不更换，其与单冷制冷机组共用末端设备）、分体机空调机组、机械通风设备。文物储存设施主要包括更换文物密集存储柜及配套信息管理设备、无酸囊匣。设备更新配套工程包括配套设备设施的拆除安装、配套的水、电、风管线拆除更新，配电室改造、土建改造加固等配套材料及施工工程。馆区“三年攻坚行动”消防整改工程包括需核实防火分区划分情况；第5展厅配电室门、墙体不符合耐火要求；1、2、3展厅排烟管道损坏；序厅无排烟设施；国宝厅无喷淋、无排烟；D1段负一层商品库房无消防设施、安全出口数量不足。</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2,000,000.00</w:t>
      </w:r>
    </w:p>
    <w:p>
      <w:pPr>
        <w:pStyle w:val="null3"/>
      </w:pPr>
      <w:r>
        <w:rPr>
          <w:rFonts w:ascii="仿宋_GB2312" w:hAnsi="仿宋_GB2312" w:cs="仿宋_GB2312" w:eastAsia="仿宋_GB2312"/>
        </w:rPr>
        <w:t>采购包最高限价（元）: 2,000,000.00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设计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标的名称：设计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rPr>
              <w:t>一、项目概况</w:t>
            </w:r>
          </w:p>
          <w:p>
            <w:pPr>
              <w:pStyle w:val="null3"/>
            </w:pPr>
            <w:r>
              <w:rPr>
                <w:rFonts w:ascii="仿宋_GB2312" w:hAnsi="仿宋_GB2312" w:cs="仿宋_GB2312" w:eastAsia="仿宋_GB2312"/>
              </w:rPr>
              <w:t>本项目设备更新包括博物馆空调系统、文物存储设施、设备更新的配套工程、馆区“三年攻坚行动”消防整改工程（以下简称：馆区消防整改）4 部分内容。空调系统主要包括温湿度独立控制机组（单冷）、冷却塔机组、变风量新风及其净化机组、恒温恒湿机组、更新库房调湿板、多联机机组、空调末端设备（现有燃气锅炉热源不更换，其与单冷制冷机组共用末端设备）、分体机空调机组、机械通风设备。文物储存设施主要包括更换文物密集存储柜及配套信息管理设备、无酸囊匣。设备更新配套工程包括配套设备设施的拆除安装、配套的水、电、风管线拆除更新，配电室改造、土建改造加固等配套材料及施工工程。馆区“三年攻坚行动”消防整改工程包括需核实防火分区划分情况；第5展厅配电室门、墙体不符合耐火要求；1、2、3展厅排烟管道损坏；序厅无排烟设施；国宝厅无喷淋、无排烟；D1段负一层商品库房无消防设施、安全出口数量不足。</w:t>
            </w:r>
          </w:p>
          <w:p>
            <w:pPr>
              <w:pStyle w:val="null3"/>
            </w:pPr>
            <w:r>
              <w:rPr>
                <w:rFonts w:ascii="仿宋_GB2312" w:hAnsi="仿宋_GB2312" w:cs="仿宋_GB2312" w:eastAsia="仿宋_GB2312"/>
              </w:rPr>
              <w:t>二、项目内容</w:t>
            </w:r>
          </w:p>
          <w:p>
            <w:pPr>
              <w:pStyle w:val="null3"/>
            </w:pPr>
            <w:r>
              <w:rPr>
                <w:rFonts w:ascii="仿宋_GB2312" w:hAnsi="仿宋_GB2312" w:cs="仿宋_GB2312" w:eastAsia="仿宋_GB2312"/>
              </w:rPr>
              <w:t>对项目整体进行设计，主要包括以下内容。</w:t>
            </w:r>
          </w:p>
          <w:p>
            <w:pPr>
              <w:pStyle w:val="null3"/>
            </w:pPr>
            <w:r>
              <w:rPr>
                <w:rFonts w:ascii="仿宋_GB2312" w:hAnsi="仿宋_GB2312" w:cs="仿宋_GB2312" w:eastAsia="仿宋_GB2312"/>
              </w:rPr>
              <w:t>1.本项目空调（含空调配套的水、电）设计内容主要包括，对场馆内的空调系统主要设备包括温湿度独立控制机组（单冷）、冷却塔机组、变风量新风及其净化机组、恒温恒湿机组、更新库房调湿板、多联机机组、空调末端设备（现有燃气锅炉热源不更换，其与单冷制冷机组共用末端设备）、分体机空调机组及配套的水、电、风管线进行采购、安装，对机械送排风设备等进行采购、安装，对配电间设施设备进行采购、安装。</w:t>
            </w:r>
          </w:p>
          <w:p>
            <w:pPr>
              <w:pStyle w:val="null3"/>
            </w:pPr>
            <w:r>
              <w:rPr>
                <w:rFonts w:ascii="仿宋_GB2312" w:hAnsi="仿宋_GB2312" w:cs="仿宋_GB2312" w:eastAsia="仿宋_GB2312"/>
              </w:rPr>
              <w:t>2.存储设备：信息系统包括4500组展厅藏品RFID管理信息化系统，馆库藏品管理系统；无酸囊匣项目包括3000件无酸囊匣定制；库房柜架100组（容量1900立方米），全部大屏显示管理，其中八库为展藏一体化库房，三库建设钢结构阁楼。</w:t>
            </w:r>
          </w:p>
          <w:p>
            <w:pPr>
              <w:pStyle w:val="null3"/>
            </w:pPr>
            <w:r>
              <w:rPr>
                <w:rFonts w:ascii="仿宋_GB2312" w:hAnsi="仿宋_GB2312" w:cs="仿宋_GB2312" w:eastAsia="仿宋_GB2312"/>
              </w:rPr>
              <w:t>3.设备更新的配套工程：现有空调系统、通风系统（主要空调设备）、三个配电室及配套设备设施的拆除、安装，配套的水、电、风管线拆除、安装，配电室改造、土建改造加固等配套材料及施工工程。</w:t>
            </w:r>
          </w:p>
          <w:p>
            <w:pPr>
              <w:pStyle w:val="null3"/>
            </w:pPr>
            <w:r>
              <w:rPr>
                <w:rFonts w:ascii="仿宋_GB2312" w:hAnsi="仿宋_GB2312" w:cs="仿宋_GB2312" w:eastAsia="仿宋_GB2312"/>
              </w:rPr>
              <w:t>4. 馆区“三年攻坚行动”消防整改工程设计内容：需设计全馆防火分区；设计1、2、3展厅、国宝厅、序厅防排烟系统；国宝厅自喷灭火系统；D1段负一层商品库房消防设计；设计第5展厅配电室。以及相关的设备设施及管线拆除、采购、安装、调试，配套电气改造、土建改造加固等配套管线更新改造。</w:t>
            </w:r>
          </w:p>
          <w:p>
            <w:pPr>
              <w:pStyle w:val="null3"/>
            </w:pPr>
            <w:r>
              <w:rPr>
                <w:rFonts w:ascii="仿宋_GB2312" w:hAnsi="仿宋_GB2312" w:cs="仿宋_GB2312" w:eastAsia="仿宋_GB2312"/>
              </w:rPr>
              <w:t>三、设计要求</w:t>
            </w:r>
          </w:p>
          <w:p>
            <w:pPr>
              <w:pStyle w:val="null3"/>
            </w:pPr>
            <w:r>
              <w:rPr>
                <w:rFonts w:ascii="仿宋_GB2312" w:hAnsi="仿宋_GB2312" w:cs="仿宋_GB2312" w:eastAsia="仿宋_GB2312"/>
              </w:rPr>
              <w:t>1.施工图设计文件的编制内容应包含陕西历史博物馆场馆设备更新项目及相应的配套工程内容、馆区消防整改工程设计。本次设计应对馆内现有系统进行全面评估后进行，所涉及的水、电、暖、消防、建筑结构改造等专业内容均应符合相应行业最新标准。本项目整体设计风格应与我馆原有建筑相协调，不应破坏原有建筑设计风格。</w:t>
            </w:r>
          </w:p>
          <w:p>
            <w:pPr>
              <w:pStyle w:val="null3"/>
            </w:pPr>
            <w:r>
              <w:rPr>
                <w:rFonts w:ascii="仿宋_GB2312" w:hAnsi="仿宋_GB2312" w:cs="仿宋_GB2312" w:eastAsia="仿宋_GB2312"/>
              </w:rPr>
              <w:t>2.施工图设计文件的编制依据：《陕西历史博物馆场馆设备更新项目可行性研究报告》及《陕西省发展和改革委员会关于陕西历史博物馆场馆设备更新项目可行性研究报告的批复》（陕发改社会〔2024〕998号）文。</w:t>
            </w:r>
          </w:p>
          <w:p>
            <w:pPr>
              <w:pStyle w:val="null3"/>
            </w:pPr>
            <w:r>
              <w:rPr>
                <w:rFonts w:ascii="仿宋_GB2312" w:hAnsi="仿宋_GB2312" w:cs="仿宋_GB2312" w:eastAsia="仿宋_GB2312"/>
              </w:rPr>
              <w:t>3.施工图设计文件必须完整、详细、准确，标注清晰，符合国家制图标准和相关规范要求，能够为施工单位提供明确的施工依据，确保工程的顺利进行。</w:t>
            </w:r>
          </w:p>
          <w:p>
            <w:pPr>
              <w:pStyle w:val="null3"/>
            </w:pPr>
            <w:r>
              <w:rPr>
                <w:rFonts w:ascii="仿宋_GB2312" w:hAnsi="仿宋_GB2312" w:cs="仿宋_GB2312" w:eastAsia="仿宋_GB2312"/>
              </w:rPr>
              <w:t>4.本项目所涉及的机电设备、管路及配套设备设施选型均应经过计算，具有详细的设计方案，适应使用环境并满足节能要求，确保本项目设备管路搭配合理、经久耐用。本项目所涉及设备设施的性能参数应达到国际先进水平，在同等条件下应选用国产设备，满足项目整体国产化战略要求。本项目所涉及的建筑材料均应采用绿色建材或绿色产品，并持有对应的认证证书。</w:t>
            </w:r>
          </w:p>
          <w:p>
            <w:pPr>
              <w:pStyle w:val="null3"/>
            </w:pPr>
            <w:r>
              <w:rPr>
                <w:rFonts w:ascii="仿宋_GB2312" w:hAnsi="仿宋_GB2312" w:cs="仿宋_GB2312" w:eastAsia="仿宋_GB2312"/>
              </w:rPr>
              <w:t>5.本项目服务期为签订合同之日起至施工验收合格之日止，供应商应在合同签订后 45 天（含节假日）交付成果文件最终稿并完成图纸审核，并在施工过程中配合采购人处理设计变更、修改相关事宜。供应商必须按照规定时间和质量提交施工图设计文件及预算文件电子版2套、纸质版10套，预算文件应包括设备选型、技术参数及费用，设备拆除及安装、土建改造加固、室内外管线改造、馆区消防整改工程等内容费用。要求成果文件完整、准确，纸质版要有完好装订。</w:t>
            </w:r>
          </w:p>
          <w:p>
            <w:pPr>
              <w:pStyle w:val="null3"/>
            </w:pPr>
            <w:r>
              <w:rPr>
                <w:rFonts w:ascii="仿宋_GB2312" w:hAnsi="仿宋_GB2312" w:cs="仿宋_GB2312" w:eastAsia="仿宋_GB2312"/>
              </w:rPr>
              <w:t>6.本项目实施期间如遇建筑结构、设备安装、技术应用、运行成效等存在“瓶颈”问题时需改变设计规划，应由设计单位邀请专家组进行科学论证，所得论证方案经采购人认可后方可实施。</w:t>
            </w:r>
          </w:p>
          <w:p>
            <w:pPr>
              <w:pStyle w:val="null3"/>
            </w:pPr>
            <w:r>
              <w:rPr>
                <w:rFonts w:ascii="仿宋_GB2312" w:hAnsi="仿宋_GB2312" w:cs="仿宋_GB2312" w:eastAsia="仿宋_GB2312"/>
              </w:rPr>
              <w:t>7.本项目空调系统设计参数按照以下标准计算：办公区域按照国家标准要求设计；对外开放区域按照每平米3个人计算空调系统参数，同步放大展厅空调负荷、末端空调器规格，配置灵活可调的控制系统，提升空调制冷能力。文物库房及展柜恒温恒湿设备需具备独立控制能力，能保证24小时不间断满足恒温恒湿要求。空调系统整体设计方案具备前瞻性，为未来发展预留充足空间。</w:t>
            </w:r>
          </w:p>
          <w:p>
            <w:pPr>
              <w:pStyle w:val="null3"/>
            </w:pPr>
            <w:r>
              <w:rPr>
                <w:rFonts w:ascii="仿宋_GB2312" w:hAnsi="仿宋_GB2312" w:cs="仿宋_GB2312" w:eastAsia="仿宋_GB2312"/>
              </w:rPr>
              <w:t>8.本项目空调系统、消防系统及配套电气设备设施、相关配套设施应满足国家节能减排相关要求。同时本项目空调系统应具备集中控制、分区控制、末端控制等控制能力；具备运行数据记录分析能力，具备故障预警、报警，错误自我分析能力，具备与其他系统通信的API接口；具备依设定温度、时间、节假日，依季节、运行状况、室内外温度、室内外空气质量等条件改变空调系统运行状态的能力；应具备中央控制状态显示系统（包含但不限于冷冻水及冷却水进出水温度、进风回风送风温度及湿度、空调机组开启与关闭状态、冷却塔开启与关闭状态、水泵开启与关闭状态等以数字化三维动画效果显示出来），能耗监控系统，集中控制系统（包含但不仅限于对空调主机的开启与关闭、冷却塔的开启与关闭、水泵的开启与关闭等），智能化汇总空调系统整体运行状态，实现固定端（空调控制机房）和移动端（平板电脑）可视可控功能。</w:t>
            </w:r>
          </w:p>
          <w:p>
            <w:pPr>
              <w:pStyle w:val="null3"/>
            </w:pPr>
            <w:r>
              <w:rPr>
                <w:rFonts w:ascii="仿宋_GB2312" w:hAnsi="仿宋_GB2312" w:cs="仿宋_GB2312" w:eastAsia="仿宋_GB2312"/>
              </w:rPr>
              <w:t>9.本项目在实施期间遇到需供应商提供技术支持时，供应商需提供技术人员进行现场技术服务。</w:t>
            </w:r>
          </w:p>
          <w:p>
            <w:pPr>
              <w:pStyle w:val="null3"/>
            </w:pPr>
            <w:r>
              <w:rPr>
                <w:rFonts w:ascii="仿宋_GB2312" w:hAnsi="仿宋_GB2312" w:cs="仿宋_GB2312" w:eastAsia="仿宋_GB2312"/>
              </w:rPr>
              <w:t>10.设计成果文件包含施工图设计文件及预算书，成果文件交付前，供应商需在设计文件上加盖出图专用章及相应印鉴，遵循《技术印章管理规定》。预算书的签章应符合行业相关规定。</w:t>
            </w:r>
          </w:p>
          <w:p>
            <w:pPr>
              <w:pStyle w:val="null3"/>
            </w:pPr>
            <w:r>
              <w:rPr>
                <w:rFonts w:ascii="仿宋_GB2312" w:hAnsi="仿宋_GB2312" w:cs="仿宋_GB2312" w:eastAsia="仿宋_GB2312"/>
              </w:rPr>
              <w:t>11. 供应商应预设设计变更管理流程，明确变更责任人，确保变更及时处理，不影响项目进度。</w:t>
            </w:r>
          </w:p>
          <w:p>
            <w:pPr>
              <w:pStyle w:val="null3"/>
            </w:pPr>
            <w:r>
              <w:rPr>
                <w:rFonts w:ascii="仿宋_GB2312" w:hAnsi="仿宋_GB2312" w:cs="仿宋_GB2312" w:eastAsia="仿宋_GB2312"/>
              </w:rPr>
              <w:t>12. 图纸交付需考虑设计、审查、调整的周期，确保按时交付，避免项目延误。明确各环节责任人，确保分工明确，任务按时完成。</w:t>
            </w:r>
          </w:p>
          <w:p>
            <w:pPr>
              <w:pStyle w:val="null3"/>
            </w:pPr>
            <w:r>
              <w:rPr>
                <w:rFonts w:ascii="仿宋_GB2312" w:hAnsi="仿宋_GB2312" w:cs="仿宋_GB2312" w:eastAsia="仿宋_GB2312"/>
              </w:rPr>
              <w:t>13. 供应商需提供设计范围内的最终版施工图（包含但不限于暖通空调图纸、给排水图纸、电气图纸、建筑图纸、存储设备信息系统图纸、馆区消防整改图纸等）、设计过程资料、预算文件纸质版并达到采购人规定的份数，同时包含电子版，如AutoCAD格式的图纸和Word/Excel格式的文本文件，如有BIM模型需提供模型资料。在图纸及资料交接时需附资料清单，经双方确认无误后签字接收。</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满足磋商文件及采购需求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满足磋商文件及采购需求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满足磋商文件及采购需求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本项目服务期为签订合同之日起至施工验收合格之日止，供应商应在合同签订后 45 天（含节假日）交付成果文件最终稿并完成图纸审核，并在施工过程中配合采购人处理设计变更、修改相关事宜。</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陕西历史博物馆（西安市雁塔区小寨东路91号）</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1）初始验收：供应商完成成果文件及图纸审核服务内容后，向采购人提出验收申请，采购人接到供应商验收申请后组织相应专家或委托相应部门验收，验收合格后，出具验收合格手续。（2）最终验收：设备更新及配套工程竣工验收合格作为付款依据，供应商填写验收单，并向采购人提交实施过程中的所有资料，以便采购人日后管理和维护。 2、验收依据： （1）合同文本、合同附件、竞争性磋商文件、成交供应商的响应文件。 （2）国内相应的标准、规范。 3、验收依据： 详见合同约定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乙方按照甲方要求提供成果文件最终稿并完成图纸审核</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工程竣工验收合格并办理完成设计合同结算手续后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1、按《中华人民共和国民法典》《中华人民共和国建筑法》《建设工程勘察设计管理条例》中的相关条款执行。 2、乙方履约延误 2-1、如乙方事先未征得甲方同意并得到甲方的谅解而单方面延迟执行合同，将按违约终止合同。 2-2、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总金额的百分之五（5%）计收，直至提供服务为止。误期赔偿费的最高限额为合同价格的百分之三十（30%）。一旦达到误期赔偿费的最高限额，甲方可终止合同。 3、违约终止合同：未按合同要求提供服务或不能满足技术要求，甲方会同监督机构有权终止合同，对乙方违约行为进行追究，同时按政府采购法的有关规定进行相应的处罚。 4、若乙方提供技术服务的质量不符合国家标准的，乙方除应继续为甲方提供技术服务，直至达到本合同约定要求和标准外，还应向甲方支付违约金并赔偿甲方的直接经济损失。 5、如提供技术服务过程中由于乙方工作人员的工作失误导致甲方项目实施过程中项目进度延期或项目损失，由此所需全部费用由乙方承担。 6、因乙方提供的技术服务不符合本合同约定而未能使甲方设备的运行达到正常状态的，甲方有权拒绝付款，并要求乙方承担违约责任并赔偿相应损失。 7、乙方工作人员在本合同履行过程中因设计不当造成甲方或第三方人身伤害或财产损失的，乙方应承担因此导致的一切民事损害赔偿责任、行政处罚或制裁及/或其他相应责任。 8、乙方工作人员在本合同履行过程中因提供的技术侵犯到第三人的知识产权或因此导致任何第三人提起异议纠纷或侵权诉讼的，对此乙方应承担一切法律责任，并负责解决争议，确保甲方免予因此遭受任何损失。 9、合同履行完毕前，乙方要求终止或解除合同，乙方应向甲方支付合同总金额80%的损失赔偿金。详见合同约定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陕西历史博物馆场馆设备更新项目可行性研究报告》及《陕西省发展和改革委员会关于陕西历史博物馆场馆设备更新项目可行性研究报告的批复》（陕发改社会〔2024〕998号）文作为磋商文件的附件，可行性研究报告的内容与本章“3.2服务内容及服务要求”不符时，以本章“3.2服务内容及服务要求”的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 （2）供应商提供2023年度的财务审计报告或响应文件提交截止时间前半年内任意一个月的财务报表或基本开户行出具的资信证明； （3）供应商提供响应文件提交截止时间前半年内任意一个月缴纳税收的凭证（时间以税款所属时期为准），依法免税或无须缴纳税收的供应商应提供相应文件证明； （4）供应商提供响应文件提交截止时间前半年内任意一个月缴纳社会保险的凭据，依法不需要缴纳社会保障资金的供应商应提供相应证明文件； （5）供应商提供具备履行合同所必需的设备和专业技术能力的承诺； （6）法律、行政法规规定的其他条件：不存在违反法律法规的情况。</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供应商须具备建设行政主管部门颁发的工程设计综合甲级资质或建筑行业工程设计甲级资质或建筑行业（建筑工程）设计甲级资质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拟派项目负责人须具备一级注册建筑师执业资格，且在本单位注册，并提供响应文件提交截止时间前半年内任意一个月供应商为项目负责人缴纳社会保险的证明文件。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法定代表人（或单位负责人）身份证明、授权委托书及授权代表在本单位缴纳社会保险证明</w:t>
            </w:r>
          </w:p>
        </w:tc>
        <w:tc>
          <w:tcPr>
            <w:tcW w:type="dxa" w:w="3322"/>
          </w:tcPr>
          <w:p>
            <w:pPr>
              <w:pStyle w:val="null3"/>
            </w:pPr>
            <w:r>
              <w:rPr>
                <w:rFonts w:ascii="仿宋_GB2312" w:hAnsi="仿宋_GB2312" w:cs="仿宋_GB2312" w:eastAsia="仿宋_GB2312"/>
              </w:rPr>
              <w:t>法定代表人（或单位负责人）参加磋商的，须出具法定代表人（或单位负责人）身份证明，并与营业执照（或事业单位法人证书）上信息一致。授权代表参加磋商的，须出具法定代表人（或单位负责人）身份证明、授权委托书及响应文件提交截止时间前半年内任意一个月授权代表在本单位的社会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信用查询信息</w:t>
            </w:r>
          </w:p>
        </w:tc>
        <w:tc>
          <w:tcPr>
            <w:tcW w:type="dxa" w:w="3322"/>
          </w:tcPr>
          <w:p>
            <w:pPr>
              <w:pStyle w:val="null3"/>
            </w:pPr>
            <w:r>
              <w:rPr>
                <w:rFonts w:ascii="仿宋_GB2312" w:hAnsi="仿宋_GB2312" w:cs="仿宋_GB2312" w:eastAsia="仿宋_GB2312"/>
              </w:rPr>
              <w:t>供应商在递交响应文件截止时间前被“信用中国”网站（www.creditchina.gov.cn）和中国政府采购网（www.ccgp.gov.cn）上被列入失信被执行人、重大税收违法失信主体、政府采购严重违法失信行为记录名单的，不得参加磋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供应商不得存在的情形</w:t>
            </w:r>
          </w:p>
        </w:tc>
        <w:tc>
          <w:tcPr>
            <w:tcW w:type="dxa" w:w="3322"/>
          </w:tcPr>
          <w:p>
            <w:pPr>
              <w:pStyle w:val="null3"/>
            </w:pPr>
            <w:r>
              <w:rPr>
                <w:rFonts w:ascii="仿宋_GB2312" w:hAnsi="仿宋_GB2312" w:cs="仿宋_GB2312" w:eastAsia="仿宋_GB2312"/>
              </w:rPr>
              <w:t>供应商不得存在下列情形之一： （1）单位负责人为同一人或者存在直接控股、管理关系的不同供应商，不得参加同一合同项下的政府采购活动； （2）为本项目提供整体设计、规范编制或者项目管理、监理、检测等服务的供应商，不得再参加该采购项目的其他采购活动。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响应文件按采购文件要求签署、盖章。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响应文件有效期满足采购文件要求。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首次磋商报价</w:t>
            </w:r>
          </w:p>
        </w:tc>
        <w:tc>
          <w:tcPr>
            <w:tcW w:type="dxa" w:w="3322"/>
          </w:tcPr>
          <w:p>
            <w:pPr>
              <w:pStyle w:val="null3"/>
            </w:pPr>
            <w:r>
              <w:rPr>
                <w:rFonts w:ascii="仿宋_GB2312" w:hAnsi="仿宋_GB2312" w:cs="仿宋_GB2312" w:eastAsia="仿宋_GB2312"/>
              </w:rPr>
              <w:t>供应商首次磋商报价没有超出采购预算或最高限价。</w:t>
            </w:r>
          </w:p>
        </w:tc>
        <w:tc>
          <w:tcPr>
            <w:tcW w:type="dxa" w:w="1661"/>
          </w:tcPr>
          <w:p>
            <w:pPr>
              <w:pStyle w:val="null3"/>
            </w:pPr>
            <w:r>
              <w:rPr>
                <w:rFonts w:ascii="仿宋_GB2312" w:hAnsi="仿宋_GB2312" w:cs="仿宋_GB2312" w:eastAsia="仿宋_GB2312"/>
              </w:rPr>
              <w:t>响应文件封面 分项报价表.docx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磋商保证金已按采购文件规定提交且金额、形式符合采购文件要求。</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响应内容不存在漏项或数量与要求不符合采购文件规定情形，不存在采购档次降低或影响采购性能、功能的情形。</w:t>
            </w:r>
          </w:p>
        </w:tc>
        <w:tc>
          <w:tcPr>
            <w:tcW w:type="dxa" w:w="1661"/>
          </w:tcPr>
          <w:p>
            <w:pPr>
              <w:pStyle w:val="null3"/>
            </w:pPr>
            <w:r>
              <w:rPr>
                <w:rFonts w:ascii="仿宋_GB2312" w:hAnsi="仿宋_GB2312" w:cs="仿宋_GB2312" w:eastAsia="仿宋_GB2312"/>
              </w:rPr>
              <w:t>服务内容及服务邀请应答表 服务方案</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遵循公平竞争的原则，没有弄虚作假、恶意串通或妨碍其他供应商的竞争行为，损害采购人或者其他供应商的合法权益。</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付款方式为实质性要求，不允许偏离，供应商必须完全响应。</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不存在其它不符合法律法规或采购文件规定的响应无效条款的情形。</w:t>
            </w:r>
          </w:p>
        </w:tc>
        <w:tc>
          <w:tcPr>
            <w:tcW w:type="dxa" w:w="1661"/>
          </w:tcPr>
          <w:p>
            <w:pPr>
              <w:pStyle w:val="null3"/>
            </w:pPr>
            <w:r>
              <w:rPr>
                <w:rFonts w:ascii="仿宋_GB2312" w:hAnsi="仿宋_GB2312" w:cs="仿宋_GB2312" w:eastAsia="仿宋_GB2312"/>
              </w:rPr>
              <w:t>标的清单</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供应商提供自2022年1月1日至今承担过的类似项目业绩，每个业绩得3分，最高得15分。（提供合同复印件，以合同签订时间为准）。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体系认证</w:t>
            </w:r>
          </w:p>
        </w:tc>
        <w:tc>
          <w:tcPr>
            <w:tcW w:type="dxa" w:w="2492"/>
          </w:tcPr>
          <w:p>
            <w:pPr>
              <w:pStyle w:val="null3"/>
            </w:pPr>
            <w:r>
              <w:rPr>
                <w:rFonts w:ascii="仿宋_GB2312" w:hAnsi="仿宋_GB2312" w:cs="仿宋_GB2312" w:eastAsia="仿宋_GB2312"/>
              </w:rPr>
              <w:t>供应商具备质量管理体系、环境管理体系、职业安全健康管理体系认证证书，每提供1项有效证书得1分，共3分。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项目负责人职称</w:t>
            </w:r>
          </w:p>
        </w:tc>
        <w:tc>
          <w:tcPr>
            <w:tcW w:type="dxa" w:w="2492"/>
          </w:tcPr>
          <w:p>
            <w:pPr>
              <w:pStyle w:val="null3"/>
            </w:pPr>
            <w:r>
              <w:rPr>
                <w:rFonts w:ascii="仿宋_GB2312" w:hAnsi="仿宋_GB2312" w:cs="仿宋_GB2312" w:eastAsia="仿宋_GB2312"/>
              </w:rPr>
              <w:t>项目负责人具备正高级职称得3分，高级职称得2分，其他得0分，提供职称证书复印件。</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项目负责人业绩</w:t>
            </w:r>
          </w:p>
        </w:tc>
        <w:tc>
          <w:tcPr>
            <w:tcW w:type="dxa" w:w="2492"/>
          </w:tcPr>
          <w:p>
            <w:pPr>
              <w:pStyle w:val="null3"/>
            </w:pPr>
            <w:r>
              <w:rPr>
                <w:rFonts w:ascii="仿宋_GB2312" w:hAnsi="仿宋_GB2312" w:cs="仿宋_GB2312" w:eastAsia="仿宋_GB2312"/>
              </w:rPr>
              <w:t>拟派项目负责人具备类似项目业绩，提供一项业绩得2分，共4分。 注：以合同协议书或中标通知书中约定的项目负责人姓名为准。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拟派本项目团队配备齐全，职责分工明确， 1.配备一级造价工程师、注册公用设备工程师（暖通空调）、注册电气工程师、一级建造师（机电/建筑工程专业）。 ①上述4类人员专业配备齐全得4分，不齐全得0分，本项共4分。 ②专业人员配备齐全的基础上，每个专业增加1人得2分，本项共8分。 2.配备二级造价师或二级建筑师，配备1人得1分，本项共4分。 注：以上人员具备多项证书按照得分高的证书计分，不重复计分，不含项目负责人，磋商响应文件中提供人员的相关证书及磋商时间前半年内任意一个月供应商为上述人员缴纳社会保险的证明文件。</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总体设计说明</w:t>
            </w:r>
          </w:p>
        </w:tc>
        <w:tc>
          <w:tcPr>
            <w:tcW w:type="dxa" w:w="2492"/>
          </w:tcPr>
          <w:p>
            <w:pPr>
              <w:pStyle w:val="null3"/>
            </w:pPr>
            <w:r>
              <w:rPr>
                <w:rFonts w:ascii="仿宋_GB2312" w:hAnsi="仿宋_GB2312" w:cs="仿宋_GB2312" w:eastAsia="仿宋_GB2312"/>
              </w:rPr>
              <w:t>供应商对项目总体认识全面深刻，论述完整清晰，总体组织符合实际、总体设计符合规范，措施科学。 备注：满分为7分。方案内容每存在1处缺陷：扣1分，扣完为止；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设计限额把控措施</w:t>
            </w:r>
          </w:p>
        </w:tc>
        <w:tc>
          <w:tcPr>
            <w:tcW w:type="dxa" w:w="2492"/>
          </w:tcPr>
          <w:p>
            <w:pPr>
              <w:pStyle w:val="null3"/>
            </w:pPr>
            <w:r>
              <w:rPr>
                <w:rFonts w:ascii="仿宋_GB2312" w:hAnsi="仿宋_GB2312" w:cs="仿宋_GB2312" w:eastAsia="仿宋_GB2312"/>
              </w:rPr>
              <w:t>供应商对工程投资控制措施得当，可操作性强，保障措施得力，造价合理、指标准确。 备注：满分为7分。方案内容每存在1处缺陷：扣1分，扣完为止；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设计质量保证措施</w:t>
            </w:r>
          </w:p>
        </w:tc>
        <w:tc>
          <w:tcPr>
            <w:tcW w:type="dxa" w:w="2492"/>
          </w:tcPr>
          <w:p>
            <w:pPr>
              <w:pStyle w:val="null3"/>
            </w:pPr>
            <w:r>
              <w:rPr>
                <w:rFonts w:ascii="仿宋_GB2312" w:hAnsi="仿宋_GB2312" w:cs="仿宋_GB2312" w:eastAsia="仿宋_GB2312"/>
              </w:rPr>
              <w:t>设计组织完善合理，质量保证计划全面细致、结合实际、措施具体，责任到人。 备注：满分为7分。方案内容每存在1处缺陷：扣1分，扣完为止；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设计进度保证措施</w:t>
            </w:r>
          </w:p>
        </w:tc>
        <w:tc>
          <w:tcPr>
            <w:tcW w:type="dxa" w:w="2492"/>
          </w:tcPr>
          <w:p>
            <w:pPr>
              <w:pStyle w:val="null3"/>
            </w:pPr>
            <w:r>
              <w:rPr>
                <w:rFonts w:ascii="仿宋_GB2312" w:hAnsi="仿宋_GB2312" w:cs="仿宋_GB2312" w:eastAsia="仿宋_GB2312"/>
              </w:rPr>
              <w:t>进度计划协调，调配计划合理，保证措施具体， 设计时间安排合理。 备注：满分为7分。方案内容每存在1处缺陷：扣1分，扣完为止；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重点、难点技术分析及方案处理措施</w:t>
            </w:r>
          </w:p>
        </w:tc>
        <w:tc>
          <w:tcPr>
            <w:tcW w:type="dxa" w:w="2492"/>
          </w:tcPr>
          <w:p>
            <w:pPr>
              <w:pStyle w:val="null3"/>
            </w:pPr>
            <w:r>
              <w:rPr>
                <w:rFonts w:ascii="仿宋_GB2312" w:hAnsi="仿宋_GB2312" w:cs="仿宋_GB2312" w:eastAsia="仿宋_GB2312"/>
              </w:rPr>
              <w:t>依据供应商对设计中的重点、难点技术分析方法，方案处理措施的专业性及可行性赋分。 备注：满分为7分。方案内容每存在1处缺陷：扣1分，扣完为止；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供应商具有健全的内部管理制度，完善的组织架构。提供廉洁从业措施、保密条例等。 备注：满分为7分。方案内容每存在1处缺陷：扣1分，扣完为止；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施工期间服务承诺及合理化建议</w:t>
            </w:r>
          </w:p>
        </w:tc>
        <w:tc>
          <w:tcPr>
            <w:tcW w:type="dxa" w:w="2492"/>
          </w:tcPr>
          <w:p>
            <w:pPr>
              <w:pStyle w:val="null3"/>
            </w:pPr>
            <w:r>
              <w:rPr>
                <w:rFonts w:ascii="仿宋_GB2312" w:hAnsi="仿宋_GB2312" w:cs="仿宋_GB2312" w:eastAsia="仿宋_GB2312"/>
              </w:rPr>
              <w:t>依据供应商的施工期间服务工作计划、服务承诺和合理化建议的详尽、切实、可行情况酌情得分。 备注：满分为7分。方案内容每存在1处缺陷：扣1分，扣完为止；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1、评审基准价：有效响应文件经价格扣除后的最低的最后报价为评审基准价。 2、供应商报价得分=（评审基准价／最后评审报价）×10 3、对满足价格扣除条件且在响应文件中提交了《中小企业声明函》、《残疾人福利性单位声明函》或省级以上监狱管理局、戒毒管理局（含新疆生产建设兵团）出具的属于监狱企业的证明文件的供应商，其响应报价扣除 10% 后参与评审。对于同时属于小微企业、监狱企业或残疾人福利性单位的，不重复进行响应报价扣除。</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