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版本号：ZX2024-12-3220250211004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校史馆建设项目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ZX2024-12-32</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校史馆建设项目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ZX2024-12-32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校史馆建设项目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本项目为西安航空学院校史馆建设项目，位于阎良校区图文信息中心一层东北方向位置，主入口在北侧一层东北角，校史馆建筑面积约800㎡，单层层高5.8米。项目范围包括完成项目设计和布展施工两个部分。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采购包1（校史馆建设项目）：属于专门面向中小企业采购。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1、法定代表人授权委托书：法定代表人参加投标的，须提供身份证；法定代表人授权本单位他人参加投标的，须提供法定代表人授权委托书及被授权人身份证；</w:t>
      </w:r>
    </w:p>
    <w:p>
      <w:pPr>
        <w:pStyle w:val="null3"/>
      </w:pPr>
      <w:r>
        <w:rPr>
          <w:rFonts w:ascii="仿宋_GB2312" w:hAnsi="仿宋_GB2312" w:cs="仿宋_GB2312" w:eastAsia="仿宋_GB2312"/>
        </w:rPr>
        <w:t>2、设计资质：投标人应具备工程设计综合资质甲级或建筑行业工程设计乙级及以上资质或建筑工程专业设计乙级及以上资质或建筑装饰工程设计专项乙级及以上资质；</w:t>
      </w:r>
    </w:p>
    <w:p>
      <w:pPr>
        <w:pStyle w:val="null3"/>
      </w:pPr>
      <w:r>
        <w:rPr>
          <w:rFonts w:ascii="仿宋_GB2312" w:hAnsi="仿宋_GB2312" w:cs="仿宋_GB2312" w:eastAsia="仿宋_GB2312"/>
        </w:rPr>
        <w:t>3、施工资质：投标人应具备建筑工程施工总承包三级及以上或建筑装修装饰工程专业承包资质二级及以上，且具备合格有效的安全生产许可证；</w:t>
      </w:r>
    </w:p>
    <w:p>
      <w:pPr>
        <w:pStyle w:val="null3"/>
      </w:pPr>
      <w:r>
        <w:rPr>
          <w:rFonts w:ascii="仿宋_GB2312" w:hAnsi="仿宋_GB2312" w:cs="仿宋_GB2312" w:eastAsia="仿宋_GB2312"/>
        </w:rPr>
        <w:t>4、设计负责人：投标人拟派设计负责人须具有装饰设计相关专业中级及以上职称，提供职称证书；</w:t>
      </w:r>
    </w:p>
    <w:p>
      <w:pPr>
        <w:pStyle w:val="null3"/>
      </w:pPr>
      <w:r>
        <w:rPr>
          <w:rFonts w:ascii="仿宋_GB2312" w:hAnsi="仿宋_GB2312" w:cs="仿宋_GB2312" w:eastAsia="仿宋_GB2312"/>
        </w:rPr>
        <w:t>5、施工负责人：拟派施工负责人具备建筑工程专业二级及以上注册建造师资格，具有有效的安全生产考核合格证书（建安B证），在本单位注册且提供无在建工程声明；</w:t>
      </w:r>
    </w:p>
    <w:p>
      <w:pPr>
        <w:pStyle w:val="null3"/>
      </w:pPr>
      <w:r>
        <w:rPr>
          <w:rFonts w:ascii="仿宋_GB2312" w:hAnsi="仿宋_GB2312" w:cs="仿宋_GB2312" w:eastAsia="仿宋_GB2312"/>
        </w:rPr>
        <w:t>6、不接受联合体投标，不允许分包：本项目不接受联合体投标，不允许分包。投标人提供《非联合体不分包投标声明》并进行电子签章。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029-84251559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崔文 蔡丹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采购包1保证金金额：50,012.32元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说明：（1）交纳履约保证金时的须注明项目编号及用途(履约保证金)。（2）项目验收合格后，采购人一次性无息退还5%的履约保证金。逾期退还履约保证金的违约责任：按采购人内控制度执行。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代理服务费收费标准：1、参照国家计委计价格[2002]1980号及发改办价格[2003]857号通知规定计取； 2、收款账户如下：收款单位：陕西正信招标有限公司；开户银行：中国银行股份有限公司西安四府街支行；银行账号：102460065607； 3、代理服务费按差额定率累进法计算； 4、转账备注：241232项目服务费。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踏勘时间：2025-01-25 10:00:00</w:t>
            </w:r>
          </w:p>
          <w:p>
            <w:pPr>
              <w:pStyle w:val="null3"/>
              <w:ind w:firstLine="975"/>
            </w:pPr>
            <w:r>
              <w:rPr>
                <w:rFonts w:ascii="仿宋_GB2312" w:hAnsi="仿宋_GB2312" w:cs="仿宋_GB2312" w:eastAsia="仿宋_GB2312"/>
              </w:rPr>
              <w:t>踏勘地点：西安航空学院阎良校区图文信息中心一楼（具体踏勘时间为2025年1月25日10:00至16:30，自行踏勘，过时不候）</w:t>
            </w:r>
          </w:p>
          <w:p>
            <w:pPr>
              <w:pStyle w:val="null3"/>
              <w:ind w:firstLine="975"/>
            </w:pPr>
            <w:r>
              <w:rPr>
                <w:rFonts w:ascii="仿宋_GB2312" w:hAnsi="仿宋_GB2312" w:cs="仿宋_GB2312" w:eastAsia="仿宋_GB2312"/>
              </w:rPr>
              <w:t>联系人：战老师</w:t>
            </w:r>
          </w:p>
          <w:p>
            <w:pPr>
              <w:pStyle w:val="null3"/>
              <w:ind w:firstLine="975"/>
            </w:pPr>
            <w:r>
              <w:rPr>
                <w:rFonts w:ascii="仿宋_GB2312" w:hAnsi="仿宋_GB2312" w:cs="仿宋_GB2312" w:eastAsia="仿宋_GB2312"/>
              </w:rPr>
              <w:t>联系电话号码：18629070825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胡怡洁</w:t>
      </w:r>
    </w:p>
    <w:p>
      <w:pPr>
        <w:pStyle w:val="null3"/>
      </w:pPr>
      <w:r>
        <w:rPr>
          <w:rFonts w:ascii="仿宋_GB2312" w:hAnsi="仿宋_GB2312" w:cs="仿宋_GB2312" w:eastAsia="仿宋_GB2312"/>
        </w:rPr>
        <w:t>联系电话：029-88110800转8030（邮箱：453963218@qq.com）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西安航空学院校史馆位于阎良校区图文信息中心一层东北方向位置，主入口在北侧一层东北角，校史馆建筑面积约800㎡，单层层高5.8米，项目范围包括完成项目设计和布展施工两个部分。 通过校史馆建设进一步发挥文化育人核心功能，展示学校精神风貌和办学成就，凝练学校发展历史和文化精神，增强师生对学校的归属感和认同感，打造校园文化建设新标识，进一步提升学校社会影响力。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校史馆建设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标的名称：校史馆建设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一、项目意义</w:t>
            </w:r>
          </w:p>
          <w:p>
            <w:pPr>
              <w:pStyle w:val="null3"/>
            </w:pPr>
            <w:r>
              <w:rPr>
                <w:rFonts w:ascii="仿宋_GB2312" w:hAnsi="仿宋_GB2312" w:cs="仿宋_GB2312" w:eastAsia="仿宋_GB2312"/>
              </w:rPr>
              <w:t>通过校史馆建设进一步发挥文化育人核心功能，展示学校精神风貌和办学成就，凝练学校发展历史和文化精神，增强师生对学校的归属感和认同感，打造校园文化建设新标识，进一步提升学校社会影响力。</w:t>
            </w:r>
          </w:p>
          <w:p>
            <w:pPr>
              <w:pStyle w:val="null3"/>
            </w:pPr>
            <w:r>
              <w:rPr>
                <w:rFonts w:ascii="仿宋_GB2312" w:hAnsi="仿宋_GB2312" w:cs="仿宋_GB2312" w:eastAsia="仿宋_GB2312"/>
              </w:rPr>
              <w:t>二、项目概况</w:t>
            </w:r>
          </w:p>
          <w:p>
            <w:pPr>
              <w:pStyle w:val="null3"/>
            </w:pPr>
            <w:r>
              <w:rPr>
                <w:rFonts w:ascii="仿宋_GB2312" w:hAnsi="仿宋_GB2312" w:cs="仿宋_GB2312" w:eastAsia="仿宋_GB2312"/>
              </w:rPr>
              <w:t>1.项目名称：西安航空学院校史馆建设项目</w:t>
            </w:r>
          </w:p>
          <w:p>
            <w:pPr>
              <w:pStyle w:val="null3"/>
            </w:pPr>
            <w:r>
              <w:rPr>
                <w:rFonts w:ascii="仿宋_GB2312" w:hAnsi="仿宋_GB2312" w:cs="仿宋_GB2312" w:eastAsia="仿宋_GB2312"/>
              </w:rPr>
              <w:t>2.项目地址：西安航空学院阎良校区图文信息中心一楼</w:t>
            </w:r>
          </w:p>
          <w:p>
            <w:pPr>
              <w:pStyle w:val="null3"/>
            </w:pPr>
            <w:r>
              <w:rPr>
                <w:rFonts w:ascii="仿宋_GB2312" w:hAnsi="仿宋_GB2312" w:cs="仿宋_GB2312" w:eastAsia="仿宋_GB2312"/>
              </w:rPr>
              <w:t>3.项目预算：人民币390万元，其中包含：</w:t>
            </w:r>
          </w:p>
          <w:p>
            <w:pPr>
              <w:pStyle w:val="null3"/>
            </w:pPr>
            <w:r>
              <w:rPr>
                <w:rFonts w:ascii="仿宋_GB2312" w:hAnsi="仿宋_GB2312" w:cs="仿宋_GB2312" w:eastAsia="仿宋_GB2312"/>
              </w:rPr>
              <w:t>（1）设计费（预算20万元）；</w:t>
            </w:r>
          </w:p>
          <w:p>
            <w:pPr>
              <w:pStyle w:val="null3"/>
            </w:pPr>
            <w:r>
              <w:rPr>
                <w:rFonts w:ascii="仿宋_GB2312" w:hAnsi="仿宋_GB2312" w:cs="仿宋_GB2312" w:eastAsia="仿宋_GB2312"/>
              </w:rPr>
              <w:t>（2）施工费（预算145万元）：含暂列金15万元（报价时为固定价，后期根据项目实施情况，经采购人确认后据实结算）；</w:t>
            </w:r>
          </w:p>
          <w:p>
            <w:pPr>
              <w:pStyle w:val="null3"/>
            </w:pPr>
            <w:r>
              <w:rPr>
                <w:rFonts w:ascii="仿宋_GB2312" w:hAnsi="仿宋_GB2312" w:cs="仿宋_GB2312" w:eastAsia="仿宋_GB2312"/>
              </w:rPr>
              <w:t>（3）布展费（预算220万元）；</w:t>
            </w:r>
          </w:p>
          <w:p>
            <w:pPr>
              <w:pStyle w:val="null3"/>
            </w:pPr>
            <w:r>
              <w:rPr>
                <w:rFonts w:ascii="仿宋_GB2312" w:hAnsi="仿宋_GB2312" w:cs="仿宋_GB2312" w:eastAsia="仿宋_GB2312"/>
              </w:rPr>
              <w:t>（4）外购展品费（固定价5万元）：指布展需要额外采购的书籍、证件等文化艺术品，具体由采购人确认，根据项目实施情况，经采购人确认后据实结算。</w:t>
            </w:r>
          </w:p>
          <w:p>
            <w:pPr>
              <w:pStyle w:val="null3"/>
            </w:pPr>
            <w:r>
              <w:rPr>
                <w:rFonts w:ascii="仿宋_GB2312" w:hAnsi="仿宋_GB2312" w:cs="仿宋_GB2312" w:eastAsia="仿宋_GB2312"/>
              </w:rPr>
              <w:t>三、项目范围</w:t>
            </w:r>
          </w:p>
          <w:p>
            <w:pPr>
              <w:pStyle w:val="null3"/>
            </w:pPr>
            <w:r>
              <w:rPr>
                <w:rFonts w:ascii="仿宋_GB2312" w:hAnsi="仿宋_GB2312" w:cs="仿宋_GB2312" w:eastAsia="仿宋_GB2312"/>
              </w:rPr>
              <w:t>西安航空学院校史馆位于阎良校区图文信息中心一层东北方向位置，主入口在北侧一层东北角，校史馆建筑面积约800㎡，单层层高5.8米。</w:t>
            </w:r>
          </w:p>
          <w:p>
            <w:pPr>
              <w:pStyle w:val="null3"/>
            </w:pPr>
            <w:r>
              <w:rPr>
                <w:rFonts w:ascii="仿宋_GB2312" w:hAnsi="仿宋_GB2312" w:cs="仿宋_GB2312" w:eastAsia="仿宋_GB2312"/>
              </w:rPr>
              <w:t>西安航空学院校史馆建设项目范围包括完成项目设计和施工布展两个部分。设计部分包括概念设计、脚本设计、细化设计、施工图设计等。在限定时间（30天）内，细化设计、施工图设计经学校确认后方可进入布展施工阶段。布展施工部分包括但不限于室内装修改造工程、陈列展览、布展配套、设备安装及系统集成、进出口大门及门牌设计安装等，具体以审定后的施工图为准。完成本项目陈列展览所涉及的展览音视频资料以及相关数据、图片的采集、翻拍，软件开发、视频及影像制作、硬件采购及安装维护、辅助展品制作及采购、专业展柜、专业照明系统定制安装、调试等。</w:t>
            </w:r>
          </w:p>
          <w:p>
            <w:pPr>
              <w:pStyle w:val="null3"/>
            </w:pPr>
            <w:r>
              <w:rPr>
                <w:rFonts w:ascii="仿宋_GB2312" w:hAnsi="仿宋_GB2312" w:cs="仿宋_GB2312" w:eastAsia="仿宋_GB2312"/>
              </w:rPr>
              <w:t>本项目为交钥匙工程，项目实施全过程须接受采购人跟踪审计。</w:t>
            </w:r>
          </w:p>
          <w:p>
            <w:pPr>
              <w:pStyle w:val="null3"/>
            </w:pPr>
            <w:r>
              <w:drawing>
                <wp:inline distT="0" distR="0" distB="0" distL="0">
                  <wp:extent cx="1181100" cy="217469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2174693"/>
                          </a:xfrm>
                          <a:prstGeom prst="rect">
                            <a:avLst/>
                          </a:prstGeom>
                        </pic:spPr>
                      </pic:pic>
                    </a:graphicData>
                  </a:graphic>
                </wp:inline>
              </w:drawing>
            </w:r>
          </w:p>
          <w:p>
            <w:pPr>
              <w:pStyle w:val="null3"/>
            </w:pPr>
            <w:r>
              <w:rPr>
                <w:rFonts w:ascii="仿宋_GB2312" w:hAnsi="仿宋_GB2312" w:cs="仿宋_GB2312" w:eastAsia="仿宋_GB2312"/>
              </w:rPr>
              <w:t>四、项目内容</w:t>
            </w:r>
          </w:p>
          <w:p>
            <w:pPr>
              <w:pStyle w:val="null3"/>
            </w:pPr>
            <w:r>
              <w:rPr>
                <w:rFonts w:ascii="仿宋_GB2312" w:hAnsi="仿宋_GB2312" w:cs="仿宋_GB2312" w:eastAsia="仿宋_GB2312"/>
              </w:rPr>
              <w:t>基于项目需求说明、项目预算，完成校史馆设计方案、布展基础装修改造、室内展陈布置等内容，需有浮雕墙、场景还原、沙盘、多媒体及声光电设备、空调通风设施、电子监控、数字校史馆等。具体包含：</w:t>
            </w:r>
          </w:p>
          <w:p>
            <w:pPr>
              <w:pStyle w:val="null3"/>
            </w:pPr>
            <w:r>
              <w:rPr>
                <w:rFonts w:ascii="仿宋_GB2312" w:hAnsi="仿宋_GB2312" w:cs="仿宋_GB2312" w:eastAsia="仿宋_GB2312"/>
              </w:rPr>
              <w:t>1.校史馆所有空间整体和局部设计。</w:t>
            </w:r>
          </w:p>
          <w:p>
            <w:pPr>
              <w:pStyle w:val="null3"/>
            </w:pPr>
            <w:r>
              <w:rPr>
                <w:rFonts w:ascii="仿宋_GB2312" w:hAnsi="仿宋_GB2312" w:cs="仿宋_GB2312" w:eastAsia="仿宋_GB2312"/>
              </w:rPr>
              <w:t>2.校史馆主次入口大门、地面、墙体、天花板和内部空间装修装饰。</w:t>
            </w:r>
          </w:p>
          <w:p>
            <w:pPr>
              <w:pStyle w:val="null3"/>
            </w:pPr>
            <w:r>
              <w:rPr>
                <w:rFonts w:ascii="仿宋_GB2312" w:hAnsi="仿宋_GB2312" w:cs="仿宋_GB2312" w:eastAsia="仿宋_GB2312"/>
              </w:rPr>
              <w:t>3.校史馆布展所需的文字、图片的设计、制作、安装、布展。</w:t>
            </w:r>
          </w:p>
          <w:p>
            <w:pPr>
              <w:pStyle w:val="null3"/>
            </w:pPr>
            <w:r>
              <w:rPr>
                <w:rFonts w:ascii="仿宋_GB2312" w:hAnsi="仿宋_GB2312" w:cs="仿宋_GB2312" w:eastAsia="仿宋_GB2312"/>
              </w:rPr>
              <w:t>4.实物（包括展柜、展板、标识项目、展品装饰等）的设计、制作、购置、布展，以及部分纸质文件和证书实物档案仿制品的设计和制作。</w:t>
            </w:r>
          </w:p>
          <w:p>
            <w:pPr>
              <w:pStyle w:val="null3"/>
            </w:pPr>
            <w:r>
              <w:rPr>
                <w:rFonts w:ascii="仿宋_GB2312" w:hAnsi="仿宋_GB2312" w:cs="仿宋_GB2312" w:eastAsia="仿宋_GB2312"/>
              </w:rPr>
              <w:t>5.讲解设备的设计、购置和安装。</w:t>
            </w:r>
          </w:p>
          <w:p>
            <w:pPr>
              <w:pStyle w:val="null3"/>
            </w:pPr>
            <w:r>
              <w:rPr>
                <w:rFonts w:ascii="仿宋_GB2312" w:hAnsi="仿宋_GB2312" w:cs="仿宋_GB2312" w:eastAsia="仿宋_GB2312"/>
              </w:rPr>
              <w:t>6.校史馆多媒体展示所需的软硬件设备设计、购置，展示内容编辑制作、布展。</w:t>
            </w:r>
          </w:p>
          <w:p>
            <w:pPr>
              <w:pStyle w:val="null3"/>
            </w:pPr>
            <w:r>
              <w:rPr>
                <w:rFonts w:ascii="仿宋_GB2312" w:hAnsi="仿宋_GB2312" w:cs="仿宋_GB2312" w:eastAsia="仿宋_GB2312"/>
              </w:rPr>
              <w:t>7.校史馆室内基础灯具、展览用专业照明灯具。</w:t>
            </w:r>
          </w:p>
          <w:p>
            <w:pPr>
              <w:pStyle w:val="null3"/>
            </w:pPr>
            <w:r>
              <w:rPr>
                <w:rFonts w:ascii="仿宋_GB2312" w:hAnsi="仿宋_GB2312" w:cs="仿宋_GB2312" w:eastAsia="仿宋_GB2312"/>
              </w:rPr>
              <w:t>8.校史馆网络和智能设备管理系统（投影机、LED显示屏、一体机、功放、扬声器、播放器、灯光等设备，在本地或远程集中管理设备，由设备软件和硬件配合完成，实现对展馆的智能化、无人化及一键式中控管理）的设计、制作、购置、安装等。</w:t>
            </w:r>
          </w:p>
          <w:p>
            <w:pPr>
              <w:pStyle w:val="null3"/>
            </w:pPr>
            <w:r>
              <w:rPr>
                <w:rFonts w:ascii="仿宋_GB2312" w:hAnsi="仿宋_GB2312" w:cs="仿宋_GB2312" w:eastAsia="仿宋_GB2312"/>
              </w:rPr>
              <w:t>9.互动体验等新技术包括但不限于：启动新媒体背景下的场景模拟、影像视频、光电声营造氛围等高科技、人性化元素在展陈与公共服务中的应用。</w:t>
            </w:r>
          </w:p>
          <w:p>
            <w:pPr>
              <w:pStyle w:val="null3"/>
            </w:pPr>
            <w:r>
              <w:rPr>
                <w:rFonts w:ascii="仿宋_GB2312" w:hAnsi="仿宋_GB2312" w:cs="仿宋_GB2312" w:eastAsia="仿宋_GB2312"/>
              </w:rPr>
              <w:t>10.安防设施：配置消防安全设施、智能监控设施。</w:t>
            </w:r>
          </w:p>
          <w:p>
            <w:pPr>
              <w:pStyle w:val="null3"/>
            </w:pPr>
            <w:r>
              <w:rPr>
                <w:rFonts w:ascii="仿宋_GB2312" w:hAnsi="仿宋_GB2312" w:cs="仿宋_GB2312" w:eastAsia="仿宋_GB2312"/>
              </w:rPr>
              <w:t>11.项目设计与实施过程中产生的技术资料和图纸的归档管理，以及文件档案的移交。</w:t>
            </w:r>
          </w:p>
          <w:p>
            <w:pPr>
              <w:pStyle w:val="null3"/>
            </w:pPr>
            <w:r>
              <w:rPr>
                <w:rFonts w:ascii="仿宋_GB2312" w:hAnsi="仿宋_GB2312" w:cs="仿宋_GB2312" w:eastAsia="仿宋_GB2312"/>
              </w:rPr>
              <w:t>五、展厅框架</w:t>
            </w:r>
          </w:p>
          <w:p>
            <w:pPr>
              <w:pStyle w:val="null3"/>
            </w:pPr>
            <w:r>
              <w:rPr>
                <w:rFonts w:ascii="仿宋_GB2312" w:hAnsi="仿宋_GB2312" w:cs="仿宋_GB2312" w:eastAsia="仿宋_GB2312"/>
              </w:rPr>
              <w:t>以“立德树人、航空报国”为主题，在全方位、多角度、多样化展示学校办学历程的基础上，围绕学校党建、学科、教学、科研、育人等中心工作，重点展示学校党的领导、人才培养、教育教学、队伍建设、科学研究、社会服务等方面的工作实绩和亮点。</w:t>
            </w:r>
          </w:p>
          <w:p>
            <w:pPr>
              <w:pStyle w:val="null3"/>
            </w:pPr>
            <w:r>
              <w:rPr>
                <w:rFonts w:ascii="仿宋_GB2312" w:hAnsi="仿宋_GB2312" w:cs="仿宋_GB2312" w:eastAsia="仿宋_GB2312"/>
              </w:rPr>
              <w:t>校史馆拟分为三个部分，分别是序厅、主展厅和尾厅（以最终设计方案为准）。</w:t>
            </w:r>
          </w:p>
          <w:p>
            <w:pPr>
              <w:pStyle w:val="null3"/>
            </w:pPr>
            <w:r>
              <w:rPr>
                <w:rFonts w:ascii="仿宋_GB2312" w:hAnsi="仿宋_GB2312" w:cs="仿宋_GB2312" w:eastAsia="仿宋_GB2312"/>
              </w:rPr>
              <w:t>1.序厅</w:t>
            </w:r>
          </w:p>
          <w:p>
            <w:pPr>
              <w:pStyle w:val="null3"/>
            </w:pPr>
            <w:r>
              <w:rPr>
                <w:rFonts w:ascii="仿宋_GB2312" w:hAnsi="仿宋_GB2312" w:cs="仿宋_GB2312" w:eastAsia="仿宋_GB2312"/>
              </w:rPr>
              <w:t>通过主题影片、艺术造型等展示形式，融入校训、学校精神等文化符号，高度概括展示西安航空学院建校以来厚重的历史沉淀、办学特色和精神文化。</w:t>
            </w:r>
          </w:p>
          <w:p>
            <w:pPr>
              <w:pStyle w:val="null3"/>
            </w:pPr>
            <w:r>
              <w:rPr>
                <w:rFonts w:ascii="仿宋_GB2312" w:hAnsi="仿宋_GB2312" w:cs="仿宋_GB2312" w:eastAsia="仿宋_GB2312"/>
              </w:rPr>
              <w:t>2.主展厅</w:t>
            </w:r>
          </w:p>
          <w:p>
            <w:pPr>
              <w:pStyle w:val="null3"/>
            </w:pPr>
            <w:r>
              <w:rPr>
                <w:rFonts w:ascii="仿宋_GB2312" w:hAnsi="仿宋_GB2312" w:cs="仿宋_GB2312" w:eastAsia="仿宋_GB2312"/>
              </w:rPr>
              <w:t>主展厅拟划分为学校历程区、办学成就区、未来建设区三个部分。</w:t>
            </w:r>
          </w:p>
          <w:p>
            <w:pPr>
              <w:pStyle w:val="null3"/>
            </w:pPr>
            <w:r>
              <w:rPr>
                <w:rFonts w:ascii="仿宋_GB2312" w:hAnsi="仿宋_GB2312" w:cs="仿宋_GB2312" w:eastAsia="仿宋_GB2312"/>
              </w:rPr>
              <w:t>学校历程区主要展现学校不同历史时期建校创业、改革发展的奋进历程，突出学校重大事件和重要历史节点；办学成就区主要展现学校坚持社会主义办学方向，践行立德树人根本任务，多年来在人才培养、科学研究、社会服务、文化传承与创新、国际交流与合作等方面取得的成就和亮点，在校区建设、专业建设、产教融合、协同育人等方面的成绩特色，同时提供对学校历届校友的查询服务和对优秀校友的展示；未来建设区主要展示学校继往开来，锐意进取的精神面貌，描绘学校未来发展前景规划，展现西航人的初心和壮志。</w:t>
            </w:r>
          </w:p>
          <w:p>
            <w:pPr>
              <w:pStyle w:val="null3"/>
            </w:pPr>
            <w:r>
              <w:rPr>
                <w:rFonts w:ascii="仿宋_GB2312" w:hAnsi="仿宋_GB2312" w:cs="仿宋_GB2312" w:eastAsia="仿宋_GB2312"/>
              </w:rPr>
              <w:t>3.尾厅</w:t>
            </w:r>
          </w:p>
          <w:p>
            <w:pPr>
              <w:pStyle w:val="null3"/>
            </w:pPr>
            <w:r>
              <w:rPr>
                <w:rFonts w:ascii="仿宋_GB2312" w:hAnsi="仿宋_GB2312" w:cs="仿宋_GB2312" w:eastAsia="仿宋_GB2312"/>
              </w:rPr>
              <w:t>通过设立互动体验区、文创纪念区等，增强参观者的情感认同，进一步增加学校社会知名度和影响力。</w:t>
            </w:r>
          </w:p>
          <w:p>
            <w:pPr>
              <w:pStyle w:val="null3"/>
            </w:pPr>
            <w:r>
              <w:rPr>
                <w:rFonts w:ascii="仿宋_GB2312" w:hAnsi="仿宋_GB2312" w:cs="仿宋_GB2312" w:eastAsia="仿宋_GB2312"/>
              </w:rPr>
              <w:t>六、设计要求</w:t>
            </w:r>
          </w:p>
          <w:p>
            <w:pPr>
              <w:pStyle w:val="null3"/>
            </w:pPr>
            <w:r>
              <w:rPr>
                <w:rFonts w:ascii="仿宋_GB2312" w:hAnsi="仿宋_GB2312" w:cs="仿宋_GB2312" w:eastAsia="仿宋_GB2312"/>
              </w:rPr>
              <w:t>校史馆是展示学校发展的历史和成就，传承和弘扬学校文化的重要载体，是学校德育和人文教育的基地，对提高学校师生对学校的认同感，增强学校凝聚力，加强对外宣传和扩大社会影响力有着不可替代的作用。</w:t>
            </w:r>
          </w:p>
          <w:p>
            <w:pPr>
              <w:pStyle w:val="null3"/>
            </w:pPr>
            <w:r>
              <w:rPr>
                <w:rFonts w:ascii="仿宋_GB2312" w:hAnsi="仿宋_GB2312" w:cs="仿宋_GB2312" w:eastAsia="仿宋_GB2312"/>
              </w:rPr>
              <w:t>校史馆设计的具体要求如下：</w:t>
            </w:r>
          </w:p>
          <w:p>
            <w:pPr>
              <w:pStyle w:val="null3"/>
            </w:pPr>
            <w:r>
              <w:rPr>
                <w:rFonts w:ascii="仿宋_GB2312" w:hAnsi="仿宋_GB2312" w:cs="仿宋_GB2312" w:eastAsia="仿宋_GB2312"/>
              </w:rPr>
              <w:t>1.校史馆的设计风格庄重大气、简洁高雅，着力凸显校史特色。</w:t>
            </w:r>
          </w:p>
          <w:p>
            <w:pPr>
              <w:pStyle w:val="null3"/>
            </w:pPr>
            <w:r>
              <w:rPr>
                <w:rFonts w:ascii="仿宋_GB2312" w:hAnsi="仿宋_GB2312" w:cs="仿宋_GB2312" w:eastAsia="仿宋_GB2312"/>
              </w:rPr>
              <w:t>2.根据不同的展览内容，设计对应风格的布展及合理展陈手法，同时注意各个空间的联系，确保展陈视觉效果协调、统一，室内装饰工程力求达到绿色建筑室内装饰装修评价标准。</w:t>
            </w:r>
          </w:p>
          <w:p>
            <w:pPr>
              <w:pStyle w:val="null3"/>
            </w:pPr>
            <w:r>
              <w:rPr>
                <w:rFonts w:ascii="仿宋_GB2312" w:hAnsi="仿宋_GB2312" w:cs="仿宋_GB2312" w:eastAsia="仿宋_GB2312"/>
              </w:rPr>
              <w:t>3.关于展线设计：展厅内部合理化阅读流线，确保流线安排合理，引导性强，符合消防等基本需求。</w:t>
            </w:r>
          </w:p>
          <w:p>
            <w:pPr>
              <w:pStyle w:val="null3"/>
            </w:pPr>
            <w:r>
              <w:rPr>
                <w:rFonts w:ascii="仿宋_GB2312" w:hAnsi="仿宋_GB2312" w:cs="仿宋_GB2312" w:eastAsia="仿宋_GB2312"/>
              </w:rPr>
              <w:t>4.校史馆是校史陈列场所，布展设计应以校史内容展陈为中心，全方位、多视角展示西安航空学院的办学历史、办学特色，反映出学校建校70年来“缘航空而生、依航空而立、随航空而动”走过的悠久历史、铸就的航空特色、取得的辉煌成就。凸显学校“德能日新 刚健有为”的校训精神。</w:t>
            </w:r>
          </w:p>
          <w:p>
            <w:pPr>
              <w:pStyle w:val="null3"/>
            </w:pPr>
            <w:r>
              <w:rPr>
                <w:rFonts w:ascii="仿宋_GB2312" w:hAnsi="仿宋_GB2312" w:cs="仿宋_GB2312" w:eastAsia="仿宋_GB2312"/>
              </w:rPr>
              <w:t>5.展览要主题鲜明、脉络清晰，各个时期、各个专题的“亮点”突出、特色明显，具有较强的知识性、教育性、艺术性和观赏性。</w:t>
            </w:r>
          </w:p>
          <w:p>
            <w:pPr>
              <w:pStyle w:val="null3"/>
            </w:pPr>
            <w:r>
              <w:rPr>
                <w:rFonts w:ascii="仿宋_GB2312" w:hAnsi="仿宋_GB2312" w:cs="仿宋_GB2312" w:eastAsia="仿宋_GB2312"/>
              </w:rPr>
              <w:t>6.设计应多维度塑造展示空间，将校史以文化艺术的形式展现出来，融合学校自身历史文化、地域文化、时代元素，使整个展馆具有浓厚的历史文化氛围。</w:t>
            </w:r>
          </w:p>
          <w:p>
            <w:pPr>
              <w:pStyle w:val="null3"/>
            </w:pPr>
            <w:r>
              <w:rPr>
                <w:rFonts w:ascii="仿宋_GB2312" w:hAnsi="仿宋_GB2312" w:cs="仿宋_GB2312" w:eastAsia="仿宋_GB2312"/>
              </w:rPr>
              <w:t>7.根据展陈内容合理利用声、光、电等现代化手段。本馆建设拟采用多媒体系统进行内容延展，设计应考虑多媒体系统的空间布置。多媒体硬件系统大体包括：触摸屏、环形屏幕投影视听设备、多媒体视频播放等。</w:t>
            </w:r>
          </w:p>
          <w:p>
            <w:pPr>
              <w:pStyle w:val="null3"/>
            </w:pPr>
            <w:r>
              <w:rPr>
                <w:rFonts w:ascii="仿宋_GB2312" w:hAnsi="仿宋_GB2312" w:cs="仿宋_GB2312" w:eastAsia="仿宋_GB2312"/>
              </w:rPr>
              <w:t>8.校史馆以图文展板、展橱、展柜、模型、雕塑、浮雕、场景还原、艺术造型墙、多媒体技术、沙盘、实物等形式为主。布展耗材要符合节能环保要求；展板内容应易于更换和增减，局部可变或可拆卸。展板大小根据内容展示决定，重要图表单独成板，图片如若集中，应作灵活性布置；展橱、展柜、展台的设计，应考虑便于保护陈设与更换增减，为后期增设预留空间；模型、雕塑设计、实物陈设等应与展板相呼应。</w:t>
            </w:r>
          </w:p>
          <w:p>
            <w:pPr>
              <w:pStyle w:val="null3"/>
            </w:pPr>
            <w:r>
              <w:rPr>
                <w:rFonts w:ascii="仿宋_GB2312" w:hAnsi="仿宋_GB2312" w:cs="仿宋_GB2312" w:eastAsia="仿宋_GB2312"/>
              </w:rPr>
              <w:t>七、布展施工要求</w:t>
            </w:r>
          </w:p>
          <w:p>
            <w:pPr>
              <w:pStyle w:val="null3"/>
            </w:pPr>
            <w:r>
              <w:rPr>
                <w:rFonts w:ascii="仿宋_GB2312" w:hAnsi="仿宋_GB2312" w:cs="仿宋_GB2312" w:eastAsia="仿宋_GB2312"/>
              </w:rPr>
              <w:t>1.环境装饰实施要求</w:t>
            </w:r>
          </w:p>
          <w:p>
            <w:pPr>
              <w:pStyle w:val="null3"/>
            </w:pPr>
            <w:r>
              <w:rPr>
                <w:rFonts w:ascii="仿宋_GB2312" w:hAnsi="仿宋_GB2312" w:cs="仿宋_GB2312" w:eastAsia="仿宋_GB2312"/>
              </w:rPr>
              <w:t>（1）结构部分</w:t>
            </w:r>
          </w:p>
          <w:p>
            <w:pPr>
              <w:pStyle w:val="null3"/>
            </w:pPr>
            <w:r>
              <w:rPr>
                <w:rFonts w:ascii="仿宋_GB2312" w:hAnsi="仿宋_GB2312" w:cs="仿宋_GB2312" w:eastAsia="仿宋_GB2312"/>
              </w:rPr>
              <w:t xml:space="preserve"> ①应满足本项目的要求，材料、结构和安装方式应科学、环保。</w:t>
            </w:r>
          </w:p>
          <w:p>
            <w:pPr>
              <w:pStyle w:val="null3"/>
            </w:pPr>
            <w:r>
              <w:rPr>
                <w:rFonts w:ascii="仿宋_GB2312" w:hAnsi="仿宋_GB2312" w:cs="仿宋_GB2312" w:eastAsia="仿宋_GB2312"/>
              </w:rPr>
              <w:t xml:space="preserve"> ②布展应确保安全可靠，结构合理、并保证其强度、稳定性和可靠性达到要求；符合场馆结构负荷要求。</w:t>
            </w:r>
          </w:p>
          <w:p>
            <w:pPr>
              <w:pStyle w:val="null3"/>
            </w:pPr>
            <w:r>
              <w:rPr>
                <w:rFonts w:ascii="仿宋_GB2312" w:hAnsi="仿宋_GB2312" w:cs="仿宋_GB2312" w:eastAsia="仿宋_GB2312"/>
              </w:rPr>
              <w:t xml:space="preserve"> ③布展的结构完善应与展示主题以及各展项的展示设计要求相结合。</w:t>
            </w:r>
          </w:p>
          <w:p>
            <w:pPr>
              <w:pStyle w:val="null3"/>
            </w:pPr>
            <w:r>
              <w:rPr>
                <w:rFonts w:ascii="仿宋_GB2312" w:hAnsi="仿宋_GB2312" w:cs="仿宋_GB2312" w:eastAsia="仿宋_GB2312"/>
              </w:rPr>
              <w:t xml:space="preserve"> ④对有声光电展项遮光要求的互动展项，应有隔音、吸声和遮光措施。</w:t>
            </w:r>
          </w:p>
          <w:p>
            <w:pPr>
              <w:pStyle w:val="null3"/>
            </w:pPr>
            <w:r>
              <w:rPr>
                <w:rFonts w:ascii="仿宋_GB2312" w:hAnsi="仿宋_GB2312" w:cs="仿宋_GB2312" w:eastAsia="仿宋_GB2312"/>
              </w:rPr>
              <w:t xml:space="preserve"> ⑤对投入使用的展柜要结合展品陈列的需要运用一些保护措施系统，例如微环境、专业灯具、锁具、定制配件等。</w:t>
            </w:r>
          </w:p>
          <w:p>
            <w:pPr>
              <w:pStyle w:val="null3"/>
            </w:pPr>
            <w:r>
              <w:rPr>
                <w:rFonts w:ascii="仿宋_GB2312" w:hAnsi="仿宋_GB2312" w:cs="仿宋_GB2312" w:eastAsia="仿宋_GB2312"/>
              </w:rPr>
              <w:t>（2）材料部分</w:t>
            </w:r>
          </w:p>
          <w:p>
            <w:pPr>
              <w:pStyle w:val="null3"/>
            </w:pPr>
            <w:r>
              <w:rPr>
                <w:rFonts w:ascii="仿宋_GB2312" w:hAnsi="仿宋_GB2312" w:cs="仿宋_GB2312" w:eastAsia="仿宋_GB2312"/>
              </w:rPr>
              <w:t xml:space="preserve"> ①展馆内布展材料的品种、规格、性能应符合国家现行有关标准的规定。</w:t>
            </w:r>
          </w:p>
          <w:p>
            <w:pPr>
              <w:pStyle w:val="null3"/>
            </w:pPr>
            <w:r>
              <w:rPr>
                <w:rFonts w:ascii="仿宋_GB2312" w:hAnsi="仿宋_GB2312" w:cs="仿宋_GB2312" w:eastAsia="仿宋_GB2312"/>
              </w:rPr>
              <w:t xml:space="preserve"> ②严禁使用国家明令淘汰的材料。</w:t>
            </w:r>
          </w:p>
          <w:p>
            <w:pPr>
              <w:pStyle w:val="null3"/>
            </w:pPr>
            <w:r>
              <w:rPr>
                <w:rFonts w:ascii="仿宋_GB2312" w:hAnsi="仿宋_GB2312" w:cs="仿宋_GB2312" w:eastAsia="仿宋_GB2312"/>
              </w:rPr>
              <w:t xml:space="preserve"> ③一律选用符合防火要求的阻燃和难燃材料，按照建筑防火规范选用符合防火等级的材料。</w:t>
            </w:r>
          </w:p>
          <w:p>
            <w:pPr>
              <w:pStyle w:val="null3"/>
            </w:pPr>
            <w:r>
              <w:rPr>
                <w:rFonts w:ascii="仿宋_GB2312" w:hAnsi="仿宋_GB2312" w:cs="仿宋_GB2312" w:eastAsia="仿宋_GB2312"/>
              </w:rPr>
              <w:t xml:space="preserve"> ④材料在 2 年内不得出现变质，表面装饰涂覆材料至少2年内不得出现褪变色。</w:t>
            </w:r>
          </w:p>
          <w:p>
            <w:pPr>
              <w:pStyle w:val="null3"/>
            </w:pPr>
            <w:r>
              <w:rPr>
                <w:rFonts w:ascii="仿宋_GB2312" w:hAnsi="仿宋_GB2312" w:cs="仿宋_GB2312" w:eastAsia="仿宋_GB2312"/>
              </w:rPr>
              <w:t xml:space="preserve"> ⑤有放射和电磁辐射的用材要符合国家防护规定。</w:t>
            </w:r>
          </w:p>
          <w:p>
            <w:pPr>
              <w:pStyle w:val="null3"/>
            </w:pPr>
            <w:r>
              <w:rPr>
                <w:rFonts w:ascii="仿宋_GB2312" w:hAnsi="仿宋_GB2312" w:cs="仿宋_GB2312" w:eastAsia="仿宋_GB2312"/>
              </w:rPr>
              <w:t xml:space="preserve"> ⑥使用的各种材料不得对环境和人员造成污染和伤害，其所含有害物质溢出量不能高于国家规定的标准。符合国家有关环保节能标准要求，使用环保节能材料。</w:t>
            </w:r>
          </w:p>
          <w:p>
            <w:pPr>
              <w:pStyle w:val="null3"/>
            </w:pPr>
            <w:r>
              <w:rPr>
                <w:rFonts w:ascii="仿宋_GB2312" w:hAnsi="仿宋_GB2312" w:cs="仿宋_GB2312" w:eastAsia="仿宋_GB2312"/>
              </w:rPr>
              <w:t>（3）电气部分</w:t>
            </w:r>
          </w:p>
          <w:p>
            <w:pPr>
              <w:pStyle w:val="null3"/>
            </w:pPr>
            <w:r>
              <w:rPr>
                <w:rFonts w:ascii="仿宋_GB2312" w:hAnsi="仿宋_GB2312" w:cs="仿宋_GB2312" w:eastAsia="仿宋_GB2312"/>
              </w:rPr>
              <w:t xml:space="preserve"> ①电路走线规范，保证安全距离或设置合乎标准的阻燃隔离层，对走线易损部位采取特别保护措施,线径截面容量满足使用要求。</w:t>
            </w:r>
          </w:p>
          <w:p>
            <w:pPr>
              <w:pStyle w:val="null3"/>
            </w:pPr>
            <w:r>
              <w:rPr>
                <w:rFonts w:ascii="仿宋_GB2312" w:hAnsi="仿宋_GB2312" w:cs="仿宋_GB2312" w:eastAsia="仿宋_GB2312"/>
              </w:rPr>
              <w:t xml:space="preserve"> ②综合布线系统电源、防护及接地的设计要符合 GB/T50311 的规定。</w:t>
            </w:r>
          </w:p>
          <w:p>
            <w:pPr>
              <w:pStyle w:val="null3"/>
            </w:pPr>
            <w:r>
              <w:rPr>
                <w:rFonts w:ascii="仿宋_GB2312" w:hAnsi="仿宋_GB2312" w:cs="仿宋_GB2312" w:eastAsia="仿宋_GB2312"/>
              </w:rPr>
              <w:t xml:space="preserve"> ③布线系统材料应选用相应的阻燃型护套线缆和阻燃型配线设备。</w:t>
            </w:r>
          </w:p>
          <w:p>
            <w:pPr>
              <w:pStyle w:val="null3"/>
            </w:pPr>
            <w:r>
              <w:rPr>
                <w:rFonts w:ascii="仿宋_GB2312" w:hAnsi="仿宋_GB2312" w:cs="仿宋_GB2312" w:eastAsia="仿宋_GB2312"/>
              </w:rPr>
              <w:t xml:space="preserve"> ④配电箱的壳体和地板宜采用A级材料制作。配电箱不得安装在 B2级以下（含B2级）的装修材料上。开关、插座应安装在B1级以上的材料上。</w:t>
            </w:r>
          </w:p>
          <w:p>
            <w:pPr>
              <w:pStyle w:val="null3"/>
            </w:pPr>
            <w:r>
              <w:rPr>
                <w:rFonts w:ascii="仿宋_GB2312" w:hAnsi="仿宋_GB2312" w:cs="仿宋_GB2312" w:eastAsia="仿宋_GB2312"/>
              </w:rPr>
              <w:t xml:space="preserve"> ⑤线路敷设要求美观整齐、合理，原则暗敷，明敷塑料导线应穿管或加线槽板保护，吊顶内的导线应穿金属管保护，导线不得裸露。</w:t>
            </w:r>
          </w:p>
          <w:p>
            <w:pPr>
              <w:pStyle w:val="null3"/>
            </w:pPr>
            <w:r>
              <w:rPr>
                <w:rFonts w:ascii="仿宋_GB2312" w:hAnsi="仿宋_GB2312" w:cs="仿宋_GB2312" w:eastAsia="仿宋_GB2312"/>
              </w:rPr>
              <w:t xml:space="preserve"> ⑥满足《电气工程安装标准》的规定。</w:t>
            </w:r>
          </w:p>
          <w:p>
            <w:pPr>
              <w:pStyle w:val="null3"/>
            </w:pPr>
            <w:r>
              <w:rPr>
                <w:rFonts w:ascii="仿宋_GB2312" w:hAnsi="仿宋_GB2312" w:cs="仿宋_GB2312" w:eastAsia="仿宋_GB2312"/>
              </w:rPr>
              <w:t>（4）灯光的使用</w:t>
            </w:r>
          </w:p>
          <w:p>
            <w:pPr>
              <w:pStyle w:val="null3"/>
            </w:pPr>
            <w:r>
              <w:rPr>
                <w:rFonts w:ascii="仿宋_GB2312" w:hAnsi="仿宋_GB2312" w:cs="仿宋_GB2312" w:eastAsia="仿宋_GB2312"/>
              </w:rPr>
              <w:t xml:space="preserve"> ①必须运用展馆专业光源，结合整体设计方案的需要达到层次分明，分布合理，效果突出；必须达到使用的照明照度要求。</w:t>
            </w:r>
          </w:p>
          <w:p>
            <w:pPr>
              <w:pStyle w:val="null3"/>
            </w:pPr>
            <w:r>
              <w:rPr>
                <w:rFonts w:ascii="仿宋_GB2312" w:hAnsi="仿宋_GB2312" w:cs="仿宋_GB2312" w:eastAsia="仿宋_GB2312"/>
              </w:rPr>
              <w:t xml:space="preserve"> ②分功能区域、结合使用要求分段设置开关控制，须考虑按照不同使用模式设计控制。</w:t>
            </w:r>
          </w:p>
          <w:p>
            <w:pPr>
              <w:pStyle w:val="null3"/>
            </w:pPr>
            <w:r>
              <w:rPr>
                <w:rFonts w:ascii="仿宋_GB2312" w:hAnsi="仿宋_GB2312" w:cs="仿宋_GB2312" w:eastAsia="仿宋_GB2312"/>
              </w:rPr>
              <w:t xml:space="preserve"> ③使用节能环保、寿命长灯具，从展品保护方面考虑必须使用无紫外线辐射、冷光源的节能灯具，且达到角度可调、方便维护等最低标准。</w:t>
            </w:r>
          </w:p>
          <w:p>
            <w:pPr>
              <w:pStyle w:val="null3"/>
            </w:pPr>
            <w:r>
              <w:rPr>
                <w:rFonts w:ascii="仿宋_GB2312" w:hAnsi="仿宋_GB2312" w:cs="仿宋_GB2312" w:eastAsia="仿宋_GB2312"/>
              </w:rPr>
              <w:t>2. 项目实施材料及相关采购要求：</w:t>
            </w:r>
          </w:p>
          <w:p>
            <w:pPr>
              <w:pStyle w:val="null3"/>
            </w:pPr>
            <w:r>
              <w:rPr>
                <w:rFonts w:ascii="仿宋_GB2312" w:hAnsi="仿宋_GB2312" w:cs="仿宋_GB2312" w:eastAsia="仿宋_GB2312"/>
              </w:rPr>
              <w:t>（1）本项目实施过程中涉及的主要材料参考以下要求：（以下为参考品牌或厂家，投标人可选用性能技术指标相当于同档次品牌或厂家的产品，其他材料进场需经认可和确认）。</w:t>
            </w:r>
          </w:p>
          <w:p>
            <w:pPr>
              <w:pStyle w:val="null3"/>
            </w:pPr>
            <w:r>
              <w:rPr>
                <w:rFonts w:ascii="仿宋_GB2312" w:hAnsi="仿宋_GB2312" w:cs="仿宋_GB2312" w:eastAsia="仿宋_GB2312"/>
              </w:rPr>
              <w:t>乳胶漆：参考品牌为三棵树、立邦、多乐士；镜面不锈钢：参考1.2mm厚度；铝板：参考2mm厚度；灯具：参考品牌为雷士、三雄极光、欧普；开关/插座：参考品牌为施耐德/西门子/ABB；接线盒/线管：参考品牌为申捷、联盟、鸿雁；电线、电缆：参考品牌为上上、起帆、正泰；开关面板：参考品牌为雷士/欧普/三雄极光；地面塑胶：3.0mm,参考品牌为大巨龙、LG、阿姆斯壮；全彩LED：参考品牌为强力巨彩；投影仪：8000流明，参考品牌为松下、索尼；触摸一体机：参考品牌为LG；拼接屏：参考品牌为LG、三星。</w:t>
            </w:r>
          </w:p>
          <w:p>
            <w:pPr>
              <w:pStyle w:val="null3"/>
            </w:pPr>
            <w:r>
              <w:rPr>
                <w:rFonts w:ascii="仿宋_GB2312" w:hAnsi="仿宋_GB2312" w:cs="仿宋_GB2312" w:eastAsia="仿宋_GB2312"/>
              </w:rPr>
              <w:t>（2）项目相关采购要求</w:t>
            </w:r>
          </w:p>
          <w:p>
            <w:pPr>
              <w:pStyle w:val="null3"/>
            </w:pPr>
            <w:r>
              <w:rPr>
                <w:rFonts w:ascii="仿宋_GB2312" w:hAnsi="仿宋_GB2312" w:cs="仿宋_GB2312" w:eastAsia="仿宋_GB2312"/>
              </w:rPr>
              <w:t>投标人设计方案必须包括且不限于以下采购清单，具体数量及其他展项内容投标人可自行设计。</w:t>
            </w:r>
          </w:p>
          <w:tbl>
            <w:tblPr>
              <w:tblBorders>
                <w:top w:val="single"/>
                <w:left w:val="single"/>
                <w:bottom w:val="single"/>
                <w:right w:val="single"/>
                <w:insideH w:val="single"/>
                <w:insideV w:val="single"/>
              </w:tblBorders>
            </w:tblPr>
            <w:tblGrid>
              <w:gridCol w:w="266"/>
              <w:gridCol w:w="266"/>
              <w:gridCol w:w="266"/>
              <w:gridCol w:w="266"/>
              <w:gridCol w:w="266"/>
              <w:gridCol w:w="266"/>
              <w:gridCol w:w="266"/>
            </w:tblGrid>
            <w:tr>
              <w:tc>
                <w:tcPr>
                  <w:tcW w:type="dxa" w:w="266"/>
                </w:tcPr>
                <w:p>
                  <w:pPr>
                    <w:pStyle w:val="null3"/>
                  </w:pPr>
                  <w:r>
                    <w:rPr>
                      <w:rFonts w:ascii="仿宋_GB2312" w:hAnsi="仿宋_GB2312" w:cs="仿宋_GB2312" w:eastAsia="仿宋_GB2312"/>
                    </w:rPr>
                    <w:t>序号</w:t>
                  </w:r>
                </w:p>
              </w:tc>
              <w:tc>
                <w:tcPr>
                  <w:tcW w:type="dxa" w:w="266"/>
                </w:tcPr>
                <w:p>
                  <w:pPr>
                    <w:pStyle w:val="null3"/>
                  </w:pPr>
                  <w:r>
                    <w:rPr>
                      <w:rFonts w:ascii="仿宋_GB2312" w:hAnsi="仿宋_GB2312" w:cs="仿宋_GB2312" w:eastAsia="仿宋_GB2312"/>
                    </w:rPr>
                    <w:t>项目名称</w:t>
                  </w:r>
                </w:p>
              </w:tc>
              <w:tc>
                <w:tcPr>
                  <w:tcW w:type="dxa" w:w="266"/>
                </w:tcPr>
                <w:p>
                  <w:pPr>
                    <w:pStyle w:val="null3"/>
                  </w:pPr>
                  <w:r>
                    <w:rPr>
                      <w:rFonts w:ascii="仿宋_GB2312" w:hAnsi="仿宋_GB2312" w:cs="仿宋_GB2312" w:eastAsia="仿宋_GB2312"/>
                    </w:rPr>
                    <w:t>服务内容</w:t>
                  </w:r>
                </w:p>
              </w:tc>
              <w:tc>
                <w:tcPr>
                  <w:tcW w:type="dxa" w:w="266"/>
                </w:tcPr>
                <w:p>
                  <w:pPr>
                    <w:pStyle w:val="null3"/>
                  </w:pPr>
                  <w:r>
                    <w:rPr>
                      <w:rFonts w:ascii="仿宋_GB2312" w:hAnsi="仿宋_GB2312" w:cs="仿宋_GB2312" w:eastAsia="仿宋_GB2312"/>
                    </w:rPr>
                    <w:t>单位</w:t>
                  </w:r>
                </w:p>
              </w:tc>
              <w:tc>
                <w:tcPr>
                  <w:tcW w:type="dxa" w:w="266"/>
                </w:tcPr>
                <w:p>
                  <w:pPr>
                    <w:pStyle w:val="null3"/>
                  </w:pPr>
                  <w:r>
                    <w:rPr>
                      <w:rFonts w:ascii="仿宋_GB2312" w:hAnsi="仿宋_GB2312" w:cs="仿宋_GB2312" w:eastAsia="仿宋_GB2312"/>
                    </w:rPr>
                    <w:t>数量</w:t>
                  </w:r>
                </w:p>
              </w:tc>
              <w:tc>
                <w:tcPr>
                  <w:tcW w:type="dxa" w:w="266"/>
                </w:tcPr>
                <w:p>
                  <w:pPr>
                    <w:pStyle w:val="null3"/>
                  </w:pPr>
                  <w:r>
                    <w:rPr>
                      <w:rFonts w:ascii="仿宋_GB2312" w:hAnsi="仿宋_GB2312" w:cs="仿宋_GB2312" w:eastAsia="仿宋_GB2312"/>
                    </w:rPr>
                    <w:t>配置/</w:t>
                  </w:r>
                </w:p>
                <w:p>
                  <w:pPr>
                    <w:pStyle w:val="null3"/>
                  </w:pPr>
                  <w:r>
                    <w:rPr>
                      <w:rFonts w:ascii="仿宋_GB2312" w:hAnsi="仿宋_GB2312" w:cs="仿宋_GB2312" w:eastAsia="仿宋_GB2312"/>
                    </w:rPr>
                    <w:t>要求</w:t>
                  </w:r>
                </w:p>
              </w:tc>
              <w:tc>
                <w:tcPr>
                  <w:tcW w:type="dxa" w:w="266"/>
                </w:tcPr>
                <w:p>
                  <w:pPr>
                    <w:pStyle w:val="null3"/>
                  </w:pPr>
                  <w:r>
                    <w:rPr>
                      <w:rFonts w:ascii="仿宋_GB2312" w:hAnsi="仿宋_GB2312" w:cs="仿宋_GB2312" w:eastAsia="仿宋_GB2312"/>
                    </w:rPr>
                    <w:t>备注</w:t>
                  </w:r>
                </w:p>
              </w:tc>
            </w:tr>
            <w:tr>
              <w:tc>
                <w:tcPr>
                  <w:tcW w:type="dxa" w:w="266"/>
                  <w:vMerge w:val="restart"/>
                </w:tcPr>
                <w:p>
                  <w:pPr>
                    <w:pStyle w:val="null3"/>
                  </w:pPr>
                  <w:r>
                    <w:rPr>
                      <w:rFonts w:ascii="仿宋_GB2312" w:hAnsi="仿宋_GB2312" w:cs="仿宋_GB2312" w:eastAsia="仿宋_GB2312"/>
                    </w:rPr>
                    <w:t>1</w:t>
                  </w:r>
                </w:p>
              </w:tc>
              <w:tc>
                <w:tcPr>
                  <w:tcW w:type="dxa" w:w="266"/>
                  <w:vMerge w:val="restart"/>
                </w:tcPr>
                <w:p>
                  <w:pPr>
                    <w:pStyle w:val="null3"/>
                  </w:pPr>
                  <w:r>
                    <w:rPr>
                      <w:rFonts w:ascii="仿宋_GB2312" w:hAnsi="仿宋_GB2312" w:cs="仿宋_GB2312" w:eastAsia="仿宋_GB2312"/>
                    </w:rPr>
                    <w:t>设计</w:t>
                  </w:r>
                </w:p>
              </w:tc>
              <w:tc>
                <w:tcPr>
                  <w:tcW w:type="dxa" w:w="266"/>
                </w:tcPr>
                <w:p>
                  <w:pPr>
                    <w:pStyle w:val="null3"/>
                  </w:pPr>
                  <w:r>
                    <w:rPr>
                      <w:rFonts w:ascii="仿宋_GB2312" w:hAnsi="仿宋_GB2312" w:cs="仿宋_GB2312" w:eastAsia="仿宋_GB2312"/>
                    </w:rPr>
                    <w:t>校史馆空间设计</w:t>
                  </w:r>
                </w:p>
              </w:tc>
              <w:tc>
                <w:tcPr>
                  <w:tcW w:type="dxa" w:w="266"/>
                </w:tcPr>
                <w:p>
                  <w:pPr>
                    <w:pStyle w:val="null3"/>
                  </w:pPr>
                  <w:r>
                    <w:rPr>
                      <w:rFonts w:ascii="仿宋_GB2312" w:hAnsi="仿宋_GB2312" w:cs="仿宋_GB2312" w:eastAsia="仿宋_GB2312"/>
                    </w:rPr>
                    <w:t>平方米</w:t>
                  </w:r>
                </w:p>
              </w:tc>
              <w:tc>
                <w:tcPr>
                  <w:tcW w:type="dxa" w:w="266"/>
                </w:tcPr>
                <w:p>
                  <w:pPr>
                    <w:pStyle w:val="null3"/>
                  </w:pPr>
                  <w:r>
                    <w:rPr>
                      <w:rFonts w:ascii="仿宋_GB2312" w:hAnsi="仿宋_GB2312" w:cs="仿宋_GB2312" w:eastAsia="仿宋_GB2312"/>
                    </w:rPr>
                    <w:t>约 800</w:t>
                  </w:r>
                </w:p>
              </w:tc>
              <w:tc>
                <w:tcPr>
                  <w:tcW w:type="dxa" w:w="266"/>
                  <w:vMerge w:val="restart"/>
                </w:tcPr>
                <w:p>
                  <w:pPr>
                    <w:pStyle w:val="null3"/>
                  </w:pPr>
                  <w:r>
                    <w:rPr>
                      <w:rFonts w:ascii="仿宋_GB2312" w:hAnsi="仿宋_GB2312" w:cs="仿宋_GB2312" w:eastAsia="仿宋_GB2312"/>
                    </w:rPr>
                    <w:t>/</w:t>
                  </w:r>
                </w:p>
              </w:tc>
              <w:tc>
                <w:tcPr>
                  <w:tcW w:type="dxa" w:w="266"/>
                  <w:vMerge w:val="restart"/>
                </w:tcPr>
                <w:p>
                  <w:pPr>
                    <w:pStyle w:val="null3"/>
                  </w:pPr>
                  <w:r>
                    <w:rPr>
                      <w:rFonts w:ascii="仿宋_GB2312" w:hAnsi="仿宋_GB2312" w:cs="仿宋_GB2312" w:eastAsia="仿宋_GB2312"/>
                    </w:rPr>
                    <w:t>/</w:t>
                  </w: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校史馆装饰装修设计</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校史馆布展设计</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校史馆布展脚本编制</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校史馆艺术展项设计</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校史馆灯光设计</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网络和智能设备管理系统设计</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val="restart"/>
                </w:tcPr>
                <w:p>
                  <w:pPr>
                    <w:pStyle w:val="null3"/>
                  </w:pPr>
                  <w:r>
                    <w:rPr>
                      <w:rFonts w:ascii="仿宋_GB2312" w:hAnsi="仿宋_GB2312" w:cs="仿宋_GB2312" w:eastAsia="仿宋_GB2312"/>
                    </w:rPr>
                    <w:t>2</w:t>
                  </w:r>
                </w:p>
                <w:p>
                  <w:pPr>
                    <w:pStyle w:val="null3"/>
                  </w:pPr>
                  <w:r>
                    <w:rPr>
                      <w:rFonts w:ascii="仿宋_GB2312" w:hAnsi="仿宋_GB2312" w:cs="仿宋_GB2312" w:eastAsia="仿宋_GB2312"/>
                    </w:rPr>
                    <w:t xml:space="preserve"> </w:t>
                  </w:r>
                </w:p>
              </w:tc>
              <w:tc>
                <w:tcPr>
                  <w:tcW w:type="dxa" w:w="266"/>
                  <w:vMerge w:val="restart"/>
                </w:tcPr>
                <w:p>
                  <w:pPr>
                    <w:pStyle w:val="null3"/>
                  </w:pPr>
                  <w:r>
                    <w:rPr>
                      <w:rFonts w:ascii="仿宋_GB2312" w:hAnsi="仿宋_GB2312" w:cs="仿宋_GB2312" w:eastAsia="仿宋_GB2312"/>
                    </w:rPr>
                    <w:t>施工</w:t>
                  </w:r>
                </w:p>
              </w:tc>
              <w:tc>
                <w:tcPr>
                  <w:tcW w:type="dxa" w:w="266"/>
                </w:tcPr>
                <w:p>
                  <w:pPr>
                    <w:pStyle w:val="null3"/>
                  </w:pPr>
                  <w:r>
                    <w:rPr>
                      <w:rFonts w:ascii="仿宋_GB2312" w:hAnsi="仿宋_GB2312" w:cs="仿宋_GB2312" w:eastAsia="仿宋_GB2312"/>
                    </w:rPr>
                    <w:t>校史馆装修施工</w:t>
                  </w:r>
                </w:p>
              </w:tc>
              <w:tc>
                <w:tcPr>
                  <w:tcW w:type="dxa" w:w="266"/>
                </w:tcPr>
                <w:p>
                  <w:pPr>
                    <w:pStyle w:val="null3"/>
                  </w:pPr>
                  <w:r>
                    <w:rPr>
                      <w:rFonts w:ascii="仿宋_GB2312" w:hAnsi="仿宋_GB2312" w:cs="仿宋_GB2312" w:eastAsia="仿宋_GB2312"/>
                    </w:rPr>
                    <w:t>平方米</w:t>
                  </w:r>
                </w:p>
              </w:tc>
              <w:tc>
                <w:tcPr>
                  <w:tcW w:type="dxa" w:w="266"/>
                </w:tcPr>
                <w:p>
                  <w:pPr>
                    <w:pStyle w:val="null3"/>
                  </w:pPr>
                  <w:r>
                    <w:rPr>
                      <w:rFonts w:ascii="仿宋_GB2312" w:hAnsi="仿宋_GB2312" w:cs="仿宋_GB2312" w:eastAsia="仿宋_GB2312"/>
                    </w:rPr>
                    <w:t>约 800</w:t>
                  </w:r>
                </w:p>
              </w:tc>
              <w:tc>
                <w:tcPr>
                  <w:tcW w:type="dxa" w:w="266"/>
                  <w:vMerge w:val="restart"/>
                </w:tcPr>
                <w:p>
                  <w:pPr>
                    <w:pStyle w:val="null3"/>
                  </w:pPr>
                  <w:r>
                    <w:rPr>
                      <w:rFonts w:ascii="仿宋_GB2312" w:hAnsi="仿宋_GB2312" w:cs="仿宋_GB2312" w:eastAsia="仿宋_GB2312"/>
                    </w:rPr>
                    <w:t>为大门、地面、墙体、顶面和内部空间等装修施工。</w:t>
                  </w:r>
                </w:p>
                <w:p>
                  <w:pPr>
                    <w:pStyle w:val="null3"/>
                  </w:pPr>
                  <w:r>
                    <w:rPr>
                      <w:rFonts w:ascii="仿宋_GB2312" w:hAnsi="仿宋_GB2312" w:cs="仿宋_GB2312" w:eastAsia="仿宋_GB2312"/>
                    </w:rPr>
                    <w:t>包含但不限于馆内基础灯具、展览用专用照明灯具、安防设施、暖通、强弱电线路的设计、制作、购置、安装等。</w:t>
                  </w:r>
                </w:p>
              </w:tc>
              <w:tc>
                <w:tcPr>
                  <w:tcW w:type="dxa" w:w="266"/>
                  <w:vMerge w:val="restart"/>
                </w:tcPr>
                <w:p>
                  <w:pPr>
                    <w:pStyle w:val="null3"/>
                  </w:pPr>
                  <w:r>
                    <w:rPr>
                      <w:rFonts w:ascii="仿宋_GB2312" w:hAnsi="仿宋_GB2312" w:cs="仿宋_GB2312" w:eastAsia="仿宋_GB2312"/>
                    </w:rPr>
                    <w:t>本项内容须包含暂列金15万元。</w:t>
                  </w: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空调工程二次设计施工改造（风口、水管等）</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校史馆大门二次设计改造安装（采用铜制材料）</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暖气工程二次设计施工改造</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消防工程二次设计施工改造（喷淋、烟感、排烟）</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电气、灯具改造、安装</w:t>
                  </w:r>
                </w:p>
              </w:tc>
              <w:tc>
                <w:tcPr>
                  <w:tcW w:type="dxa" w:w="266"/>
                </w:tcPr>
                <w:p>
                  <w:pPr>
                    <w:pStyle w:val="null3"/>
                  </w:pPr>
                  <w:r>
                    <w:rPr>
                      <w:rFonts w:ascii="仿宋_GB2312" w:hAnsi="仿宋_GB2312" w:cs="仿宋_GB2312" w:eastAsia="仿宋_GB2312"/>
                    </w:rPr>
                    <w:t>平方米</w:t>
                  </w:r>
                </w:p>
              </w:tc>
              <w:tc>
                <w:tcPr>
                  <w:tcW w:type="dxa" w:w="266"/>
                </w:tcPr>
                <w:p>
                  <w:pPr>
                    <w:pStyle w:val="null3"/>
                  </w:pPr>
                  <w:r>
                    <w:rPr>
                      <w:rFonts w:ascii="仿宋_GB2312" w:hAnsi="仿宋_GB2312" w:cs="仿宋_GB2312" w:eastAsia="仿宋_GB2312"/>
                    </w:rPr>
                    <w:t>约 800</w:t>
                  </w:r>
                </w:p>
              </w:tc>
              <w:tc>
                <w:tcPr>
                  <w:tcW w:type="dxa" w:w="266"/>
                  <w:vMerge/>
                </w:tcPr>
                <w:p/>
              </w:tc>
              <w:tc>
                <w:tcPr>
                  <w:tcW w:type="dxa" w:w="266"/>
                  <w:vMerge/>
                </w:tcPr>
                <w:p/>
              </w:tc>
            </w:tr>
            <w:tr>
              <w:tc>
                <w:tcPr>
                  <w:tcW w:type="dxa" w:w="266"/>
                  <w:vMerge/>
                </w:tcPr>
                <w:p/>
              </w:tc>
              <w:tc>
                <w:tcPr>
                  <w:tcW w:type="dxa" w:w="266"/>
                  <w:vMerge/>
                </w:tcPr>
                <w:p/>
              </w:tc>
              <w:tc>
                <w:tcPr>
                  <w:tcW w:type="dxa" w:w="1330"/>
                  <w:gridSpan w:val="5"/>
                </w:tcPr>
                <w:p>
                  <w:pPr>
                    <w:pStyle w:val="null3"/>
                  </w:pPr>
                  <w:r>
                    <w:rPr>
                      <w:rFonts w:ascii="仿宋_GB2312" w:hAnsi="仿宋_GB2312" w:cs="仿宋_GB2312" w:eastAsia="仿宋_GB2312"/>
                    </w:rPr>
                    <w:t>注：该部分内容接受审计决算，按照审定金额支付。</w:t>
                  </w:r>
                </w:p>
              </w:tc>
            </w:tr>
            <w:tr>
              <w:tc>
                <w:tcPr>
                  <w:tcW w:type="dxa" w:w="266"/>
                  <w:vMerge w:val="restart"/>
                </w:tcPr>
                <w:p>
                  <w:pPr>
                    <w:pStyle w:val="null3"/>
                  </w:pPr>
                  <w:r>
                    <w:rPr>
                      <w:rFonts w:ascii="仿宋_GB2312" w:hAnsi="仿宋_GB2312" w:cs="仿宋_GB2312" w:eastAsia="仿宋_GB2312"/>
                    </w:rPr>
                    <w:t>3</w:t>
                  </w:r>
                </w:p>
              </w:tc>
              <w:tc>
                <w:tcPr>
                  <w:tcW w:type="dxa" w:w="266"/>
                  <w:vMerge w:val="restart"/>
                </w:tcPr>
                <w:p>
                  <w:pPr>
                    <w:pStyle w:val="null3"/>
                  </w:pPr>
                  <w:r>
                    <w:rPr>
                      <w:rFonts w:ascii="仿宋_GB2312" w:hAnsi="仿宋_GB2312" w:cs="仿宋_GB2312" w:eastAsia="仿宋_GB2312"/>
                    </w:rPr>
                    <w:t>布展</w:t>
                  </w:r>
                </w:p>
              </w:tc>
              <w:tc>
                <w:tcPr>
                  <w:tcW w:type="dxa" w:w="266"/>
                </w:tcPr>
                <w:p>
                  <w:pPr>
                    <w:pStyle w:val="null3"/>
                  </w:pPr>
                  <w:r>
                    <w:rPr>
                      <w:rFonts w:ascii="仿宋_GB2312" w:hAnsi="仿宋_GB2312" w:cs="仿宋_GB2312" w:eastAsia="仿宋_GB2312"/>
                    </w:rPr>
                    <w:t>校史馆展板布展制作安装</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val="restart"/>
                </w:tcPr>
                <w:p>
                  <w:pPr>
                    <w:pStyle w:val="null3"/>
                  </w:pPr>
                  <w:r>
                    <w:rPr>
                      <w:rFonts w:ascii="仿宋_GB2312" w:hAnsi="仿宋_GB2312" w:cs="仿宋_GB2312" w:eastAsia="仿宋_GB2312"/>
                    </w:rPr>
                    <w:t>/</w:t>
                  </w:r>
                </w:p>
              </w:tc>
              <w:tc>
                <w:tcPr>
                  <w:tcW w:type="dxa" w:w="266"/>
                  <w:vMerge w:val="restart"/>
                </w:tcPr>
                <w:p>
                  <w:pPr>
                    <w:pStyle w:val="null3"/>
                  </w:pPr>
                  <w:r>
                    <w:rPr>
                      <w:rFonts w:ascii="仿宋_GB2312" w:hAnsi="仿宋_GB2312" w:cs="仿宋_GB2312" w:eastAsia="仿宋_GB2312"/>
                    </w:rPr>
                    <w:t>本项为布展内容，须包含外购展品费5万元。</w:t>
                  </w: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校史馆艺术展项安装</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定制展柜</w:t>
                  </w:r>
                </w:p>
              </w:tc>
              <w:tc>
                <w:tcPr>
                  <w:tcW w:type="dxa" w:w="266"/>
                </w:tcPr>
                <w:p>
                  <w:pPr>
                    <w:pStyle w:val="null3"/>
                  </w:pPr>
                  <w:r>
                    <w:rPr>
                      <w:rFonts w:ascii="仿宋_GB2312" w:hAnsi="仿宋_GB2312" w:cs="仿宋_GB2312" w:eastAsia="仿宋_GB2312"/>
                    </w:rPr>
                    <w:t>个</w:t>
                  </w:r>
                </w:p>
              </w:tc>
              <w:tc>
                <w:tcPr>
                  <w:tcW w:type="dxa" w:w="266"/>
                </w:tcPr>
                <w:p>
                  <w:pPr>
                    <w:pStyle w:val="null3"/>
                  </w:pPr>
                  <w:r>
                    <w:rPr>
                      <w:rFonts w:ascii="仿宋_GB2312" w:hAnsi="仿宋_GB2312" w:cs="仿宋_GB2312" w:eastAsia="仿宋_GB2312"/>
                    </w:rPr>
                    <w:t>约 20</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特殊灯具布设</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vMerge/>
                </w:tcP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音频播放</w:t>
                  </w:r>
                </w:p>
              </w:tc>
              <w:tc>
                <w:tcPr>
                  <w:tcW w:type="dxa" w:w="266"/>
                </w:tcPr>
                <w:p>
                  <w:pPr>
                    <w:pStyle w:val="null3"/>
                  </w:pPr>
                  <w:r>
                    <w:rPr>
                      <w:rFonts w:ascii="仿宋_GB2312" w:hAnsi="仿宋_GB2312" w:cs="仿宋_GB2312" w:eastAsia="仿宋_GB2312"/>
                    </w:rPr>
                    <w:t>套</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平板电脑、耳机、软件等</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拍照留影系统</w:t>
                  </w:r>
                </w:p>
              </w:tc>
              <w:tc>
                <w:tcPr>
                  <w:tcW w:type="dxa" w:w="266"/>
                </w:tcPr>
                <w:p>
                  <w:pPr>
                    <w:pStyle w:val="null3"/>
                  </w:pPr>
                  <w:r>
                    <w:rPr>
                      <w:rFonts w:ascii="仿宋_GB2312" w:hAnsi="仿宋_GB2312" w:cs="仿宋_GB2312" w:eastAsia="仿宋_GB2312"/>
                    </w:rPr>
                    <w:t>套</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55寸触摸屏，包含程序、界面、内容制作等</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触摸查询系统</w:t>
                  </w:r>
                </w:p>
              </w:tc>
              <w:tc>
                <w:tcPr>
                  <w:tcW w:type="dxa" w:w="266"/>
                </w:tcPr>
                <w:p>
                  <w:pPr>
                    <w:pStyle w:val="null3"/>
                  </w:pPr>
                  <w:r>
                    <w:rPr>
                      <w:rFonts w:ascii="仿宋_GB2312" w:hAnsi="仿宋_GB2312" w:cs="仿宋_GB2312" w:eastAsia="仿宋_GB2312"/>
                    </w:rPr>
                    <w:t>套</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65寸，包含程序、界面、内容制作等</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多媒体播放系统</w:t>
                  </w:r>
                </w:p>
              </w:tc>
              <w:tc>
                <w:tcPr>
                  <w:tcW w:type="dxa" w:w="266"/>
                </w:tcPr>
                <w:p>
                  <w:pPr>
                    <w:pStyle w:val="null3"/>
                  </w:pPr>
                  <w:r>
                    <w:rPr>
                      <w:rFonts w:ascii="仿宋_GB2312" w:hAnsi="仿宋_GB2312" w:cs="仿宋_GB2312" w:eastAsia="仿宋_GB2312"/>
                    </w:rPr>
                    <w:t>套</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75 寸，包含内容制作等</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中控系统</w:t>
                  </w:r>
                </w:p>
              </w:tc>
              <w:tc>
                <w:tcPr>
                  <w:tcW w:type="dxa" w:w="266"/>
                </w:tcPr>
                <w:p>
                  <w:pPr>
                    <w:pStyle w:val="null3"/>
                  </w:pPr>
                  <w:r>
                    <w:rPr>
                      <w:rFonts w:ascii="仿宋_GB2312" w:hAnsi="仿宋_GB2312" w:cs="仿宋_GB2312" w:eastAsia="仿宋_GB2312"/>
                    </w:rPr>
                    <w:t>套</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中控主机、无线 AP</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集成调试</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硬件安装，系统集成， 设备调试</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数字校史馆</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网上全景校史馆</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智能监控系统</w:t>
                  </w:r>
                </w:p>
              </w:tc>
              <w:tc>
                <w:tcPr>
                  <w:tcW w:type="dxa" w:w="266"/>
                </w:tcPr>
                <w:p>
                  <w:pPr>
                    <w:pStyle w:val="null3"/>
                  </w:pPr>
                  <w:r>
                    <w:rPr>
                      <w:rFonts w:ascii="仿宋_GB2312" w:hAnsi="仿宋_GB2312" w:cs="仿宋_GB2312" w:eastAsia="仿宋_GB2312"/>
                    </w:rPr>
                    <w:t>套</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校园场景还原</w:t>
                  </w:r>
                </w:p>
              </w:tc>
              <w:tc>
                <w:tcPr>
                  <w:tcW w:type="dxa" w:w="266"/>
                </w:tcPr>
                <w:p>
                  <w:pPr>
                    <w:pStyle w:val="null3"/>
                  </w:pPr>
                  <w:r>
                    <w:rPr>
                      <w:rFonts w:ascii="仿宋_GB2312" w:hAnsi="仿宋_GB2312" w:cs="仿宋_GB2312" w:eastAsia="仿宋_GB2312"/>
                    </w:rPr>
                    <w:t>处</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突出学校特色的教学场景复原</w:t>
                  </w:r>
                </w:p>
              </w:tc>
              <w:tc>
                <w:tcPr>
                  <w:tcW w:type="dxa" w:w="266"/>
                </w:tcPr>
                <w:p>
                  <w:pPr>
                    <w:pStyle w:val="null3"/>
                  </w:pPr>
                  <w:r>
                    <w:rPr>
                      <w:rFonts w:ascii="仿宋_GB2312" w:hAnsi="仿宋_GB2312" w:cs="仿宋_GB2312" w:eastAsia="仿宋_GB2312"/>
                    </w:rPr>
                    <w:t>处</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完成历史照片、重要文件、奖杯奖牌、校友捐赠物等学校代表性展品的设计、制作、说明、布展</w:t>
                  </w:r>
                </w:p>
              </w:tc>
              <w:tc>
                <w:tcPr>
                  <w:tcW w:type="dxa" w:w="266"/>
                </w:tcPr>
                <w:p>
                  <w:pPr>
                    <w:pStyle w:val="null3"/>
                  </w:pPr>
                  <w:r>
                    <w:rPr>
                      <w:rFonts w:ascii="仿宋_GB2312" w:hAnsi="仿宋_GB2312" w:cs="仿宋_GB2312" w:eastAsia="仿宋_GB2312"/>
                    </w:rPr>
                    <w:t>批</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w:t>
                  </w:r>
                </w:p>
              </w:tc>
              <w:tc>
                <w:tcPr>
                  <w:tcW w:type="dxa" w:w="266"/>
                  <w:vMerge/>
                </w:tcPr>
                <w:p/>
              </w:tc>
            </w:tr>
            <w:tr>
              <w:tc>
                <w:tcPr>
                  <w:tcW w:type="dxa" w:w="266"/>
                  <w:vMerge/>
                </w:tcPr>
                <w:p/>
              </w:tc>
              <w:tc>
                <w:tcPr>
                  <w:tcW w:type="dxa" w:w="266"/>
                  <w:vMerge/>
                </w:tcPr>
                <w:p/>
              </w:tc>
              <w:tc>
                <w:tcPr>
                  <w:tcW w:type="dxa" w:w="266"/>
                </w:tcPr>
                <w:p>
                  <w:pPr>
                    <w:pStyle w:val="null3"/>
                  </w:pPr>
                  <w:r>
                    <w:rPr>
                      <w:rFonts w:ascii="仿宋_GB2312" w:hAnsi="仿宋_GB2312" w:cs="仿宋_GB2312" w:eastAsia="仿宋_GB2312"/>
                    </w:rPr>
                    <w:t>投影沙盘展示学校未来发展规划和创新愿景</w:t>
                  </w:r>
                </w:p>
              </w:tc>
              <w:tc>
                <w:tcPr>
                  <w:tcW w:type="dxa" w:w="266"/>
                </w:tcPr>
                <w:p>
                  <w:pPr>
                    <w:pStyle w:val="null3"/>
                  </w:pPr>
                  <w:r>
                    <w:rPr>
                      <w:rFonts w:ascii="仿宋_GB2312" w:hAnsi="仿宋_GB2312" w:cs="仿宋_GB2312" w:eastAsia="仿宋_GB2312"/>
                    </w:rPr>
                    <w:t>项</w:t>
                  </w:r>
                </w:p>
              </w:tc>
              <w:tc>
                <w:tcPr>
                  <w:tcW w:type="dxa" w:w="266"/>
                </w:tcPr>
                <w:p>
                  <w:pPr>
                    <w:pStyle w:val="null3"/>
                  </w:pPr>
                  <w:r>
                    <w:rPr>
                      <w:rFonts w:ascii="仿宋_GB2312" w:hAnsi="仿宋_GB2312" w:cs="仿宋_GB2312" w:eastAsia="仿宋_GB2312"/>
                    </w:rPr>
                    <w:t>1</w:t>
                  </w:r>
                </w:p>
              </w:tc>
              <w:tc>
                <w:tcPr>
                  <w:tcW w:type="dxa" w:w="266"/>
                </w:tcPr>
                <w:p>
                  <w:pPr>
                    <w:pStyle w:val="null3"/>
                  </w:pPr>
                  <w:r>
                    <w:rPr>
                      <w:rFonts w:ascii="仿宋_GB2312" w:hAnsi="仿宋_GB2312" w:cs="仿宋_GB2312" w:eastAsia="仿宋_GB2312"/>
                    </w:rPr>
                    <w:t>/</w:t>
                  </w:r>
                </w:p>
              </w:tc>
              <w:tc>
                <w:tcPr>
                  <w:tcW w:type="dxa" w:w="266"/>
                  <w:vMerge/>
                </w:tcPr>
                <w:p/>
              </w:tc>
            </w:tr>
          </w:tbl>
          <w:p>
            <w:pPr>
              <w:pStyle w:val="null3"/>
            </w:pPr>
            <w:r>
              <w:rPr>
                <w:rFonts w:ascii="仿宋_GB2312" w:hAnsi="仿宋_GB2312" w:cs="仿宋_GB2312" w:eastAsia="仿宋_GB2312"/>
              </w:rPr>
              <w:t>3. 版面制作的具体要求</w:t>
            </w:r>
          </w:p>
          <w:p>
            <w:pPr>
              <w:pStyle w:val="null3"/>
            </w:pPr>
            <w:r>
              <w:rPr>
                <w:rFonts w:ascii="仿宋_GB2312" w:hAnsi="仿宋_GB2312" w:cs="仿宋_GB2312" w:eastAsia="仿宋_GB2312"/>
              </w:rPr>
              <w:t>图文版的平面制作和安装，必须使用高精度可移喷绘、PVC 板、防水无纺布、铝板等易清洁、防水、使用寿命长并易于更换的材料和制作工艺，做到收口平整、不起泡、无色差，安装方便、更新便利。</w:t>
            </w:r>
          </w:p>
          <w:p>
            <w:pPr>
              <w:pStyle w:val="null3"/>
            </w:pPr>
            <w:r>
              <w:rPr>
                <w:rFonts w:ascii="仿宋_GB2312" w:hAnsi="仿宋_GB2312" w:cs="仿宋_GB2312" w:eastAsia="仿宋_GB2312"/>
              </w:rPr>
              <w:t>4. 安全文明布展施工的要求</w:t>
            </w:r>
          </w:p>
          <w:p>
            <w:pPr>
              <w:pStyle w:val="null3"/>
            </w:pPr>
            <w:r>
              <w:rPr>
                <w:rFonts w:ascii="仿宋_GB2312" w:hAnsi="仿宋_GB2312" w:cs="仿宋_GB2312" w:eastAsia="仿宋_GB2312"/>
              </w:rPr>
              <w:t>本项目安全文明施工必须符合国家和项目所在地有关规定和标准。投标人应在不影响正常教学的前提下采取有力措施严格按要求布展施工，如实在无法避免连续施工的情况，布展施工时间需服从校方管理要求，配合采购人事先发布通知，最大限度降低对正常教学的噪声环境影响。</w:t>
            </w:r>
          </w:p>
          <w:p>
            <w:pPr>
              <w:pStyle w:val="null3"/>
            </w:pPr>
            <w:r>
              <w:rPr>
                <w:rFonts w:ascii="仿宋_GB2312" w:hAnsi="仿宋_GB2312" w:cs="仿宋_GB2312" w:eastAsia="仿宋_GB2312"/>
              </w:rPr>
              <w:t>投标人应特别注意扬尘污染控制，其具体措施至少应包括布展施工现场周边设置硬质围挡，不排除工程车辆在交通沿线设置文施围挡的可能，以隔离教学、生活区；若出现架体搭设占用交通要道情况，需自行协调解决；主要道路要硬化并保持清洁；垃圾、渣土要及时清运，随时保证施工现场干净卫生；施工土方要覆盖；工地出口要设置冲洗设施；运输车辆驶出施工现场要将车轮和槽帮冲洗干净；水泥、石灰等可能产生扬尘污染的建材必须在库房存放或严密遮盖；严禁凌空抛洒垃圾、渣土，若渣土外运出校，需提前向城市管理部门报备，渣土外运措施满足城市管理部门监督管理等等；</w:t>
            </w:r>
          </w:p>
          <w:p>
            <w:pPr>
              <w:pStyle w:val="null3"/>
            </w:pPr>
            <w:r>
              <w:rPr>
                <w:rFonts w:ascii="仿宋_GB2312" w:hAnsi="仿宋_GB2312" w:cs="仿宋_GB2312" w:eastAsia="仿宋_GB2312"/>
              </w:rPr>
              <w:t>以上措施需在投标报价时充分考虑，若施工过程中执行不到位，采购人将委托第三方进行保障工作，费用从布展施工费用中扣除。</w:t>
            </w:r>
          </w:p>
          <w:p>
            <w:pPr>
              <w:pStyle w:val="null3"/>
            </w:pPr>
            <w:r>
              <w:rPr>
                <w:rFonts w:ascii="仿宋_GB2312" w:hAnsi="仿宋_GB2312" w:cs="仿宋_GB2312" w:eastAsia="仿宋_GB2312"/>
              </w:rPr>
              <w:t>八、售后服务要求</w:t>
            </w:r>
          </w:p>
          <w:p>
            <w:pPr>
              <w:pStyle w:val="null3"/>
            </w:pPr>
            <w:r>
              <w:rPr>
                <w:rFonts w:ascii="仿宋_GB2312" w:hAnsi="仿宋_GB2312" w:cs="仿宋_GB2312" w:eastAsia="仿宋_GB2312"/>
              </w:rPr>
              <w:t>1.提供 7*24 小时售后服务热线电话，确保产品发生故障时 1 小时内技术响应，24 小时内到达维修现场，保证设备正常运行；在 24 小时之内到达现场予以解决或提供备用产品更换，不影响设备正常工作。若未能及时到场更换维护，学校有权委托第三方人员进行维护，维护费用将从质保金内扣除。</w:t>
            </w:r>
          </w:p>
          <w:p>
            <w:pPr>
              <w:pStyle w:val="null3"/>
            </w:pPr>
            <w:r>
              <w:rPr>
                <w:rFonts w:ascii="仿宋_GB2312" w:hAnsi="仿宋_GB2312" w:cs="仿宋_GB2312" w:eastAsia="仿宋_GB2312"/>
              </w:rPr>
              <w:t>2.所有布展、装饰、装修部分、产品等在质保期内，投标人负责安排工作人员上门进行维修、更换和维护服务；若出现由采购人人为造成的损坏情况，投标人只收取材料成本费用。</w:t>
            </w:r>
          </w:p>
          <w:p>
            <w:pPr>
              <w:pStyle w:val="null3"/>
            </w:pPr>
            <w:r>
              <w:rPr>
                <w:rFonts w:ascii="仿宋_GB2312" w:hAnsi="仿宋_GB2312" w:cs="仿宋_GB2312" w:eastAsia="仿宋_GB2312"/>
              </w:rPr>
              <w:t>3.超出质保期出现问题，投标人有义务按照响应报价对损害部分进行收费维修，所有电子产品硬件过保修期后按原价维修。</w:t>
            </w:r>
          </w:p>
          <w:p>
            <w:pPr>
              <w:pStyle w:val="null3"/>
            </w:pPr>
            <w:r>
              <w:rPr>
                <w:rFonts w:ascii="仿宋_GB2312" w:hAnsi="仿宋_GB2312" w:cs="仿宋_GB2312" w:eastAsia="仿宋_GB2312"/>
              </w:rPr>
              <w:t>4.质量保证期满后，投标人仍应对本项目提供及时、良好的维护服务。</w:t>
            </w:r>
          </w:p>
          <w:p>
            <w:pPr>
              <w:pStyle w:val="null3"/>
            </w:pPr>
            <w:r>
              <w:rPr>
                <w:rFonts w:ascii="仿宋_GB2312" w:hAnsi="仿宋_GB2312" w:cs="仿宋_GB2312" w:eastAsia="仿宋_GB2312"/>
              </w:rPr>
              <w:t>5.投标人须详细列明备品备件名称、规格、数量、价格、更换周期等。质量保证期内的备品备件分批提供，保证质量和使用有效性。</w:t>
            </w:r>
          </w:p>
          <w:p>
            <w:pPr>
              <w:pStyle w:val="null3"/>
            </w:pPr>
            <w:r>
              <w:rPr>
                <w:rFonts w:ascii="仿宋_GB2312" w:hAnsi="仿宋_GB2312" w:cs="仿宋_GB2312" w:eastAsia="仿宋_GB2312"/>
              </w:rPr>
              <w:t>6.为保证展项的连续稳定运行，投标人须承诺定期每月对展项进行一次巡检，了解系统运行情况，及时掌握系统运行情况，对出现的问题及时解决，对出现的问题和解决的结果以书面文件的形式及时返回给采购人。投标人需对采购人负责提供系统维护更新、提供宣传推广物料（海报等）设计等。</w:t>
            </w:r>
          </w:p>
          <w:p>
            <w:pPr>
              <w:pStyle w:val="null3"/>
            </w:pPr>
            <w:r>
              <w:rPr>
                <w:rFonts w:ascii="仿宋_GB2312" w:hAnsi="仿宋_GB2312" w:cs="仿宋_GB2312" w:eastAsia="仿宋_GB2312"/>
              </w:rPr>
              <w:t>7．使用培训</w:t>
            </w:r>
          </w:p>
          <w:p>
            <w:pPr>
              <w:pStyle w:val="null3"/>
            </w:pPr>
            <w:r>
              <w:rPr>
                <w:rFonts w:ascii="仿宋_GB2312" w:hAnsi="仿宋_GB2312" w:cs="仿宋_GB2312" w:eastAsia="仿宋_GB2312"/>
              </w:rPr>
              <w:t>投标人应派出培训人员，围绕数字化设备和软件，对采购人进行相应的使用培训，培训人员应具有丰富的技术经验。培训方式需包括：包括书面讲解、实际操作。</w:t>
            </w:r>
          </w:p>
          <w:p>
            <w:pPr>
              <w:pStyle w:val="null3"/>
            </w:pPr>
            <w:r>
              <w:rPr>
                <w:rFonts w:ascii="仿宋_GB2312" w:hAnsi="仿宋_GB2312" w:cs="仿宋_GB2312" w:eastAsia="仿宋_GB2312"/>
              </w:rPr>
              <w:t>8.解说词编制及讲解培训</w:t>
            </w:r>
          </w:p>
          <w:p>
            <w:pPr>
              <w:pStyle w:val="null3"/>
            </w:pPr>
            <w:r>
              <w:rPr>
                <w:rFonts w:ascii="仿宋_GB2312" w:hAnsi="仿宋_GB2312" w:cs="仿宋_GB2312" w:eastAsia="仿宋_GB2312"/>
              </w:rPr>
              <w:t>投标人需按照校史馆布展情况及陈列大纲内容编制解说词，并对采购人相关人员开展专业讲解培训。</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自合同签订之日起，设计时限为30天；施工布展工期至2025年8月20日前。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初验合格后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完工终验合格后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 （1）投标保证金须从投标人户名支付，如从个人户名或非投标人户名支付，将被拒绝，视为自动放弃投标权利（该个人是投标人的情形除外）；以保函形式交纳投标保证金的，投标人应在招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 （2）投标保证金的提交金额、时间不满足招标文件要求的，响应无效； （3）投标保证金以采购代理机构到账凭证为准，投标人无需更换交纳凭证，由采购代理机构统一提供。 （4）未按指定账户提交的，我公司将退回，投标人须在文件递交截止时间前按照指定账户再次提交。 2、因电子化格式有限，投标人须对以下支付方式进行响应： （1）设计费：深化设计方案及施工图经采购人审定后支付70%，施工图预算审计结束后，支付设计费的30%； （2）布展费：完工终验合格后支付至70%，待审计后支付剩余款项； （3）施工费用：材料进场后，支付30%，完工终验合格后支付至施工费用的70%，待审计决算后按审定金额支付至97%，剩余3%的施工费用作为工程质保金，在缺陷责任一年期满后一次付清，不计利息。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1月1日以来至少一个月的纳税证明或完税证明，纳税证明或完税证明上应有代收机构或税务机关的公章或业务专用章；其他组织和自然人提供自2024年1月1日以来至少一个月缴纳税收的凭据；依法免税的或者依法不需缴税的投标人应提供相关文件证明； ③提供自2024年1月1日以来至少一个月已缴纳的社会保障资金的证明（社会保障资金缴存单据或社保机构开具的社会保险参保缴费情况证明等）；依法不需要缴纳社会保障资金的投标人应提供相关文件证明；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注：1、以上②-③项，提供“陕西省政府采购供应商信用承诺书”的，可不再提供其他证明文件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审计报告（成立时间至提交投标文件截止时间不足一年的可提供成立后任意时段的资产负债表），或提交自2024年7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法定代表人参加投标的，须提供身份证；法定代表人授权本单位他人参加投标的，须提供法定代表人授权委托书及被授权人身份证；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投标人应具备工程设计综合资质甲级或建筑行业工程设计乙级及以上资质或建筑工程专业设计乙级及以上资质或建筑装饰工程设计专项乙级及以上资质；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投标人应具备建筑工程施工总承包三级及以上或建筑装修装饰工程专业承包资质二级及以上，且具备合格有效的安全生产许可证；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设计负责人</w:t>
            </w:r>
          </w:p>
        </w:tc>
        <w:tc>
          <w:tcPr>
            <w:tcW w:type="dxa" w:w="3322"/>
          </w:tcPr>
          <w:p>
            <w:pPr>
              <w:pStyle w:val="null3"/>
            </w:pPr>
            <w:r>
              <w:rPr>
                <w:rFonts w:ascii="仿宋_GB2312" w:hAnsi="仿宋_GB2312" w:cs="仿宋_GB2312" w:eastAsia="仿宋_GB2312"/>
              </w:rPr>
              <w:t>投标人拟派设计负责人须具有装饰设计相关专业中级及以上职称，提供职称证书；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施工负责人</w:t>
            </w:r>
          </w:p>
        </w:tc>
        <w:tc>
          <w:tcPr>
            <w:tcW w:type="dxa" w:w="3322"/>
          </w:tcPr>
          <w:p>
            <w:pPr>
              <w:pStyle w:val="null3"/>
            </w:pPr>
            <w:r>
              <w:rPr>
                <w:rFonts w:ascii="仿宋_GB2312" w:hAnsi="仿宋_GB2312" w:cs="仿宋_GB2312" w:eastAsia="仿宋_GB2312"/>
              </w:rPr>
              <w:t>拟派施工负责人具备建筑工程专业二级及以上注册建造师资格，具有有效的安全生产考核合格证书（建安B证），在本单位注册且提供无在建工程声明；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本项目不接受联合体投标，不允许分包。投标人提供《非联合体不分包投标声明》并进行电子签章。</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(2)不满足本招标文件中“服务期限、服务地点、采购资金的支付方式及约定、3.5其他要求中第2条”的实质性条款要求的； (3)投标有效期不足的或无有效期的； (4)报价超过招标文件中规定的采购预算的； (5)法律、法规和招标文件规定的其他无效情形。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服务响应偏离表.docx 标的清单 投标人资格证明文件.docx 投标文件封面 监狱企业的证明文件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项目理解及布展理念</w:t>
            </w:r>
          </w:p>
        </w:tc>
        <w:tc>
          <w:tcPr>
            <w:tcW w:type="dxa" w:w="2492"/>
          </w:tcPr>
          <w:p>
            <w:pPr>
              <w:pStyle w:val="null3"/>
            </w:pPr>
            <w:r>
              <w:rPr>
                <w:rFonts w:ascii="仿宋_GB2312" w:hAnsi="仿宋_GB2312" w:cs="仿宋_GB2312" w:eastAsia="仿宋_GB2312"/>
              </w:rPr>
              <w:t>投标人针对校史馆建设要求、设计及布展需求，提供针对本项目的理解及设计布展理念，包括但不限于：背景解读、主题提炼、设计理念、色彩提取、空间分析、重点展品等。 满足项目要求，无瑕疵：8分； 内容存在1处瑕疵：7分； 内容存在2处瑕疵：6分； 内容存在3处瑕疵：5分； 内容存在4处瑕疵：4分； 内容存在5处瑕疵：3分； 内容存在6处瑕疵：2分； 内容存在7处瑕疵：1分； 未提供或内容存在8处及以上瑕疵：0分。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项目理解及布展理念.docx</w:t>
            </w:r>
          </w:p>
        </w:tc>
      </w:tr>
      <w:tr>
        <w:tc>
          <w:tcPr>
            <w:tcW w:type="dxa" w:w="831"/>
            <w:vMerge/>
          </w:tcPr>
          <w:p/>
        </w:tc>
        <w:tc>
          <w:tcPr>
            <w:tcW w:type="dxa" w:w="1661"/>
          </w:tcPr>
          <w:p>
            <w:pPr>
              <w:pStyle w:val="null3"/>
            </w:pPr>
            <w:r>
              <w:rPr>
                <w:rFonts w:ascii="仿宋_GB2312" w:hAnsi="仿宋_GB2312" w:cs="仿宋_GB2312" w:eastAsia="仿宋_GB2312"/>
              </w:rPr>
              <w:t>布局与陈列方案</w:t>
            </w:r>
          </w:p>
        </w:tc>
        <w:tc>
          <w:tcPr>
            <w:tcW w:type="dxa" w:w="2492"/>
          </w:tcPr>
          <w:p>
            <w:pPr>
              <w:pStyle w:val="null3"/>
            </w:pPr>
            <w:r>
              <w:rPr>
                <w:rFonts w:ascii="仿宋_GB2312" w:hAnsi="仿宋_GB2312" w:cs="仿宋_GB2312" w:eastAsia="仿宋_GB2312"/>
              </w:rPr>
              <w:t>投标人针对本项目需求及现场踏勘情况，提供校史馆整体设计方案，包括合理的、符合学校特色的主题设计、馆内布局及空间设计、展线设计、展项分布等。要求设计方案创新、主题鲜明、有文化艺术特色、内容完善有条理，贴合学校特点，满足采购人宣传需求。 满足项目要求，无瑕疵：3分； 内容存在1处瑕疵：2分； 内容存在2处瑕疵：1分； 未提供或内容存在3处及以上瑕疵：0分。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布局与陈列方案.docx</w:t>
            </w:r>
          </w:p>
        </w:tc>
      </w:tr>
      <w:tr>
        <w:tc>
          <w:tcPr>
            <w:tcW w:type="dxa" w:w="831"/>
            <w:vMerge/>
          </w:tcPr>
          <w:p/>
        </w:tc>
        <w:tc>
          <w:tcPr>
            <w:tcW w:type="dxa" w:w="1661"/>
          </w:tcPr>
          <w:p>
            <w:pPr>
              <w:pStyle w:val="null3"/>
            </w:pPr>
            <w:r>
              <w:rPr>
                <w:rFonts w:ascii="仿宋_GB2312" w:hAnsi="仿宋_GB2312" w:cs="仿宋_GB2312" w:eastAsia="仿宋_GB2312"/>
              </w:rPr>
              <w:t>室内设施展陈布置方案</w:t>
            </w:r>
          </w:p>
        </w:tc>
        <w:tc>
          <w:tcPr>
            <w:tcW w:type="dxa" w:w="2492"/>
          </w:tcPr>
          <w:p>
            <w:pPr>
              <w:pStyle w:val="null3"/>
            </w:pPr>
            <w:r>
              <w:rPr>
                <w:rFonts w:ascii="仿宋_GB2312" w:hAnsi="仿宋_GB2312" w:cs="仿宋_GB2312" w:eastAsia="仿宋_GB2312"/>
              </w:rPr>
              <w:t>针对本项目需求，结合馆内空间及观展动线设计，投标人提供陈列布展所需的各类耗材（包括展柜、展板、标识项目、展品装饰等）与陈展方式的组合设计方案，设置多种陈列方式，满足采购人布展要求及科普宣传效果。 满足项目要求，无瑕疵：3分； 内容存在1处瑕疵：2分； 内容存在2处瑕疵：1分； 未提供或内容存在3处及以上瑕疵：0分。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室内设施展陈布置方案.docx</w:t>
            </w:r>
          </w:p>
        </w:tc>
      </w:tr>
      <w:tr>
        <w:tc>
          <w:tcPr>
            <w:tcW w:type="dxa" w:w="831"/>
            <w:vMerge/>
          </w:tcPr>
          <w:p/>
        </w:tc>
        <w:tc>
          <w:tcPr>
            <w:tcW w:type="dxa" w:w="1661"/>
          </w:tcPr>
          <w:p>
            <w:pPr>
              <w:pStyle w:val="null3"/>
            </w:pPr>
            <w:r>
              <w:rPr>
                <w:rFonts w:ascii="仿宋_GB2312" w:hAnsi="仿宋_GB2312" w:cs="仿宋_GB2312" w:eastAsia="仿宋_GB2312"/>
              </w:rPr>
              <w:t>设计效果图</w:t>
            </w:r>
          </w:p>
        </w:tc>
        <w:tc>
          <w:tcPr>
            <w:tcW w:type="dxa" w:w="2492"/>
          </w:tcPr>
          <w:p>
            <w:pPr>
              <w:pStyle w:val="null3"/>
            </w:pPr>
            <w:r>
              <w:rPr>
                <w:rFonts w:ascii="仿宋_GB2312" w:hAnsi="仿宋_GB2312" w:cs="仿宋_GB2312" w:eastAsia="仿宋_GB2312"/>
              </w:rPr>
              <w:t>投标人针对本项目需求及拟定设计方案，提供设计效果图（包含但不限于平面图、立面图、剖面图、动线设计图、效果图等），要求设计效果图完整、创新有特色，与设计方案呼应。 满足项目要求，无瑕疵：7分； 内容存在1处瑕疵：6分； 内容存在2处瑕疵：5分； 内容存在3处瑕疵：4分； 内容存在4处瑕疵：3分； 内容存在5处瑕疵：2分； 内容存在6处瑕疵：1分； 未提供或内容存在7处及以上瑕疵：0分。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设计效果图.docx</w:t>
            </w:r>
          </w:p>
        </w:tc>
      </w:tr>
      <w:tr>
        <w:tc>
          <w:tcPr>
            <w:tcW w:type="dxa" w:w="831"/>
            <w:vMerge/>
          </w:tcPr>
          <w:p/>
        </w:tc>
        <w:tc>
          <w:tcPr>
            <w:tcW w:type="dxa" w:w="1661"/>
          </w:tcPr>
          <w:p>
            <w:pPr>
              <w:pStyle w:val="null3"/>
            </w:pPr>
            <w:r>
              <w:rPr>
                <w:rFonts w:ascii="仿宋_GB2312" w:hAnsi="仿宋_GB2312" w:cs="仿宋_GB2312" w:eastAsia="仿宋_GB2312"/>
              </w:rPr>
              <w:t>展陈灯光设计</w:t>
            </w:r>
          </w:p>
        </w:tc>
        <w:tc>
          <w:tcPr>
            <w:tcW w:type="dxa" w:w="2492"/>
          </w:tcPr>
          <w:p>
            <w:pPr>
              <w:pStyle w:val="null3"/>
            </w:pPr>
            <w:r>
              <w:rPr>
                <w:rFonts w:ascii="仿宋_GB2312" w:hAnsi="仿宋_GB2312" w:cs="仿宋_GB2312" w:eastAsia="仿宋_GB2312"/>
              </w:rPr>
              <w:t>针对本项目设计要求提供科学的灯光设计方案（含灯光照明模拟图）、提供科学经济的灯具选型方案、灯具技术参数完全满足项目需求、并提供灯具相关证明文件。 满足项目要求，无瑕疵：4分； 内容存在1处瑕疵：3分； 内容存在2处瑕疵：2分； 内容存在3处瑕疵：1分； 未提供或内容存在4处及以上瑕疵：0分。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展陈灯光设计.docx</w:t>
            </w:r>
          </w:p>
        </w:tc>
      </w:tr>
      <w:tr>
        <w:tc>
          <w:tcPr>
            <w:tcW w:type="dxa" w:w="831"/>
            <w:vMerge/>
          </w:tcPr>
          <w:p/>
        </w:tc>
        <w:tc>
          <w:tcPr>
            <w:tcW w:type="dxa" w:w="1661"/>
          </w:tcPr>
          <w:p>
            <w:pPr>
              <w:pStyle w:val="null3"/>
            </w:pPr>
            <w:r>
              <w:rPr>
                <w:rFonts w:ascii="仿宋_GB2312" w:hAnsi="仿宋_GB2312" w:cs="仿宋_GB2312" w:eastAsia="仿宋_GB2312"/>
              </w:rPr>
              <w:t>现场陈述</w:t>
            </w:r>
          </w:p>
        </w:tc>
        <w:tc>
          <w:tcPr>
            <w:tcW w:type="dxa" w:w="2492"/>
          </w:tcPr>
          <w:p>
            <w:pPr>
              <w:pStyle w:val="null3"/>
            </w:pPr>
            <w:r>
              <w:rPr>
                <w:rFonts w:ascii="仿宋_GB2312" w:hAnsi="仿宋_GB2312" w:cs="仿宋_GB2312" w:eastAsia="仿宋_GB2312"/>
              </w:rPr>
              <w:t>投标人针对本项目设计理念、布展施工的重点、难点和亮点进行现场陈述（陈述形式包括但不限于PDF、PPT、动画视频等，陈述时间不超过10分钟。）要求内容清晰明确，贴合校史馆展陈题及学校文化特色，针对性强、可行性强。 注：（1）现场将使用腾讯视频会议形式与各投标人进行连线陈述，请各投标人保持通信畅通，否则造成任何后果由投标人自负。 （2）陈述须由拟派设计负责人进行陈述，与团队人员中名单中设计负责人一致。 满足项目要求，无瑕疵：10分；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现场陈述.docx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针对本项目布展施工要求，投标人提供完善、具体、针对性强、可行性强的施工进度计划安排、施工方案、工程质量技术组织措施、安全文明组织措施等内容。 满足项目要求，无瑕疵：8分； 内容存在1处瑕疵：7分； 内容存在2处瑕疵：6分； 内容存在3处瑕疵：5分； 内容存在4处瑕疵：4分； 内容存在5处瑕疵：3分； 内容存在6处瑕疵：2分； 内容存在7处瑕疵：1分；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布展施工机械配备和材料投入计划</w:t>
            </w:r>
          </w:p>
        </w:tc>
        <w:tc>
          <w:tcPr>
            <w:tcW w:type="dxa" w:w="2492"/>
          </w:tcPr>
          <w:p>
            <w:pPr>
              <w:pStyle w:val="null3"/>
            </w:pPr>
            <w:r>
              <w:rPr>
                <w:rFonts w:ascii="仿宋_GB2312" w:hAnsi="仿宋_GB2312" w:cs="仿宋_GB2312" w:eastAsia="仿宋_GB2312"/>
              </w:rPr>
              <w:t>根据本项目布展施工要求，投标人提供拟配备布展施工、机械及拟投入主要设备、材料清单明细及相关证明材料（包括但不限于品牌、规格、技术参数、质量证明材料、环保等）。 满足项目要求，无瑕疵：6分；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布展施工机械配备和材料投入计划.docx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投标人针对本项目需求，提供合理、完善的售后服务方案，保障项目实施及运行顺利。 满足项目要求，无瑕疵：3分； 内容存在1处瑕疵：2分； 内容存在2处瑕疵：1分； 未提供或内容存在3处及以上瑕疵：0分。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投标人拟派团队成员安排得当，分工明确，可满足项目设计需求及布展施工质量、工期需求。主要管理人员须为本单位人员。 ①提供项目团队成员列表、简历及相关佐证材料（包括但不限于学历、职称、相关资格证明、同类项目经验等）； ②提供拟投入项目主要管理人员（项目经理、技术负责人、安全负责人、设计负责人）投标截止日前6个月内任意一个月的社保。 满足项目要求，无瑕疵：6分；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投标人提供2019年1月1日以来已经完工的同类项目业绩（校史馆或博物馆），一份2分，满分12分。（以合同签订日期为准）。 备注：投标文件中同时提供合同复印件、验收报告、业主评价复印件并加盖公章，缺项不计分。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价格分统一采用低价优先法计算，具体要求如下： （1）本项目价格分由三部分组成，其中设计费报价：10分，施工费报价：10分，布展费报价：10分；各投标人须分别对应填报分项报价； （2）价格分评审以三个分项报价表的填报金额为评分依据。各分项报价表中，满足招标文件要求且投标报价最低的投标报价为评标基准价，其价格分为满分。其他投标人的价格分统一按照下列公式计算： 价格分=[(设计费评标基准价/设计费投标报价)×10]+[(施工费评标基准价/施工费投标报价)×10]+[(布展费评标基准价/布展费投标报价)×10]； （3）计算分数时四舍五入取小数点后两位； （4）外购展品费（5万元）、暂列金（15万元）均以固定价格包含在项目预算中，投标人须综合考虑报价。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详见附件：项目理解及布展理念.docx</w:t>
      </w:r>
    </w:p>
    <w:p>
      <w:pPr>
        <w:pStyle w:val="null3"/>
        <w:ind w:firstLine="960"/>
      </w:pPr>
      <w:r>
        <w:rPr>
          <w:rFonts w:ascii="仿宋_GB2312" w:hAnsi="仿宋_GB2312" w:cs="仿宋_GB2312" w:eastAsia="仿宋_GB2312"/>
        </w:rPr>
        <w:t>详见附件：布局与陈列方案.docx</w:t>
      </w:r>
    </w:p>
    <w:p>
      <w:pPr>
        <w:pStyle w:val="null3"/>
        <w:ind w:firstLine="960"/>
      </w:pPr>
      <w:r>
        <w:rPr>
          <w:rFonts w:ascii="仿宋_GB2312" w:hAnsi="仿宋_GB2312" w:cs="仿宋_GB2312" w:eastAsia="仿宋_GB2312"/>
        </w:rPr>
        <w:t>详见附件：室内设施展陈布置方案.docx</w:t>
      </w:r>
    </w:p>
    <w:p>
      <w:pPr>
        <w:pStyle w:val="null3"/>
        <w:ind w:firstLine="960"/>
      </w:pPr>
      <w:r>
        <w:rPr>
          <w:rFonts w:ascii="仿宋_GB2312" w:hAnsi="仿宋_GB2312" w:cs="仿宋_GB2312" w:eastAsia="仿宋_GB2312"/>
        </w:rPr>
        <w:t>详见附件：设计效果图.docx</w:t>
      </w:r>
    </w:p>
    <w:p>
      <w:pPr>
        <w:pStyle w:val="null3"/>
        <w:ind w:firstLine="960"/>
      </w:pPr>
      <w:r>
        <w:rPr>
          <w:rFonts w:ascii="仿宋_GB2312" w:hAnsi="仿宋_GB2312" w:cs="仿宋_GB2312" w:eastAsia="仿宋_GB2312"/>
        </w:rPr>
        <w:t>详见附件：展陈灯光设计.docx</w:t>
      </w:r>
    </w:p>
    <w:p>
      <w:pPr>
        <w:pStyle w:val="null3"/>
        <w:ind w:firstLine="960"/>
      </w:pPr>
      <w:r>
        <w:rPr>
          <w:rFonts w:ascii="仿宋_GB2312" w:hAnsi="仿宋_GB2312" w:cs="仿宋_GB2312" w:eastAsia="仿宋_GB2312"/>
        </w:rPr>
        <w:t>详见附件：现场陈述.docx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详见附件：布展施工机械配备和材料投入计划.docx</w:t>
      </w:r>
    </w:p>
    <w:p>
      <w:pPr>
        <w:pStyle w:val="null3"/>
        <w:ind w:firstLine="960"/>
      </w:pPr>
      <w:r>
        <w:rPr>
          <w:rFonts w:ascii="仿宋_GB2312" w:hAnsi="仿宋_GB2312" w:cs="仿宋_GB2312" w:eastAsia="仿宋_GB2312"/>
        </w:rPr>
        <w:t>详见附件：团队人员.docx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