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版本号：DQA-2024089-ZB-120250117001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磨粒分析系统采购项目(二次)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DQA-2024089-ZB-1</w:t>
      </w:r>
      <w:r>
        <w:br/>
      </w:r>
      <w:r>
        <w:br/>
      </w:r>
      <w:r>
        <w:br/>
      </w:r>
    </w:p>
    <w:p>
      <w:pPr>
        <w:pStyle w:val="null3"/>
        <w:jc w:val="center"/>
        <w:outlineLvl w:val="2"/>
      </w:pPr>
      <w:r>
        <w:rPr>
          <w:rFonts w:ascii="仿宋_GB2312" w:hAnsi="仿宋_GB2312" w:cs="仿宋_GB2312" w:eastAsia="仿宋_GB2312"/>
          <w:sz w:val="28"/>
          <w:b/>
        </w:rPr>
        <w:t>西安工业大学</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西安工业大学</w:t>
      </w:r>
      <w:r>
        <w:rPr>
          <w:rFonts w:ascii="仿宋_GB2312" w:hAnsi="仿宋_GB2312" w:cs="仿宋_GB2312" w:eastAsia="仿宋_GB2312"/>
        </w:rPr>
        <w:t>委托，拟对</w:t>
      </w:r>
      <w:r>
        <w:rPr>
          <w:rFonts w:ascii="仿宋_GB2312" w:hAnsi="仿宋_GB2312" w:cs="仿宋_GB2312" w:eastAsia="仿宋_GB2312"/>
        </w:rPr>
        <w:t>磨粒分析系统采购项目(二次)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DQA-2024089-ZB-1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磨粒分析系统采购项目(二次)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本项目拟采购磨粒分析系统。</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提供2023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4、社保缴纳证明：提供递交投标文件截止之日前一年内任意一个月的社会保障资金缴存单据或社保机构开具的社会保险参保缴费情况证明。依法不需要缴纳社会保障资金的投标人应提供相关证明文件</w:t>
      </w:r>
    </w:p>
    <w:p>
      <w:pPr>
        <w:pStyle w:val="null3"/>
      </w:pPr>
      <w:r>
        <w:rPr>
          <w:rFonts w:ascii="仿宋_GB2312" w:hAnsi="仿宋_GB2312" w:cs="仿宋_GB2312" w:eastAsia="仿宋_GB2312"/>
        </w:rPr>
        <w:t>5、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7、信用记录：投标人未被列入“信用中国”网站记录的“失信被执行人”或“重大税收违法案件当事人”名单 ；不处于“中国政府采购网”记录的“政府采购严重违法失信行为记录名单”中的禁止参加政府采购活动期间。（以采购人或采购代理机构开标当天查询结果为准）；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9、法定代表人授权委托书：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p>
      <w:pPr>
        <w:pStyle w:val="null3"/>
      </w:pPr>
      <w:r>
        <w:rPr>
          <w:rFonts w:ascii="仿宋_GB2312" w:hAnsi="仿宋_GB2312" w:cs="仿宋_GB2312" w:eastAsia="仿宋_GB2312"/>
        </w:rPr>
        <w:t>10、本项目不接受联合体投标，不允许分包：投标人应提供《非联合体不分包投标声明》，视为独立投标，不分包。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西安工业大学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未央区学府中路2号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梁老师、余老师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029-86173142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贾旭鸣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采购包1：557,800.00元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银行账号：52880188000025295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说明：1.中标人在签订合同前5个工作日内，向采购人缴纳合同总价5%的履约保证金； 2.中标人如期履约完成且不存在其他任何违约责任，采购人无息由原缴费账户退还履约保证金全款。 3.若中标人未能按照合同约定履行，则采购人有权全额扣除履约保证金，并保留追究中标人违约相关的法律责任。</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代理服务费收费标准：中标人在领取中标通知书前，须向采购代理机构一次性支付采购代理服务费，采购代理服务费按照中标金额的0.6%计取。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西安工业大学</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西安工业大学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西安工业大学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联系人：贾旭鸣</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采购磨粒分析系统，磨粒分析系统用于发动机润滑油、液压油、齿轮油、涡轮机油等工业应用领域及特种应用油品中污染物的监测，可直接捕获颗粒污染物的形貌图像。利用内置自动磨粒智能识别算法软件计算颗粒污染物的面积及等效圆直径，并输出颗粒污染物的数量和类型，可实现磨粒计数和分类识别。</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557,800.00</w:t>
      </w:r>
    </w:p>
    <w:p>
      <w:pPr>
        <w:pStyle w:val="null3"/>
      </w:pPr>
      <w:r>
        <w:rPr>
          <w:rFonts w:ascii="仿宋_GB2312" w:hAnsi="仿宋_GB2312" w:cs="仿宋_GB2312" w:eastAsia="仿宋_GB2312"/>
        </w:rPr>
        <w:t>采购包最高限价（元）: 557,800.00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磨粒分析系统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557,800.00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标的名称：磨粒分析系统</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63"/>
              <w:gridCol w:w="256"/>
              <w:gridCol w:w="1136"/>
              <w:gridCol w:w="153"/>
              <w:gridCol w:w="143"/>
            </w:tblGrid>
            <w:tr>
              <w:tc>
                <w:tcPr>
                  <w:tcW w:type="dxa" w:w="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设备名称</w:t>
                  </w:r>
                </w:p>
              </w:tc>
              <w:tc>
                <w:tcPr>
                  <w:tcW w:type="dxa" w:w="1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技术指标要求</w:t>
                  </w:r>
                </w:p>
              </w:tc>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磨粒分析系统</w:t>
                  </w:r>
                </w:p>
              </w:tc>
              <w:tc>
                <w:tcPr>
                  <w:tcW w:type="dxa" w:w="1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温度 </w:t>
                  </w:r>
                  <w:r>
                    <w:rPr>
                      <w:rFonts w:ascii="仿宋_GB2312" w:hAnsi="仿宋_GB2312" w:cs="仿宋_GB2312" w:eastAsia="仿宋_GB2312"/>
                      <w:sz w:val="21"/>
                    </w:rPr>
                    <w:t>-20-100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工业相机最高分辨率≥</w:t>
                  </w:r>
                  <w:r>
                    <w:rPr>
                      <w:rFonts w:ascii="仿宋_GB2312" w:hAnsi="仿宋_GB2312" w:cs="仿宋_GB2312" w:eastAsia="仿宋_GB2312"/>
                      <w:sz w:val="21"/>
                    </w:rPr>
                    <w:t>2K</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相机数量</w:t>
                  </w:r>
                  <w:r>
                    <w:rPr>
                      <w:rFonts w:ascii="仿宋_GB2312" w:hAnsi="仿宋_GB2312" w:cs="仿宋_GB2312" w:eastAsia="仿宋_GB2312"/>
                      <w:sz w:val="21"/>
                    </w:rPr>
                    <w:t>2</w:t>
                  </w:r>
                  <w:r>
                    <w:rPr>
                      <w:rFonts w:ascii="仿宋_GB2312" w:hAnsi="仿宋_GB2312" w:cs="仿宋_GB2312" w:eastAsia="仿宋_GB2312"/>
                      <w:sz w:val="21"/>
                    </w:rPr>
                    <w:t>台（标配</w:t>
                  </w:r>
                  <w:r>
                    <w:rPr>
                      <w:rFonts w:ascii="仿宋_GB2312" w:hAnsi="仿宋_GB2312" w:cs="仿宋_GB2312" w:eastAsia="仿宋_GB2312"/>
                      <w:sz w:val="21"/>
                    </w:rPr>
                    <w:t>1</w:t>
                  </w:r>
                  <w:r>
                    <w:rPr>
                      <w:rFonts w:ascii="仿宋_GB2312" w:hAnsi="仿宋_GB2312" w:cs="仿宋_GB2312" w:eastAsia="仿宋_GB2312"/>
                      <w:sz w:val="21"/>
                    </w:rPr>
                    <w:t>台，备机</w:t>
                  </w:r>
                  <w:r>
                    <w:rPr>
                      <w:rFonts w:ascii="仿宋_GB2312" w:hAnsi="仿宋_GB2312" w:cs="仿宋_GB2312" w:eastAsia="仿宋_GB2312"/>
                      <w:sz w:val="21"/>
                    </w:rPr>
                    <w:t>1</w:t>
                  </w:r>
                  <w:r>
                    <w:rPr>
                      <w:rFonts w:ascii="仿宋_GB2312" w:hAnsi="仿宋_GB2312" w:cs="仿宋_GB2312" w:eastAsia="仿宋_GB2312"/>
                      <w:sz w:val="21"/>
                    </w:rPr>
                    <w:t>台）。</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 xml:space="preserve">. </w:t>
                  </w:r>
                  <w:r>
                    <w:rPr>
                      <w:rFonts w:ascii="仿宋_GB2312" w:hAnsi="仿宋_GB2312" w:cs="仿宋_GB2312" w:eastAsia="仿宋_GB2312"/>
                      <w:sz w:val="21"/>
                    </w:rPr>
                    <w:t>功率≤</w:t>
                  </w:r>
                  <w:r>
                    <w:rPr>
                      <w:rFonts w:ascii="仿宋_GB2312" w:hAnsi="仿宋_GB2312" w:cs="仿宋_GB2312" w:eastAsia="仿宋_GB2312"/>
                      <w:sz w:val="21"/>
                    </w:rPr>
                    <w:t>120W</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 xml:space="preserve">. </w:t>
                  </w:r>
                  <w:r>
                    <w:rPr>
                      <w:rFonts w:ascii="仿宋_GB2312" w:hAnsi="仿宋_GB2312" w:cs="仿宋_GB2312" w:eastAsia="仿宋_GB2312"/>
                      <w:sz w:val="21"/>
                    </w:rPr>
                    <w:t>工业相机输出颜色</w:t>
                  </w:r>
                  <w:r>
                    <w:rPr>
                      <w:rFonts w:ascii="仿宋_GB2312" w:hAnsi="仿宋_GB2312" w:cs="仿宋_GB2312" w:eastAsia="仿宋_GB2312"/>
                      <w:sz w:val="21"/>
                    </w:rPr>
                    <w:t>:</w:t>
                  </w:r>
                  <w:r>
                    <w:rPr>
                      <w:rFonts w:ascii="仿宋_GB2312" w:hAnsi="仿宋_GB2312" w:cs="仿宋_GB2312" w:eastAsia="仿宋_GB2312"/>
                      <w:sz w:val="21"/>
                    </w:rPr>
                    <w:t>彩色</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 xml:space="preserve">. </w:t>
                  </w:r>
                  <w:r>
                    <w:rPr>
                      <w:rFonts w:ascii="仿宋_GB2312" w:hAnsi="仿宋_GB2312" w:cs="仿宋_GB2312" w:eastAsia="仿宋_GB2312"/>
                      <w:sz w:val="21"/>
                    </w:rPr>
                    <w:t>像素≥</w:t>
                  </w:r>
                  <w:r>
                    <w:rPr>
                      <w:rFonts w:ascii="仿宋_GB2312" w:hAnsi="仿宋_GB2312" w:cs="仿宋_GB2312" w:eastAsia="仿宋_GB2312"/>
                      <w:sz w:val="21"/>
                    </w:rPr>
                    <w:t>5MP</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 xml:space="preserve">. </w:t>
                  </w:r>
                  <w:r>
                    <w:rPr>
                      <w:rFonts w:ascii="仿宋_GB2312" w:hAnsi="仿宋_GB2312" w:cs="仿宋_GB2312" w:eastAsia="仿宋_GB2312"/>
                      <w:sz w:val="21"/>
                    </w:rPr>
                    <w:t>▲检测磨粒尺寸</w:t>
                  </w:r>
                  <w:r>
                    <w:rPr>
                      <w:rFonts w:ascii="仿宋_GB2312" w:hAnsi="仿宋_GB2312" w:cs="仿宋_GB2312" w:eastAsia="仿宋_GB2312"/>
                      <w:sz w:val="21"/>
                    </w:rPr>
                    <w:t>范围</w:t>
                  </w:r>
                  <w:r>
                    <w:rPr>
                      <w:rFonts w:ascii="仿宋_GB2312" w:hAnsi="仿宋_GB2312" w:cs="仿宋_GB2312" w:eastAsia="仿宋_GB2312"/>
                      <w:sz w:val="21"/>
                    </w:rPr>
                    <w:t>：</w:t>
                  </w:r>
                  <w:r>
                    <w:rPr>
                      <w:rFonts w:ascii="仿宋_GB2312" w:hAnsi="仿宋_GB2312" w:cs="仿宋_GB2312" w:eastAsia="仿宋_GB2312"/>
                      <w:sz w:val="21"/>
                    </w:rPr>
                    <w:t>5μm</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00</w:t>
                  </w:r>
                  <w:r>
                    <w:rPr>
                      <w:rFonts w:ascii="仿宋_GB2312" w:hAnsi="仿宋_GB2312" w:cs="仿宋_GB2312" w:eastAsia="仿宋_GB2312"/>
                      <w:sz w:val="21"/>
                    </w:rPr>
                    <w:t>μm</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 xml:space="preserve">. </w:t>
                  </w:r>
                  <w:r>
                    <w:rPr>
                      <w:rFonts w:ascii="仿宋_GB2312" w:hAnsi="仿宋_GB2312" w:cs="仿宋_GB2312" w:eastAsia="仿宋_GB2312"/>
                      <w:sz w:val="21"/>
                    </w:rPr>
                    <w:t>数据传输：无线</w:t>
                  </w:r>
                  <w:r>
                    <w:rPr>
                      <w:rFonts w:ascii="仿宋_GB2312" w:hAnsi="仿宋_GB2312" w:cs="仿宋_GB2312" w:eastAsia="仿宋_GB2312"/>
                      <w:sz w:val="21"/>
                    </w:rPr>
                    <w:t>/</w:t>
                  </w:r>
                  <w:r>
                    <w:rPr>
                      <w:rFonts w:ascii="仿宋_GB2312" w:hAnsi="仿宋_GB2312" w:cs="仿宋_GB2312" w:eastAsia="仿宋_GB2312"/>
                      <w:sz w:val="21"/>
                    </w:rPr>
                    <w:t>RJ45/</w:t>
                  </w:r>
                  <w:r>
                    <w:rPr>
                      <w:rFonts w:ascii="仿宋_GB2312" w:hAnsi="仿宋_GB2312" w:cs="仿宋_GB2312" w:eastAsia="仿宋_GB2312"/>
                      <w:sz w:val="21"/>
                    </w:rPr>
                    <w:t>RS</w:t>
                  </w:r>
                  <w:r>
                    <w:rPr>
                      <w:rFonts w:ascii="仿宋_GB2312" w:hAnsi="仿宋_GB2312" w:cs="仿宋_GB2312" w:eastAsia="仿宋_GB2312"/>
                      <w:sz w:val="21"/>
                    </w:rPr>
                    <w:t>485/</w:t>
                  </w:r>
                  <w:r>
                    <w:rPr>
                      <w:rFonts w:ascii="仿宋_GB2312" w:hAnsi="仿宋_GB2312" w:cs="仿宋_GB2312" w:eastAsia="仿宋_GB2312"/>
                      <w:sz w:val="21"/>
                    </w:rPr>
                    <w:t xml:space="preserve"> RS232</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 xml:space="preserve">. </w:t>
                  </w:r>
                  <w:r>
                    <w:rPr>
                      <w:rFonts w:ascii="仿宋_GB2312" w:hAnsi="仿宋_GB2312" w:cs="仿宋_GB2312" w:eastAsia="仿宋_GB2312"/>
                      <w:sz w:val="21"/>
                    </w:rPr>
                    <w:t>磨粒计数</w:t>
                  </w:r>
                  <w:r>
                    <w:rPr>
                      <w:rFonts w:ascii="仿宋_GB2312" w:hAnsi="仿宋_GB2312" w:cs="仿宋_GB2312" w:eastAsia="仿宋_GB2312"/>
                      <w:sz w:val="21"/>
                    </w:rPr>
                    <w:t xml:space="preserve"> 5-200 μm</w:t>
                  </w:r>
                  <w:r>
                    <w:rPr>
                      <w:rFonts w:ascii="仿宋_GB2312" w:hAnsi="仿宋_GB2312" w:cs="仿宋_GB2312" w:eastAsia="仿宋_GB2312"/>
                      <w:sz w:val="21"/>
                    </w:rPr>
                    <w:t xml:space="preserve"> </w:t>
                  </w:r>
                  <w:r>
                    <w:rPr>
                      <w:rFonts w:ascii="仿宋_GB2312" w:hAnsi="仿宋_GB2312" w:cs="仿宋_GB2312" w:eastAsia="仿宋_GB2312"/>
                      <w:sz w:val="21"/>
                    </w:rPr>
                    <w:t>磨粒分段计数</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 xml:space="preserve">. </w:t>
                  </w:r>
                  <w:r>
                    <w:rPr>
                      <w:rFonts w:ascii="仿宋_GB2312" w:hAnsi="仿宋_GB2312" w:cs="仿宋_GB2312" w:eastAsia="仿宋_GB2312"/>
                      <w:sz w:val="21"/>
                    </w:rPr>
                    <w:t xml:space="preserve">磨粒识别 </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μm</w:t>
                  </w:r>
                  <w:r>
                    <w:rPr>
                      <w:rFonts w:ascii="仿宋_GB2312" w:hAnsi="仿宋_GB2312" w:cs="仿宋_GB2312" w:eastAsia="仿宋_GB2312"/>
                      <w:sz w:val="21"/>
                    </w:rPr>
                    <w:t xml:space="preserve"> </w:t>
                  </w:r>
                  <w:r>
                    <w:rPr>
                      <w:rFonts w:ascii="仿宋_GB2312" w:hAnsi="仿宋_GB2312" w:cs="仿宋_GB2312" w:eastAsia="仿宋_GB2312"/>
                      <w:sz w:val="21"/>
                    </w:rPr>
                    <w:t>磨粒智能识别</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 xml:space="preserve">. </w:t>
                  </w:r>
                  <w:r>
                    <w:rPr>
                      <w:rFonts w:ascii="仿宋_GB2312" w:hAnsi="仿宋_GB2312" w:cs="仿宋_GB2312" w:eastAsia="仿宋_GB2312"/>
                      <w:sz w:val="21"/>
                    </w:rPr>
                    <w:t>获取磨粒尺寸、面积、周长、质心参数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 xml:space="preserve">. </w:t>
                  </w:r>
                  <w:r>
                    <w:rPr>
                      <w:rFonts w:ascii="仿宋_GB2312" w:hAnsi="仿宋_GB2312" w:cs="仿宋_GB2312" w:eastAsia="仿宋_GB2312"/>
                      <w:sz w:val="21"/>
                    </w:rPr>
                    <w:t>可对磨粒进行疲劳磨粒、切削磨粒、严重滑动磨粒、正常磨粒等分类</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 xml:space="preserve">. </w:t>
                  </w:r>
                  <w:r>
                    <w:rPr>
                      <w:rFonts w:ascii="仿宋_GB2312" w:hAnsi="仿宋_GB2312" w:cs="仿宋_GB2312" w:eastAsia="仿宋_GB2312"/>
                      <w:sz w:val="21"/>
                    </w:rPr>
                    <w:t>划分设备磨损等级，判断机械装备的磨损状态</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 xml:space="preserve">. </w:t>
                  </w:r>
                  <w:r>
                    <w:rPr>
                      <w:rFonts w:ascii="仿宋_GB2312" w:hAnsi="仿宋_GB2312" w:cs="仿宋_GB2312" w:eastAsia="仿宋_GB2312"/>
                      <w:sz w:val="21"/>
                    </w:rPr>
                    <w:t>▲实现设备磨损趋势预测、故障预警</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 xml:space="preserve">. </w:t>
                  </w:r>
                  <w:r>
                    <w:rPr>
                      <w:rFonts w:ascii="仿宋_GB2312" w:hAnsi="仿宋_GB2312" w:cs="仿宋_GB2312" w:eastAsia="仿宋_GB2312"/>
                      <w:sz w:val="21"/>
                    </w:rPr>
                    <w:t>▲实现油液黏度、水分、温度、污染度等采集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 xml:space="preserve">. </w:t>
                  </w:r>
                  <w:r>
                    <w:rPr>
                      <w:rFonts w:ascii="仿宋_GB2312" w:hAnsi="仿宋_GB2312" w:cs="仿宋_GB2312" w:eastAsia="仿宋_GB2312"/>
                      <w:sz w:val="21"/>
                    </w:rPr>
                    <w:t>测量油液黏度范围：</w:t>
                  </w:r>
                  <w:r>
                    <w:rPr>
                      <w:rFonts w:ascii="仿宋_GB2312" w:hAnsi="仿宋_GB2312" w:cs="仿宋_GB2312" w:eastAsia="仿宋_GB2312"/>
                      <w:sz w:val="21"/>
                    </w:rPr>
                    <w:t>1-500cst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 xml:space="preserve">. </w:t>
                  </w:r>
                  <w:r>
                    <w:rPr>
                      <w:rFonts w:ascii="仿宋_GB2312" w:hAnsi="仿宋_GB2312" w:cs="仿宋_GB2312" w:eastAsia="仿宋_GB2312"/>
                      <w:sz w:val="21"/>
                    </w:rPr>
                    <w:t>测量含水率精度≤</w:t>
                  </w:r>
                  <w:r>
                    <w:rPr>
                      <w:rFonts w:ascii="仿宋_GB2312" w:hAnsi="仿宋_GB2312" w:cs="仿宋_GB2312" w:eastAsia="仿宋_GB2312"/>
                      <w:sz w:val="21"/>
                    </w:rPr>
                    <w:t>0.5%</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 xml:space="preserve">. </w:t>
                  </w:r>
                  <w:r>
                    <w:rPr>
                      <w:rFonts w:ascii="仿宋_GB2312" w:hAnsi="仿宋_GB2312" w:cs="仿宋_GB2312" w:eastAsia="仿宋_GB2312"/>
                      <w:sz w:val="21"/>
                    </w:rPr>
                    <w:t>介电常数指标：</w:t>
                  </w:r>
                  <w:r>
                    <w:rPr>
                      <w:rFonts w:ascii="仿宋_GB2312" w:hAnsi="仿宋_GB2312" w:cs="仿宋_GB2312" w:eastAsia="仿宋_GB2312"/>
                      <w:sz w:val="21"/>
                    </w:rPr>
                    <w:t>1-6F/M</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9</w:t>
                  </w:r>
                  <w:r>
                    <w:rPr>
                      <w:rFonts w:ascii="仿宋_GB2312" w:hAnsi="仿宋_GB2312" w:cs="仿宋_GB2312" w:eastAsia="仿宋_GB2312"/>
                      <w:sz w:val="21"/>
                    </w:rPr>
                    <w:t xml:space="preserve">. </w:t>
                  </w:r>
                  <w:r>
                    <w:rPr>
                      <w:rFonts w:ascii="仿宋_GB2312" w:hAnsi="仿宋_GB2312" w:cs="仿宋_GB2312" w:eastAsia="仿宋_GB2312"/>
                      <w:sz w:val="21"/>
                    </w:rPr>
                    <w:t>测量油液污染度准确性：±</w:t>
                  </w:r>
                  <w:r>
                    <w:rPr>
                      <w:rFonts w:ascii="仿宋_GB2312" w:hAnsi="仿宋_GB2312" w:cs="仿宋_GB2312" w:eastAsia="仿宋_GB2312"/>
                      <w:sz w:val="21"/>
                    </w:rPr>
                    <w:t>1</w:t>
                  </w:r>
                  <w:r>
                    <w:rPr>
                      <w:rFonts w:ascii="仿宋_GB2312" w:hAnsi="仿宋_GB2312" w:cs="仿宋_GB2312" w:eastAsia="仿宋_GB2312"/>
                      <w:sz w:val="21"/>
                    </w:rPr>
                    <w:t>个污染度等级</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 xml:space="preserve">. </w:t>
                  </w:r>
                  <w:r>
                    <w:rPr>
                      <w:rFonts w:ascii="仿宋_GB2312" w:hAnsi="仿宋_GB2312" w:cs="仿宋_GB2312" w:eastAsia="仿宋_GB2312"/>
                      <w:sz w:val="21"/>
                    </w:rPr>
                    <w:t>油液</w:t>
                  </w:r>
                  <w:r>
                    <w:rPr>
                      <w:rFonts w:ascii="仿宋_GB2312" w:hAnsi="仿宋_GB2312" w:cs="仿宋_GB2312" w:eastAsia="仿宋_GB2312"/>
                      <w:sz w:val="21"/>
                    </w:rPr>
                    <w:t>污染度按照</w:t>
                  </w:r>
                  <w:r>
                    <w:rPr>
                      <w:rFonts w:ascii="仿宋_GB2312" w:hAnsi="仿宋_GB2312" w:cs="仿宋_GB2312" w:eastAsia="仿宋_GB2312"/>
                      <w:sz w:val="21"/>
                    </w:rPr>
                    <w:t>ISO4406,NAS1638标准等级输出</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 xml:space="preserve">. </w:t>
                  </w:r>
                  <w:r>
                    <w:rPr>
                      <w:rFonts w:ascii="仿宋_GB2312" w:hAnsi="仿宋_GB2312" w:cs="仿宋_GB2312" w:eastAsia="仿宋_GB2312"/>
                      <w:sz w:val="21"/>
                    </w:rPr>
                    <w:t>▲系统软件云平台实现在线监测、诊断分析，历史报警、数据统计分析、维护措施</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 xml:space="preserve">. </w:t>
                  </w:r>
                  <w:r>
                    <w:rPr>
                      <w:rFonts w:ascii="仿宋_GB2312" w:hAnsi="仿宋_GB2312" w:cs="仿宋_GB2312" w:eastAsia="仿宋_GB2312"/>
                      <w:sz w:val="21"/>
                    </w:rPr>
                    <w:t>云平台中油液在线监测数据可基于</w:t>
                  </w:r>
                  <w:r>
                    <w:rPr>
                      <w:rFonts w:ascii="仿宋_GB2312" w:hAnsi="仿宋_GB2312" w:cs="仿宋_GB2312" w:eastAsia="仿宋_GB2312"/>
                      <w:sz w:val="21"/>
                    </w:rPr>
                    <w:t>EXC</w:t>
                  </w:r>
                  <w:r>
                    <w:rPr>
                      <w:rFonts w:ascii="仿宋_GB2312" w:hAnsi="仿宋_GB2312" w:cs="仿宋_GB2312" w:eastAsia="仿宋_GB2312"/>
                      <w:sz w:val="21"/>
                    </w:rPr>
                    <w:t>E</w:t>
                  </w:r>
                  <w:r>
                    <w:rPr>
                      <w:rFonts w:ascii="仿宋_GB2312" w:hAnsi="仿宋_GB2312" w:cs="仿宋_GB2312" w:eastAsia="仿宋_GB2312"/>
                      <w:sz w:val="21"/>
                    </w:rPr>
                    <w:t>L</w:t>
                  </w:r>
                  <w:r>
                    <w:rPr>
                      <w:rFonts w:ascii="仿宋_GB2312" w:hAnsi="仿宋_GB2312" w:cs="仿宋_GB2312" w:eastAsia="仿宋_GB2312"/>
                      <w:sz w:val="21"/>
                    </w:rPr>
                    <w:t>格式导出和油液离线诊断报告可基于</w:t>
                  </w:r>
                  <w:r>
                    <w:rPr>
                      <w:rFonts w:ascii="仿宋_GB2312" w:hAnsi="仿宋_GB2312" w:cs="仿宋_GB2312" w:eastAsia="仿宋_GB2312"/>
                      <w:sz w:val="21"/>
                    </w:rPr>
                    <w:t>PDF</w:t>
                  </w:r>
                  <w:r>
                    <w:rPr>
                      <w:rFonts w:ascii="仿宋_GB2312" w:hAnsi="仿宋_GB2312" w:cs="仿宋_GB2312" w:eastAsia="仿宋_GB2312"/>
                      <w:sz w:val="21"/>
                    </w:rPr>
                    <w:t>格式导出。</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 xml:space="preserve">. </w:t>
                  </w:r>
                  <w:r>
                    <w:rPr>
                      <w:rFonts w:ascii="仿宋_GB2312" w:hAnsi="仿宋_GB2312" w:cs="仿宋_GB2312" w:eastAsia="仿宋_GB2312"/>
                      <w:sz w:val="21"/>
                    </w:rPr>
                    <w:t>智能控制面板：需配置≥</w:t>
                  </w:r>
                  <w:r>
                    <w:rPr>
                      <w:rFonts w:ascii="仿宋_GB2312" w:hAnsi="仿宋_GB2312" w:cs="仿宋_GB2312" w:eastAsia="仿宋_GB2312"/>
                      <w:sz w:val="21"/>
                    </w:rPr>
                    <w:t>5</w:t>
                  </w:r>
                  <w:r>
                    <w:rPr>
                      <w:rFonts w:ascii="仿宋_GB2312" w:hAnsi="仿宋_GB2312" w:cs="仿宋_GB2312" w:eastAsia="仿宋_GB2312"/>
                      <w:sz w:val="21"/>
                    </w:rPr>
                    <w:t>英寸工业触摸屏等，</w:t>
                  </w:r>
                  <w:r>
                    <w:rPr>
                      <w:rFonts w:ascii="仿宋_GB2312" w:hAnsi="仿宋_GB2312" w:cs="仿宋_GB2312" w:eastAsia="仿宋_GB2312"/>
                      <w:sz w:val="21"/>
                    </w:rPr>
                    <w:t>实时监测油液的劣化、污染及摩擦副磨损状态。</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4</w:t>
                  </w:r>
                  <w:r>
                    <w:rPr>
                      <w:rFonts w:ascii="仿宋_GB2312" w:hAnsi="仿宋_GB2312" w:cs="仿宋_GB2312" w:eastAsia="仿宋_GB2312"/>
                      <w:sz w:val="21"/>
                    </w:rPr>
                    <w:t xml:space="preserve">. </w:t>
                  </w:r>
                  <w:r>
                    <w:rPr>
                      <w:rFonts w:ascii="仿宋_GB2312" w:hAnsi="仿宋_GB2312" w:cs="仿宋_GB2312" w:eastAsia="仿宋_GB2312"/>
                      <w:sz w:val="21"/>
                    </w:rPr>
                    <w:t>运算终端要求包括：辅助显示屏≥</w:t>
                  </w:r>
                  <w:r>
                    <w:rPr>
                      <w:rFonts w:ascii="仿宋_GB2312" w:hAnsi="仿宋_GB2312" w:cs="仿宋_GB2312" w:eastAsia="仿宋_GB2312"/>
                      <w:sz w:val="21"/>
                    </w:rPr>
                    <w:t>24</w:t>
                  </w:r>
                  <w:r>
                    <w:rPr>
                      <w:rFonts w:ascii="仿宋_GB2312" w:hAnsi="仿宋_GB2312" w:cs="仿宋_GB2312" w:eastAsia="仿宋_GB2312"/>
                      <w:sz w:val="21"/>
                    </w:rPr>
                    <w:t>英寸</w:t>
                  </w:r>
                  <w:r>
                    <w:rPr>
                      <w:rFonts w:ascii="仿宋_GB2312" w:hAnsi="仿宋_GB2312" w:cs="仿宋_GB2312" w:eastAsia="仿宋_GB2312"/>
                      <w:sz w:val="21"/>
                    </w:rPr>
                    <w:t>*3</w:t>
                  </w:r>
                  <w:r>
                    <w:rPr>
                      <w:rFonts w:ascii="仿宋_GB2312" w:hAnsi="仿宋_GB2312" w:cs="仿宋_GB2312" w:eastAsia="仿宋_GB2312"/>
                      <w:sz w:val="21"/>
                    </w:rPr>
                    <w:t>，分别具备独立计算分析能力、运算性能≥</w:t>
                  </w:r>
                  <w:r>
                    <w:rPr>
                      <w:rFonts w:ascii="仿宋_GB2312" w:hAnsi="仿宋_GB2312" w:cs="仿宋_GB2312" w:eastAsia="仿宋_GB2312"/>
                      <w:sz w:val="21"/>
                    </w:rPr>
                    <w:t>12</w:t>
                  </w:r>
                  <w:r>
                    <w:rPr>
                      <w:rFonts w:ascii="仿宋_GB2312" w:hAnsi="仿宋_GB2312" w:cs="仿宋_GB2312" w:eastAsia="仿宋_GB2312"/>
                      <w:sz w:val="21"/>
                    </w:rPr>
                    <w:t>代</w:t>
                  </w:r>
                  <w:r>
                    <w:rPr>
                      <w:rFonts w:ascii="仿宋_GB2312" w:hAnsi="仿宋_GB2312" w:cs="仿宋_GB2312" w:eastAsia="仿宋_GB2312"/>
                      <w:sz w:val="21"/>
                    </w:rPr>
                    <w:t>i7</w:t>
                  </w:r>
                  <w:r>
                    <w:rPr>
                      <w:rFonts w:ascii="仿宋_GB2312" w:hAnsi="仿宋_GB2312" w:cs="仿宋_GB2312" w:eastAsia="仿宋_GB2312"/>
                      <w:sz w:val="21"/>
                    </w:rPr>
                    <w:t>、运行内存≥</w:t>
                  </w:r>
                  <w:r>
                    <w:rPr>
                      <w:rFonts w:ascii="仿宋_GB2312" w:hAnsi="仿宋_GB2312" w:cs="仿宋_GB2312" w:eastAsia="仿宋_GB2312"/>
                      <w:sz w:val="21"/>
                    </w:rPr>
                    <w:t>32G</w:t>
                  </w:r>
                  <w:r>
                    <w:rPr>
                      <w:rFonts w:ascii="仿宋_GB2312" w:hAnsi="仿宋_GB2312" w:cs="仿宋_GB2312" w:eastAsia="仿宋_GB2312"/>
                      <w:sz w:val="21"/>
                    </w:rPr>
                    <w:t>、储存≥</w:t>
                  </w:r>
                  <w:r>
                    <w:rPr>
                      <w:rFonts w:ascii="仿宋_GB2312" w:hAnsi="仿宋_GB2312" w:cs="仿宋_GB2312" w:eastAsia="仿宋_GB2312"/>
                      <w:sz w:val="21"/>
                    </w:rPr>
                    <w:t>1TB</w:t>
                  </w:r>
                  <w:r>
                    <w:rPr>
                      <w:rFonts w:ascii="仿宋_GB2312" w:hAnsi="仿宋_GB2312" w:cs="仿宋_GB2312" w:eastAsia="仿宋_GB2312"/>
                      <w:sz w:val="21"/>
                    </w:rPr>
                    <w:t>、屏幕比例：</w:t>
                  </w:r>
                  <w:r>
                    <w:rPr>
                      <w:rFonts w:ascii="仿宋_GB2312" w:hAnsi="仿宋_GB2312" w:cs="仿宋_GB2312" w:eastAsia="仿宋_GB2312"/>
                      <w:sz w:val="21"/>
                    </w:rPr>
                    <w:t>16:9</w:t>
                  </w:r>
                  <w:r>
                    <w:rPr>
                      <w:rFonts w:ascii="仿宋_GB2312" w:hAnsi="仿宋_GB2312" w:cs="仿宋_GB2312" w:eastAsia="仿宋_GB2312"/>
                      <w:sz w:val="21"/>
                    </w:rPr>
                    <w:t>、分辨率：≥</w:t>
                  </w:r>
                  <w:r>
                    <w:rPr>
                      <w:rFonts w:ascii="仿宋_GB2312" w:hAnsi="仿宋_GB2312" w:cs="仿宋_GB2312" w:eastAsia="仿宋_GB2312"/>
                      <w:sz w:val="21"/>
                    </w:rPr>
                    <w:t xml:space="preserve">4K </w:t>
                  </w:r>
                  <w:r>
                    <w:rPr>
                      <w:rFonts w:ascii="仿宋_GB2312" w:hAnsi="仿宋_GB2312" w:cs="仿宋_GB2312" w:eastAsia="仿宋_GB2312"/>
                      <w:sz w:val="21"/>
                    </w:rPr>
                    <w:t>。</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合同签订后60天内交货安装验收完毕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西安工业大学未央校区指定地点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中标人完成合同约定中全部设备部署100%，进行调试培训，并组织有关部门进行项目验收合格后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要求：验收分为初验和终验两个阶段。中标人按采购人要求将全部货物、设备安装所需的配套辅材及配套技术资料送达指定地点，经采购人现场按招标文件及合同中的采购参数内容验收，核对登记后方可进行安装调试。最终验收按合同约定的时间进行。 培训要求：培训内容按照三级（初级、中级、高级）层次分别安排不同的内容进行，三个级别的培训内容的深度也逐渐加深，主要包括： 1、设备操作、维护、维修的基础知识（含设备的日常管理、点检、巡检、润滑、调整、紧固等）。 2、单台设备具体培训(含设备工作原理、结构及功能、性能参数、设备操作规程的学习和完善、作业指导书等内容）。 3、设备常见故障及处理方法。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1.本项目整体质保期：验收合格后5 年；质保期满后，中标（成交）供应商仍需提供专业维修服务。 2.对安装环境基础设施进行维护、保障设备正常安装运行。 3.质保期内免费提供正常使用的易损件和备件；软件系统提供终身免费升级服务。 4. 设备经过双方检验认可后，签署验收报告，产品保修期自验收合格之日起计算，由中标（成交）供应商提供产品保修文件。 5. 质保期内所有维修服务均由中标（成交）供应商免费上门取、送、修。安装调试1个月内，如有质量问题，设备整机无条件退换货并提供备件以保证教学正常开展。在保修期内，任何质量问题，中标（成交）供应商负责免费维修。 6. 质保期过后需换件时，原则上应提供原装器件，并按成本价收费。 7. 服务响应时间：中标（成交）供应商接到维修电话后2小时内给予明确答复，4小时内到达现场维修。维修人员到现场后若问题特殊无法现场修复的，中标（成交）供应商需在24小时内给出合理解决方案。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1）供应商需要在线提交所有通过电子化交易平台实施的政府采购项目的投标文件，同时，线下提交纸质投标文件正本壹份、副本贰份。若电子投标文件与纸质投标文件不一致的，以电子投标文件为准。（2）投标文件，正、副本分别各自装订成册密封。在封口处加盖供应商公章。（3）线下投标文件递交截止时间与线上开评标时间一致。（4）纸质投标文件可邮寄递交，应于递交投标文件截止时间前邮寄到西安市高新区丈八一路1号汇鑫中心D座2206室（陕西德勤招标有限公司）。 2、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deqinjxm@126.com（邮件命名：项目编号）；投标人应在投标文件中附保函扫描件。保函必须由具有开具投标保函资格的单位开具；若中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 3、因文件关于合同签订时间无法修改，特在此处说明，中标人应当在中标通知书发出之日起25日内与采购人签订政府采购合同。 4、合同价款：全部成本、预期利益、税费、设备价、运输费（含保险费）、安装调试费、培训费、产品辅材费、系统集成费用、安装期间必须的场地调整费用、安全维护、售后服务费、驻场及其他后期维保费用、备品备件费用、第三方接口费、其它伴随费用和合同中规定中标人应承担的其他义务的费用等。合同总价一次性包死，不受市场价格变化因素的影响。除本合同总金额外，采购人不再支付任何其他费用。 5、因本项目存在后期扩展的可能，实验台所配套的元器件必须为符合相关标准的标准件，如有损坏可随时更换。 6、因本项目存在后期扩展的可能，项目实施中电线的承载功率需按实际带载全部设备总功率的2倍以上计算。 7、违约责任与解决争议的方法 （1）双方必须遵守本合同并执行合同中的各项规定，保证本合同的正常履行。（2）如因中标人工作人员在履行职务过程中的疏忽、失职、过错等故意或者过失原因给采购人造成损失或侵害，包括但不限于采购人本身的财产损失、由此而导致的采购人对任何第三方的法律责任等，中标人对此均应承担全部的赔偿责任。（3）因本项目涉及新学期教学正常运行开展，影响广泛重大，若未能按照合同签订要求如期履约，则全额扣除履约保证金，对学校造成的其他损失由中标人承担。（4）中标人在项目实施过程中所引起的任何人身损害、对第三方侵害、经济和劳动纠纷全部由中标人负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提供递交投标文件截止之日前一年内任意一个月的社会保障资金缴存单据或社保机构开具的社会保险参保缴费情况证明。依法不需要缴纳社会保障资金的投标人应提供相关证明文件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投标人未被列入“信用中国”网站记录的“失信被执行人”或“重大税收违法案件当事人”名单 ；不处于“中国政府采购网”记录的“政府采购严重违法失信行为记录名单”中的禁止参加政府采购活动期间。（以采购人或采购代理机构开标当天查询结果为准）；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投标人应提供《非联合体不分包投标声明》，视为独立投标，不分包。</w:t>
            </w:r>
          </w:p>
        </w:tc>
        <w:tc>
          <w:tcPr>
            <w:tcW w:type="dxa" w:w="1661"/>
          </w:tcPr>
          <w:p>
            <w:pPr>
              <w:pStyle w:val="null3"/>
            </w:pPr>
            <w:r>
              <w:rPr>
                <w:rFonts w:ascii="仿宋_GB2312" w:hAnsi="仿宋_GB2312" w:cs="仿宋_GB2312" w:eastAsia="仿宋_GB2312"/>
              </w:rPr>
              <w:t>非联合体不分包投标声明</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投标文件语言及有效期符合招标文件要求。</w:t>
            </w:r>
          </w:p>
        </w:tc>
        <w:tc>
          <w:tcPr>
            <w:tcW w:type="dxa" w:w="1661"/>
          </w:tcPr>
          <w:p>
            <w:pPr>
              <w:pStyle w:val="null3"/>
            </w:pPr>
            <w:r>
              <w:rPr>
                <w:rFonts w:ascii="仿宋_GB2312" w:hAnsi="仿宋_GB2312" w:cs="仿宋_GB2312" w:eastAsia="仿宋_GB2312"/>
              </w:rPr>
              <w:t>开标一览表 保证金汇款声明函 技术方案（货物） 中小企业声明函 商务应答表 控股管理关系 法定代表人授权书 投标人应提交的相关资格证明材料 近三年无重大违法、违纪书面声明 产品技术参数表 分项报价表（货物） 投标函 残疾人福利性单位声明函 标的清单 非联合体不分包投标声明 投标文件封面 书面声明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投标函 投标文件封面 法定代表人授权书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保证金汇款声明函 技术方案（货物） 中小企业声明函 商务应答表 控股管理关系 法定代表人授权书 投标人应提交的相关资格证明材料 近三年无重大违法、违纪书面声明 产品技术参数表 分项报价表（货物） 投标函 残疾人福利性单位声明函 标的清单 非联合体不分包投标声明 投标文件封面 书面声明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开标一览表 保证金汇款声明函 技术方案（货物） 中小企业声明函 商务应答表 控股管理关系 法定代表人授权书 投标人应提交的相关资格证明材料 近三年无重大违法、违纪书面声明 产品技术参数表 分项报价表（货物） 投标函 残疾人福利性单位声明函 标的清单 非联合体不分包投标声明 投标文件封面 书面声明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方案中各项设备及软件功能的技术参数响应清晰明确，符合使用要求，技术指标和性能完全响应招标文件要求，满足使用需求，计28分。结合规格、技术参数偏离表的响应证明材料，按招标文件内配置最低要求，每出现1个负偏离，扣1分，带“▲”号指标项每出现1个负偏离扣2分。扣完为止。投标人须按招标文件要求提供带“▲”号指标项的证明材料（证明材料包括但不限于第三方机构出具的检测报告或功能截图或产品说明书或技术参数白皮书，加盖投标人公章），否则自行承担未提供证明材料导致技术参数被视为负偏离的风险。</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时间合理性，1、提供具体可行的实施方案，具体的供货组织安排；2、详细的人员、财力调配、运输、派送措施及设备到货后验收；3、实施进度及保证措施设备安装；4、人员组成及人员调配、安装调试等。根据方案的完整全面，实施方案组织合理，调配运输方案清晰明确，进度保障措施先进可靠，能够切实保障项目时效性的得10分；每有一项缺项内容扣2.5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提供投标人2021年1月1日至今同类项目业绩（以合同签订时间为准），提供中标通知书和完整合同复印件（扫描件）加盖投标人公章，每份计2分，最高得6分。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产品质量保障</w:t>
            </w:r>
          </w:p>
        </w:tc>
        <w:tc>
          <w:tcPr>
            <w:tcW w:type="dxa" w:w="2492"/>
          </w:tcPr>
          <w:p>
            <w:pPr>
              <w:pStyle w:val="null3"/>
            </w:pPr>
            <w:r>
              <w:rPr>
                <w:rFonts w:ascii="仿宋_GB2312" w:hAnsi="仿宋_GB2312" w:cs="仿宋_GB2312" w:eastAsia="仿宋_GB2312"/>
              </w:rPr>
              <w:t>1、整体配置具有合理性、一致性、兼容性；2、产品品牌、型号、产地明确，备品配件供应有保障；3、有具体可行的质量保证承诺；4、保证使用单位能熟练操作维护和正常使用。选型方案先进可靠，质量保证承诺详尽得8分；每有一项缺项内容扣2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内容包含：1、培训地点及时间安排；2、培训内容安排，内容至少应包括：所提供产品的原理和技术性能、操作维护方法、安装调试、排除故障等各个方面；3、现场及远程培训方案； 4、拟派培训人员团队。 评审标准： 方案描述详尽清晰，可行性高，内容完整无缺项漏项，得8分，每有一项缺项内容扣2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针对本项目提供售后服务方案，内容包含：1、为本项目配备的售后服务团队；2、为本项目提供的后期运维及提升等服务承诺；3、可提供的增值服务；4、保修期的保修范围和维护期的服务范围等。 评审标准： 方案描述详尽清晰，可行性高，内容完整无缺项漏项，得10分，每有一项缺项内容扣2.5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采用低价优先法计算，即实质性满足招标文件要求且价格最低的报价为评标基准价，其价格分为满分。投标报价得分＝（评标基准价/投标报价）×30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详见附件：非联合体不分包投标声明</w:t>
      </w:r>
    </w:p>
    <w:p>
      <w:pPr>
        <w:pStyle w:val="null3"/>
        <w:ind w:firstLine="960"/>
      </w:pPr>
      <w:r>
        <w:rPr>
          <w:rFonts w:ascii="仿宋_GB2312" w:hAnsi="仿宋_GB2312" w:cs="仿宋_GB2312" w:eastAsia="仿宋_GB2312"/>
        </w:rPr>
        <w:t>详见附件：分项报价表（货物）</w:t>
      </w:r>
    </w:p>
    <w:p>
      <w:pPr>
        <w:pStyle w:val="null3"/>
        <w:ind w:firstLine="960"/>
      </w:pPr>
      <w:r>
        <w:rPr>
          <w:rFonts w:ascii="仿宋_GB2312" w:hAnsi="仿宋_GB2312" w:cs="仿宋_GB2312" w:eastAsia="仿宋_GB2312"/>
        </w:rPr>
        <w:t>详见附件：技术方案（货物）</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