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8"/>
        <w:gridCol w:w="464"/>
        <w:gridCol w:w="7095"/>
      </w:tblGrid>
      <w:tr w14:paraId="527CF9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noWrap w:val="0"/>
            <w:vAlign w:val="center"/>
          </w:tcPr>
          <w:p w14:paraId="048B69EC">
            <w:pPr>
              <w:pStyle w:val="5"/>
              <w:spacing w:line="460" w:lineRule="atLeast"/>
              <w:jc w:val="center"/>
              <w:rPr>
                <w:rFonts w:hint="default"/>
                <w:sz w:val="24"/>
                <w:szCs w:val="24"/>
                <w:highlight w:val="none"/>
              </w:rPr>
            </w:pPr>
            <w:r>
              <w:rPr>
                <w:sz w:val="24"/>
                <w:szCs w:val="24"/>
                <w:highlight w:val="none"/>
              </w:rPr>
              <w:t>参数性质</w:t>
            </w:r>
          </w:p>
        </w:tc>
        <w:tc>
          <w:tcPr>
            <w:tcW w:w="464" w:type="dxa"/>
            <w:noWrap w:val="0"/>
            <w:vAlign w:val="center"/>
          </w:tcPr>
          <w:p w14:paraId="3B3B1750">
            <w:pPr>
              <w:pStyle w:val="5"/>
              <w:spacing w:line="460" w:lineRule="atLeast"/>
              <w:jc w:val="center"/>
              <w:rPr>
                <w:rFonts w:hint="default"/>
                <w:sz w:val="24"/>
                <w:szCs w:val="24"/>
                <w:highlight w:val="none"/>
              </w:rPr>
            </w:pPr>
            <w:r>
              <w:rPr>
                <w:sz w:val="24"/>
                <w:szCs w:val="24"/>
                <w:highlight w:val="none"/>
              </w:rPr>
              <w:t>序号</w:t>
            </w:r>
          </w:p>
        </w:tc>
        <w:tc>
          <w:tcPr>
            <w:tcW w:w="7095" w:type="dxa"/>
            <w:noWrap w:val="0"/>
            <w:vAlign w:val="center"/>
          </w:tcPr>
          <w:p w14:paraId="27492465">
            <w:pPr>
              <w:pStyle w:val="5"/>
              <w:spacing w:line="460" w:lineRule="atLeast"/>
              <w:jc w:val="center"/>
              <w:rPr>
                <w:rFonts w:hint="default"/>
                <w:sz w:val="24"/>
                <w:szCs w:val="24"/>
                <w:highlight w:val="none"/>
              </w:rPr>
            </w:pPr>
            <w:r>
              <w:rPr>
                <w:sz w:val="24"/>
                <w:szCs w:val="24"/>
                <w:highlight w:val="none"/>
              </w:rPr>
              <w:t>技术参数与性能指标</w:t>
            </w:r>
          </w:p>
        </w:tc>
      </w:tr>
      <w:tr w14:paraId="502FBE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noWrap w:val="0"/>
            <w:vAlign w:val="top"/>
          </w:tcPr>
          <w:p w14:paraId="653F1A9D">
            <w:pPr>
              <w:spacing w:line="460" w:lineRule="atLeast"/>
              <w:rPr>
                <w:sz w:val="24"/>
                <w:highlight w:val="none"/>
              </w:rPr>
            </w:pPr>
          </w:p>
        </w:tc>
        <w:tc>
          <w:tcPr>
            <w:tcW w:w="464" w:type="dxa"/>
            <w:noWrap w:val="0"/>
            <w:vAlign w:val="top"/>
          </w:tcPr>
          <w:p w14:paraId="57C86405">
            <w:pPr>
              <w:pStyle w:val="5"/>
              <w:spacing w:line="460" w:lineRule="atLeast"/>
              <w:rPr>
                <w:rFonts w:hint="default"/>
                <w:sz w:val="24"/>
                <w:szCs w:val="24"/>
                <w:highlight w:val="none"/>
              </w:rPr>
            </w:pPr>
            <w:r>
              <w:rPr>
                <w:sz w:val="24"/>
                <w:szCs w:val="24"/>
                <w:highlight w:val="none"/>
              </w:rPr>
              <w:t>1</w:t>
            </w:r>
          </w:p>
        </w:tc>
        <w:tc>
          <w:tcPr>
            <w:tcW w:w="7095" w:type="dxa"/>
            <w:noWrap w:val="0"/>
            <w:vAlign w:val="top"/>
          </w:tcPr>
          <w:p w14:paraId="7EC764B9">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一、背景概述</w:t>
            </w:r>
          </w:p>
          <w:p w14:paraId="4B909616">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随着高校图书馆信息化水平的不断提高，图书馆馆藏文献的载体形式发生了很大变化。目前，图书馆正通过将馆藏文献转化为数字数据，利用电子载体作为统一处理和存储的媒介，向电子化、数字化全面发展。在高校文献管理工作中，合理使用信息化技术来管理电子文献，可以帮助高校改变传统文献管理模式单一、服务效率低下的局面，显著提高服务效率、文献查阅的精准度以及文献借阅的方便程度。</w:t>
            </w:r>
          </w:p>
          <w:p w14:paraId="41DC1A56">
            <w:pPr>
              <w:pStyle w:val="5"/>
              <w:spacing w:line="460" w:lineRule="atLeast"/>
              <w:ind w:firstLine="480" w:firstLineChars="200"/>
              <w:jc w:val="both"/>
              <w:rPr>
                <w:rFonts w:ascii="宋体" w:hAnsi="宋体" w:cs="宋体"/>
                <w:sz w:val="28"/>
                <w:szCs w:val="28"/>
                <w:highlight w:val="none"/>
                <w:lang w:eastAsia="zh-CN"/>
              </w:rPr>
            </w:pPr>
            <w:r>
              <w:rPr>
                <w:sz w:val="24"/>
                <w:szCs w:val="24"/>
                <w:highlight w:val="none"/>
                <w:lang w:eastAsia="zh-CN"/>
              </w:rPr>
              <w:t>西北政法大学图书文献存量大、文献利用要求高，因此，需要搭建一套专门的文献管理系统，建设文献目录数据库和文献内容数据库。运用现代信息技术的力量，彻底改变学校图书文献管理的面貌，实现学校图书文献收集、整理、保管、利用的全过程管理，全面覆盖学生、教职工、教学科研及行政管理等多方面的图书文献信息利用。</w:t>
            </w:r>
          </w:p>
          <w:p w14:paraId="7316402B">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二、项目技术及服务要求</w:t>
            </w:r>
          </w:p>
          <w:p w14:paraId="26C34A4A">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1.参考标准</w:t>
            </w:r>
          </w:p>
          <w:p w14:paraId="17AC67CD">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《中华人民共和国国家标准信息与文献参考文献著录规则》（GB/T 7714-2015）</w:t>
            </w:r>
          </w:p>
          <w:p w14:paraId="75F13F04">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《GB/T 18894-2016 电子文件归档与电子档案管理规范》</w:t>
            </w:r>
          </w:p>
          <w:p w14:paraId="04FE407E">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《GB/T 39784-2021 电子档案管理系统通用功能要求》</w:t>
            </w:r>
          </w:p>
          <w:p w14:paraId="41217E5F">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《DA/T 47-2009 版式电子文件长期保存格式需求》</w:t>
            </w:r>
          </w:p>
          <w:p w14:paraId="0F7AC668">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《DA/T 48-2009 基于XML的电子文件封装规范》</w:t>
            </w:r>
          </w:p>
          <w:p w14:paraId="59C1B1E3">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《DA/T 58-2014 电子档案管理基本术语》</w:t>
            </w:r>
          </w:p>
          <w:p w14:paraId="2B49CEBF">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《DA/T 70-2018 文书类电子档案检测一般要求》</w:t>
            </w:r>
          </w:p>
          <w:p w14:paraId="3F85976A">
            <w:pPr>
              <w:pStyle w:val="5"/>
              <w:numPr>
                <w:ilvl w:val="0"/>
                <w:numId w:val="0"/>
              </w:numPr>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2.</w:t>
            </w:r>
            <w:r>
              <w:rPr>
                <w:sz w:val="24"/>
                <w:szCs w:val="24"/>
                <w:highlight w:val="none"/>
                <w:lang w:eastAsia="zh-CN"/>
              </w:rPr>
              <w:t>执行内容</w:t>
            </w:r>
          </w:p>
          <w:p w14:paraId="3BC2C2C7">
            <w:pPr>
              <w:pStyle w:val="5"/>
              <w:numPr>
                <w:ilvl w:val="0"/>
                <w:numId w:val="0"/>
              </w:numPr>
              <w:spacing w:line="460" w:lineRule="atLeast"/>
              <w:ind w:firstLine="0" w:firstLineChars="0"/>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sz w:val="24"/>
                <w:szCs w:val="24"/>
                <w:highlight w:val="none"/>
                <w:lang w:eastAsia="zh-CN"/>
              </w:rPr>
              <w:t>总体内容</w:t>
            </w:r>
          </w:p>
          <w:p w14:paraId="38FFACEE">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搭建一套文献管理系统，创建文献目录数据库和文献内容数据库，结合国家、地方及学校相关标准、制度，实现对学校图书馆文献资料的电子数据采集、文献内容识别、文献目录导入、电子文献挂接、电子文献管理、电子文献利用等操作，促进学校图书文献的电子化、规范化的管理，为学校广大学生、教职工、教学科研人员等提供更加便捷的服务。</w:t>
            </w:r>
          </w:p>
          <w:p w14:paraId="0720D86F">
            <w:pPr>
              <w:pStyle w:val="5"/>
              <w:numPr>
                <w:ilvl w:val="0"/>
                <w:numId w:val="0"/>
              </w:numPr>
              <w:spacing w:line="460" w:lineRule="atLeast"/>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sz w:val="24"/>
                <w:szCs w:val="24"/>
                <w:highlight w:val="none"/>
                <w:lang w:eastAsia="zh-CN"/>
              </w:rPr>
              <w:t>系统架构要求</w:t>
            </w:r>
          </w:p>
          <w:p w14:paraId="36A89C5D">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系统应采用B/S架构，在浏览器上即可打开使用。基于主流框架设计、采用主流语言开发。能够支持高可用的集群部署和系统冗余。能够兼容主流的软硬件设备，并能够进行扩展开发，与其他不同类型的软硬件设备进行适配。能够兼容多种物联网传输协议，针对特殊的传感器，可以自定义通信协议，并定制开发相应的数据接口。</w:t>
            </w:r>
          </w:p>
          <w:p w14:paraId="5ED0FDE5">
            <w:pPr>
              <w:pStyle w:val="5"/>
              <w:numPr>
                <w:ilvl w:val="0"/>
                <w:numId w:val="0"/>
              </w:numPr>
              <w:spacing w:line="460" w:lineRule="atLeast"/>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w:t>
            </w:r>
            <w:r>
              <w:rPr>
                <w:sz w:val="24"/>
                <w:szCs w:val="24"/>
                <w:highlight w:val="none"/>
                <w:lang w:eastAsia="zh-CN"/>
              </w:rPr>
              <w:t>数据库服务要求</w:t>
            </w:r>
          </w:p>
          <w:p w14:paraId="6E57D157">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1）</w:t>
            </w:r>
            <w:r>
              <w:rPr>
                <w:sz w:val="24"/>
                <w:szCs w:val="24"/>
                <w:highlight w:val="none"/>
                <w:lang w:eastAsia="zh-CN"/>
              </w:rPr>
              <w:t>文献</w:t>
            </w:r>
            <w:r>
              <w:rPr>
                <w:rFonts w:hint="default"/>
                <w:sz w:val="24"/>
                <w:szCs w:val="24"/>
                <w:highlight w:val="none"/>
                <w:lang w:eastAsia="zh-CN"/>
              </w:rPr>
              <w:t>目录数据库要求</w:t>
            </w:r>
            <w:r>
              <w:rPr>
                <w:sz w:val="24"/>
                <w:szCs w:val="24"/>
                <w:highlight w:val="none"/>
                <w:lang w:eastAsia="zh-CN"/>
              </w:rPr>
              <w:t>：数据规范，以单个文献为单位创建文献目录，通过信息化手段采集文献目录元数据信息，保证元数据信息的真实、规范和完整；数据库格式，采用通用的数据库格式或当前数据库可导出或转换为通用数据格式，以便于数据交换；结构设计合理，科学合理地设计数据库结构，包括确定文献目录的著录项、必输项和选输项、字段类型、长度和值域范围等内容，设计时应注意保持文献的内在联系，有利于电子文献的管理和利用。</w:t>
            </w:r>
            <w:r>
              <w:rPr>
                <w:rFonts w:ascii="Arial" w:hAnsi="Arial" w:eastAsia="Arial" w:cs="Arial"/>
                <w:color w:val="333333"/>
                <w:sz w:val="21"/>
                <w:szCs w:val="21"/>
                <w:highlight w:val="none"/>
                <w:shd w:val="clear" w:color="auto" w:fill="FFFFFF"/>
              </w:rPr>
              <w:t>‌</w:t>
            </w:r>
            <w:r>
              <w:rPr>
                <w:rFonts w:hint="default" w:ascii="Arial" w:hAnsi="Arial" w:eastAsia="Arial" w:cs="Arial"/>
                <w:color w:val="333333"/>
                <w:sz w:val="21"/>
                <w:szCs w:val="21"/>
                <w:highlight w:val="none"/>
                <w:shd w:val="clear" w:color="auto" w:fill="FFFFFF"/>
              </w:rPr>
              <w:t>‌</w:t>
            </w:r>
          </w:p>
          <w:p w14:paraId="3E5B4C83">
            <w:pPr>
              <w:pStyle w:val="5"/>
              <w:spacing w:line="460" w:lineRule="atLeast"/>
              <w:ind w:firstLine="240" w:firstLineChars="100"/>
              <w:jc w:val="both"/>
              <w:rPr>
                <w:rFonts w:hint="default"/>
                <w:sz w:val="24"/>
                <w:szCs w:val="24"/>
                <w:highlight w:val="none"/>
                <w:lang w:eastAsia="zh-CN"/>
              </w:rPr>
            </w:pPr>
            <w:r>
              <w:rPr>
                <w:rFonts w:hint="eastAsia"/>
                <w:sz w:val="24"/>
                <w:szCs w:val="24"/>
                <w:highlight w:val="none"/>
                <w:lang w:val="en-US" w:eastAsia="zh-CN"/>
              </w:rPr>
              <w:t>2）</w:t>
            </w:r>
            <w:r>
              <w:rPr>
                <w:sz w:val="24"/>
                <w:szCs w:val="24"/>
                <w:highlight w:val="none"/>
                <w:lang w:eastAsia="zh-CN"/>
              </w:rPr>
              <w:t>文献内容数据库要求：全文内容数据库包括各类图书文献的扫描图像、全文电子文档、元数据以及索引信息等。首先必须保证电子文献与图书文献内容能够一一对应，其次保证电子文献OCR的识别率至少为90%及以上，如出现识别错误的文字，系统需要具备辅助修改功能。基本功能包括文献信息的录入、存储、检索、打印、备份恢复、权限管理等。</w:t>
            </w:r>
          </w:p>
          <w:p w14:paraId="51A6D70A">
            <w:pPr>
              <w:pStyle w:val="5"/>
              <w:numPr>
                <w:ilvl w:val="0"/>
                <w:numId w:val="0"/>
              </w:numPr>
              <w:spacing w:line="460" w:lineRule="atLeast"/>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4</w:t>
            </w:r>
            <w:r>
              <w:rPr>
                <w:rFonts w:hint="eastAsia"/>
                <w:sz w:val="24"/>
                <w:szCs w:val="24"/>
                <w:highlight w:val="none"/>
                <w:lang w:eastAsia="zh-CN"/>
              </w:rPr>
              <w:t>）</w:t>
            </w:r>
            <w:r>
              <w:rPr>
                <w:sz w:val="24"/>
                <w:szCs w:val="24"/>
                <w:highlight w:val="none"/>
                <w:lang w:eastAsia="zh-CN"/>
              </w:rPr>
              <w:t>系统角色要求</w:t>
            </w:r>
          </w:p>
          <w:p w14:paraId="26AE0F4B">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系统应具备：平台管理员、系统管理员、安全（保密）管理员、安全审计员、文献管理员、利用人员等默认的用户角色，还支持对其它角色进行自定义设置。</w:t>
            </w:r>
          </w:p>
          <w:p w14:paraId="0BBDECAF">
            <w:pPr>
              <w:pStyle w:val="5"/>
              <w:numPr>
                <w:ilvl w:val="0"/>
                <w:numId w:val="0"/>
              </w:numPr>
              <w:spacing w:line="460" w:lineRule="atLeast"/>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5</w:t>
            </w:r>
            <w:r>
              <w:rPr>
                <w:rFonts w:hint="eastAsia"/>
                <w:sz w:val="24"/>
                <w:szCs w:val="24"/>
                <w:highlight w:val="none"/>
                <w:lang w:eastAsia="zh-CN"/>
              </w:rPr>
              <w:t>）</w:t>
            </w:r>
            <w:r>
              <w:rPr>
                <w:sz w:val="24"/>
                <w:szCs w:val="24"/>
                <w:highlight w:val="none"/>
                <w:lang w:eastAsia="zh-CN"/>
              </w:rPr>
              <w:t>性能及扩展要求</w:t>
            </w:r>
          </w:p>
          <w:p w14:paraId="6656BAF0">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eastAsia="zh-CN"/>
              </w:rPr>
              <w:t>①</w:t>
            </w:r>
            <w:r>
              <w:rPr>
                <w:sz w:val="24"/>
                <w:szCs w:val="24"/>
                <w:highlight w:val="none"/>
                <w:lang w:eastAsia="zh-CN"/>
              </w:rPr>
              <w:t>系统能够适配各类业务场景，具备强大的定制能力，能够根据不同的需求定制不同的业务规则。并能够根据不同的业务场景的变化进行扩展。</w:t>
            </w:r>
          </w:p>
          <w:p w14:paraId="22141258">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eastAsia="zh-CN"/>
              </w:rPr>
              <w:t>②</w:t>
            </w:r>
            <w:r>
              <w:rPr>
                <w:sz w:val="24"/>
                <w:szCs w:val="24"/>
                <w:highlight w:val="none"/>
                <w:lang w:eastAsia="zh-CN"/>
              </w:rPr>
              <w:t>数据库具备高可用性，在系统出现故障或停机的情况下，仍然能够保证数据库服务的正常运行和数据的可用性；能够及时地被更新和访问，也能在负载增加时，通过添加硬件或扩展系统规模等方式，满足业务需求。</w:t>
            </w:r>
          </w:p>
          <w:p w14:paraId="2E8093DF">
            <w:pPr>
              <w:pStyle w:val="5"/>
              <w:numPr>
                <w:ilvl w:val="0"/>
                <w:numId w:val="0"/>
              </w:numPr>
              <w:spacing w:line="460" w:lineRule="atLeast"/>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6</w:t>
            </w:r>
            <w:r>
              <w:rPr>
                <w:rFonts w:hint="eastAsia"/>
                <w:sz w:val="24"/>
                <w:szCs w:val="24"/>
                <w:highlight w:val="none"/>
                <w:lang w:eastAsia="zh-CN"/>
              </w:rPr>
              <w:t>）</w:t>
            </w:r>
            <w:r>
              <w:rPr>
                <w:sz w:val="24"/>
                <w:szCs w:val="24"/>
                <w:highlight w:val="none"/>
                <w:lang w:eastAsia="zh-CN"/>
              </w:rPr>
              <w:t>安全要求</w:t>
            </w:r>
          </w:p>
          <w:p w14:paraId="3E8C049E">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eastAsia="zh-CN"/>
              </w:rPr>
              <w:t>①</w:t>
            </w:r>
            <w:r>
              <w:rPr>
                <w:sz w:val="24"/>
                <w:szCs w:val="24"/>
                <w:highlight w:val="none"/>
                <w:lang w:eastAsia="zh-CN"/>
              </w:rPr>
              <w:t>具备完善的安全机制：系统从各个方面保障了系统的账户安全、操作安全、数据安全以及过程安全。</w:t>
            </w:r>
          </w:p>
          <w:p w14:paraId="3A5F5509">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eastAsia="zh-CN"/>
              </w:rPr>
              <w:t>②</w:t>
            </w:r>
            <w:r>
              <w:rPr>
                <w:sz w:val="24"/>
                <w:szCs w:val="24"/>
                <w:highlight w:val="none"/>
                <w:lang w:eastAsia="zh-CN"/>
              </w:rPr>
              <w:t>账户安全：强有力的密码校验、IP访问限制和访问时间限制以及身份认证机制保证用户的账户安全；</w:t>
            </w:r>
          </w:p>
          <w:p w14:paraId="7A6E40FE">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eastAsia="zh-CN"/>
              </w:rPr>
              <w:t>③</w:t>
            </w:r>
            <w:r>
              <w:rPr>
                <w:sz w:val="24"/>
                <w:szCs w:val="24"/>
                <w:highlight w:val="none"/>
                <w:lang w:eastAsia="zh-CN"/>
              </w:rPr>
              <w:t>访问控制：通过设置用户角色和配置权限等访问控制机制根据用户的身份及允许访问权限决定其访问操作；</w:t>
            </w:r>
          </w:p>
          <w:p w14:paraId="5C5E3FFB">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eastAsia="zh-CN"/>
              </w:rPr>
              <w:t>④</w:t>
            </w:r>
            <w:r>
              <w:rPr>
                <w:sz w:val="24"/>
                <w:szCs w:val="24"/>
                <w:highlight w:val="none"/>
                <w:lang w:eastAsia="zh-CN"/>
              </w:rPr>
              <w:t>数据安全：通过数字摘要、数字签名、时间戳等手段生成固化验证信息，通过四性检测在数据流转的过程中验证固化信息是否发生改变，保障数据的安全；</w:t>
            </w:r>
          </w:p>
          <w:p w14:paraId="39587E80">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eastAsia="zh-CN"/>
              </w:rPr>
              <w:t>⑤</w:t>
            </w:r>
            <w:r>
              <w:rPr>
                <w:sz w:val="24"/>
                <w:szCs w:val="24"/>
                <w:highlight w:val="none"/>
                <w:lang w:eastAsia="zh-CN"/>
              </w:rPr>
              <w:t>过程安全：将可信任的数据来源加入白名单，防止不可信任进程调用系统的API接口。保障外部系统与文献系统进行交互过程的安全可控；</w:t>
            </w:r>
          </w:p>
          <w:p w14:paraId="56DD27EA">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eastAsia="zh-CN"/>
              </w:rPr>
              <w:t>⑥</w:t>
            </w:r>
            <w:r>
              <w:rPr>
                <w:sz w:val="24"/>
                <w:szCs w:val="24"/>
                <w:highlight w:val="none"/>
                <w:lang w:eastAsia="zh-CN"/>
              </w:rPr>
              <w:t>安全审计和监控：通过对系统、网络、环境的实时监控和记录来跟踪审计用户的访问行为、操作过程、系统事件等重要信息，通过对这些信息的分析和审计及时发现潜在的安全威胁和漏洞，并提供相应的应对措施。</w:t>
            </w:r>
          </w:p>
          <w:p w14:paraId="416AE2D4">
            <w:pPr>
              <w:pStyle w:val="5"/>
              <w:numPr>
                <w:ilvl w:val="0"/>
                <w:numId w:val="0"/>
              </w:numPr>
              <w:spacing w:line="460" w:lineRule="atLeast"/>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7</w:t>
            </w:r>
            <w:r>
              <w:rPr>
                <w:rFonts w:hint="eastAsia"/>
                <w:sz w:val="24"/>
                <w:szCs w:val="24"/>
                <w:highlight w:val="none"/>
                <w:lang w:eastAsia="zh-CN"/>
              </w:rPr>
              <w:t>）</w:t>
            </w:r>
            <w:r>
              <w:rPr>
                <w:sz w:val="24"/>
                <w:szCs w:val="24"/>
                <w:highlight w:val="none"/>
                <w:lang w:eastAsia="zh-CN"/>
              </w:rPr>
              <w:t>系统环境要求</w:t>
            </w:r>
          </w:p>
          <w:p w14:paraId="24F40A37">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采购方提供支撑系统和数据库运行所需的硬件和软件环境，投标方应根据采购方提供的环境执行部署、实施或相关适配工作。</w:t>
            </w:r>
          </w:p>
          <w:p w14:paraId="0D54558F">
            <w:pPr>
              <w:pStyle w:val="5"/>
              <w:numPr>
                <w:ilvl w:val="0"/>
                <w:numId w:val="0"/>
              </w:numPr>
              <w:spacing w:line="460" w:lineRule="atLeast"/>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8</w:t>
            </w:r>
            <w:r>
              <w:rPr>
                <w:rFonts w:hint="eastAsia"/>
                <w:sz w:val="24"/>
                <w:szCs w:val="24"/>
                <w:highlight w:val="none"/>
                <w:lang w:eastAsia="zh-CN"/>
              </w:rPr>
              <w:t>）</w:t>
            </w:r>
            <w:r>
              <w:rPr>
                <w:sz w:val="24"/>
                <w:szCs w:val="24"/>
                <w:highlight w:val="none"/>
                <w:lang w:eastAsia="zh-CN"/>
              </w:rPr>
              <w:t>功能要求</w:t>
            </w:r>
          </w:p>
          <w:p w14:paraId="4A1910A5">
            <w:pPr>
              <w:pStyle w:val="5"/>
              <w:spacing w:line="460" w:lineRule="atLeast"/>
              <w:ind w:firstLine="480" w:firstLineChars="200"/>
              <w:jc w:val="both"/>
              <w:rPr>
                <w:rFonts w:hint="default"/>
                <w:sz w:val="24"/>
                <w:szCs w:val="24"/>
                <w:highlight w:val="none"/>
                <w:lang w:eastAsia="zh-CN"/>
              </w:rPr>
            </w:pPr>
            <w:bookmarkStart w:id="0" w:name="_Toc20213"/>
            <w:r>
              <w:rPr>
                <w:rFonts w:hint="eastAsia"/>
                <w:sz w:val="24"/>
                <w:szCs w:val="24"/>
                <w:highlight w:val="none"/>
                <w:lang w:val="en-US" w:eastAsia="zh-CN"/>
              </w:rPr>
              <w:t>1）</w:t>
            </w:r>
            <w:r>
              <w:rPr>
                <w:sz w:val="24"/>
                <w:szCs w:val="24"/>
                <w:highlight w:val="none"/>
                <w:lang w:eastAsia="zh-CN"/>
              </w:rPr>
              <w:t>系统功能应符合相关法律法规、标准的要求，能够覆盖学校所有文献业务操作。要求：功能全面、准确、易用、易操作。以下是文献管理系统应具备的主要功能。</w:t>
            </w:r>
          </w:p>
          <w:p w14:paraId="0201E399">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2）</w:t>
            </w:r>
            <w:r>
              <w:rPr>
                <w:sz w:val="24"/>
                <w:szCs w:val="24"/>
                <w:highlight w:val="none"/>
                <w:lang w:eastAsia="zh-CN"/>
              </w:rPr>
              <w:t>系统设置：系统应支持定制基础信息、进行系统安全和账户安全设置以及对文件上传进行限制。通过限制登录IP、允许访问时间维护系统安全，通过设置密码强度、密码有效期、首次登录强制修改密码等方式维护账户安全。并通过限制上传电子文献大小、格式等方式维护服务的稳定性和安全性。</w:t>
            </w:r>
          </w:p>
          <w:p w14:paraId="63EE170C">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3）</w:t>
            </w:r>
            <w:r>
              <w:rPr>
                <w:sz w:val="24"/>
                <w:szCs w:val="24"/>
                <w:highlight w:val="none"/>
                <w:lang w:eastAsia="zh-CN"/>
              </w:rPr>
              <w:t>文献门类管理：能够对文献门类进行维护（添加、修改、删除），并根据模板类型自动创建层次和系统元数据。</w:t>
            </w:r>
          </w:p>
          <w:p w14:paraId="61C520A0">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4）</w:t>
            </w:r>
            <w:r>
              <w:rPr>
                <w:sz w:val="24"/>
                <w:szCs w:val="24"/>
                <w:highlight w:val="none"/>
                <w:lang w:eastAsia="zh-CN"/>
              </w:rPr>
              <w:t>元数据管理：创建文献元数据库，根据国家相关标准对相关元数据进行维护，默认展示系统初始化元数据，也支持自定义元数据。</w:t>
            </w:r>
          </w:p>
          <w:p w14:paraId="46663E0E">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5）</w:t>
            </w:r>
            <w:r>
              <w:rPr>
                <w:sz w:val="24"/>
                <w:szCs w:val="24"/>
                <w:highlight w:val="none"/>
                <w:lang w:eastAsia="zh-CN"/>
              </w:rPr>
              <w:t>代码管理：创建文献代码库，通过本模块对代码的类别、版本、具体的数据信息进行维护，并与元数据进行关联使用。</w:t>
            </w:r>
          </w:p>
          <w:p w14:paraId="0A80CB48">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6</w:t>
            </w:r>
            <w:r>
              <w:rPr>
                <w:rFonts w:hint="eastAsia"/>
                <w:sz w:val="24"/>
                <w:szCs w:val="24"/>
                <w:highlight w:val="none"/>
                <w:lang w:eastAsia="zh-CN"/>
              </w:rPr>
              <w:t>）</w:t>
            </w:r>
            <w:r>
              <w:rPr>
                <w:sz w:val="24"/>
                <w:szCs w:val="24"/>
                <w:highlight w:val="none"/>
                <w:lang w:eastAsia="zh-CN"/>
              </w:rPr>
              <w:t>分类管理：创建文献分类库，通过本模块对文献的类别、版本、层次和信息进行维护，在文件管理、利用模块进行文献分类展示和文献快速分类筛查。</w:t>
            </w:r>
          </w:p>
          <w:p w14:paraId="7220159E">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7</w:t>
            </w:r>
            <w:r>
              <w:rPr>
                <w:rFonts w:hint="eastAsia"/>
                <w:sz w:val="24"/>
                <w:szCs w:val="24"/>
                <w:highlight w:val="none"/>
                <w:lang w:eastAsia="zh-CN"/>
              </w:rPr>
              <w:t>）</w:t>
            </w:r>
            <w:r>
              <w:rPr>
                <w:sz w:val="24"/>
                <w:szCs w:val="24"/>
                <w:highlight w:val="none"/>
                <w:lang w:eastAsia="zh-CN"/>
              </w:rPr>
              <w:t>规则设置：可以对文献的整理规则、字段对应规则等进行设置。整理规则包括：文献分组排序设置、立卷设置、编号规则设置、流水号设置等。还包括不同库之间的数据转换的字段对应规则。</w:t>
            </w:r>
          </w:p>
          <w:p w14:paraId="2617D997">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8</w:t>
            </w:r>
            <w:r>
              <w:rPr>
                <w:rFonts w:hint="eastAsia"/>
                <w:sz w:val="24"/>
                <w:szCs w:val="24"/>
                <w:highlight w:val="none"/>
                <w:lang w:eastAsia="zh-CN"/>
              </w:rPr>
              <w:t>）</w:t>
            </w:r>
            <w:r>
              <w:rPr>
                <w:sz w:val="24"/>
                <w:szCs w:val="24"/>
                <w:highlight w:val="none"/>
                <w:lang w:eastAsia="zh-CN"/>
              </w:rPr>
              <w:t>报表定制和管理：能够定义各种文献所需的标准目录和管理表单。允许用户精确地定义不同文献的目录结构，并设计系统所需的管理表单样式。维护将要打印的目录表单的属性信息，并选择通过报表编辑器生成的报表模板文件。并提供报表的预览、打印、下载操作。</w:t>
            </w:r>
          </w:p>
          <w:p w14:paraId="18A27F8F">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9</w:t>
            </w:r>
            <w:r>
              <w:rPr>
                <w:rFonts w:hint="eastAsia"/>
                <w:sz w:val="24"/>
                <w:szCs w:val="24"/>
                <w:highlight w:val="none"/>
                <w:lang w:eastAsia="zh-CN"/>
              </w:rPr>
              <w:t>）</w:t>
            </w:r>
            <w:r>
              <w:rPr>
                <w:sz w:val="24"/>
                <w:szCs w:val="24"/>
                <w:highlight w:val="none"/>
                <w:lang w:eastAsia="zh-CN"/>
              </w:rPr>
              <w:t>索引库管理：针对电子文献创建目录索引和全文内容索引，能够在利用人员目录检索、全文检索等操作时根据索引快速检索到所需文献。</w:t>
            </w:r>
          </w:p>
          <w:p w14:paraId="356B283F">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10</w:t>
            </w:r>
            <w:r>
              <w:rPr>
                <w:rFonts w:hint="eastAsia"/>
                <w:sz w:val="24"/>
                <w:szCs w:val="24"/>
                <w:highlight w:val="none"/>
                <w:lang w:eastAsia="zh-CN"/>
              </w:rPr>
              <w:t>）</w:t>
            </w:r>
            <w:r>
              <w:rPr>
                <w:sz w:val="24"/>
                <w:szCs w:val="24"/>
                <w:highlight w:val="none"/>
                <w:lang w:eastAsia="zh-CN"/>
              </w:rPr>
              <w:t>流程定制和管理：支持对文献移交、借阅、临时权限申请等操作定义审批流程。在利用人员发起申请后能够按照设定的环节执行审批。</w:t>
            </w:r>
          </w:p>
          <w:p w14:paraId="11EDDD96">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11</w:t>
            </w:r>
            <w:r>
              <w:rPr>
                <w:rFonts w:hint="eastAsia"/>
                <w:sz w:val="24"/>
                <w:szCs w:val="24"/>
                <w:highlight w:val="none"/>
                <w:lang w:eastAsia="zh-CN"/>
              </w:rPr>
              <w:t>）</w:t>
            </w:r>
            <w:r>
              <w:rPr>
                <w:sz w:val="24"/>
                <w:szCs w:val="24"/>
                <w:highlight w:val="none"/>
                <w:lang w:eastAsia="zh-CN"/>
              </w:rPr>
              <w:t>组织管理：支持针对学校的相关人员、组、角色等进行维护。通过人员管理为学校学生、教职工、科研人员等创新账户，为账户配置分配对应的管理模块；通过组管理实现为不同组人员配置权限；通过角色管理设置基于角色的访问权限。</w:t>
            </w:r>
          </w:p>
          <w:p w14:paraId="2A1FB391">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12</w:t>
            </w:r>
            <w:r>
              <w:rPr>
                <w:rFonts w:hint="eastAsia"/>
                <w:sz w:val="24"/>
                <w:szCs w:val="24"/>
                <w:highlight w:val="none"/>
                <w:lang w:eastAsia="zh-CN"/>
              </w:rPr>
              <w:t>）</w:t>
            </w:r>
            <w:r>
              <w:rPr>
                <w:sz w:val="24"/>
                <w:szCs w:val="24"/>
                <w:highlight w:val="none"/>
                <w:lang w:eastAsia="zh-CN"/>
              </w:rPr>
              <w:t>防扩散管理：通过为电子文献添加静态或动态水印信息（如：利用人员、利用IP、利用时间等信息），防止信息恶意外泄。</w:t>
            </w:r>
          </w:p>
          <w:p w14:paraId="1DC0EFE8">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13</w:t>
            </w:r>
            <w:r>
              <w:rPr>
                <w:rFonts w:hint="eastAsia"/>
                <w:sz w:val="24"/>
                <w:szCs w:val="24"/>
                <w:highlight w:val="none"/>
                <w:lang w:eastAsia="zh-CN"/>
              </w:rPr>
              <w:t>）</w:t>
            </w:r>
            <w:r>
              <w:rPr>
                <w:sz w:val="24"/>
                <w:szCs w:val="24"/>
                <w:highlight w:val="none"/>
                <w:lang w:eastAsia="zh-CN"/>
              </w:rPr>
              <w:t>虚拟图书馆定制和管理：模拟实体图书馆对虚拟的管库、区域、架体等进行设置和管理，使的虚拟图书馆的电子文献与实体图书馆的图书文献能够一一对应。</w:t>
            </w:r>
          </w:p>
          <w:p w14:paraId="7CF3CE7A">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14</w:t>
            </w:r>
            <w:r>
              <w:rPr>
                <w:rFonts w:hint="eastAsia"/>
                <w:sz w:val="24"/>
                <w:szCs w:val="24"/>
                <w:highlight w:val="none"/>
                <w:lang w:eastAsia="zh-CN"/>
              </w:rPr>
              <w:t>）</w:t>
            </w:r>
            <w:r>
              <w:rPr>
                <w:sz w:val="24"/>
                <w:szCs w:val="24"/>
                <w:highlight w:val="none"/>
                <w:lang w:eastAsia="zh-CN"/>
              </w:rPr>
              <w:t>权限设置：支持针对组、对角色或者对人员的功能权限、目录数据权限、检索权限、电子文献权限等进行设置。通过整体的权限控制维护系统、用户以及文献的安全。</w:t>
            </w:r>
          </w:p>
          <w:p w14:paraId="4F719A90">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15</w:t>
            </w:r>
            <w:r>
              <w:rPr>
                <w:rFonts w:hint="eastAsia"/>
                <w:sz w:val="24"/>
                <w:szCs w:val="24"/>
                <w:highlight w:val="none"/>
                <w:lang w:eastAsia="zh-CN"/>
              </w:rPr>
              <w:t>）</w:t>
            </w:r>
            <w:r>
              <w:rPr>
                <w:sz w:val="24"/>
                <w:szCs w:val="24"/>
                <w:highlight w:val="none"/>
                <w:lang w:eastAsia="zh-CN"/>
              </w:rPr>
              <w:t>日志管理：能够记录系统的登录日志、操作行为日志、安全管理日志以及审计日志等。支持通过不同方式对日志进行快速和精确筛查。</w:t>
            </w:r>
          </w:p>
          <w:p w14:paraId="62ECA6FC">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16</w:t>
            </w:r>
            <w:r>
              <w:rPr>
                <w:rFonts w:hint="eastAsia"/>
                <w:sz w:val="24"/>
                <w:szCs w:val="24"/>
                <w:highlight w:val="none"/>
                <w:lang w:eastAsia="zh-CN"/>
              </w:rPr>
              <w:t>）</w:t>
            </w:r>
            <w:r>
              <w:rPr>
                <w:sz w:val="24"/>
                <w:szCs w:val="24"/>
                <w:highlight w:val="none"/>
                <w:lang w:eastAsia="zh-CN"/>
              </w:rPr>
              <w:t>文献目录著录：能够通过数字化手段将图书馆图书文献转化为电子文献，采集文献目录信息，手动录入或excel导入等的方式纳入到文献目录数据库进行存储和管理。</w:t>
            </w:r>
          </w:p>
          <w:p w14:paraId="77C77B01">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17</w:t>
            </w:r>
            <w:r>
              <w:rPr>
                <w:rFonts w:hint="eastAsia"/>
                <w:sz w:val="24"/>
                <w:szCs w:val="24"/>
                <w:highlight w:val="none"/>
                <w:lang w:eastAsia="zh-CN"/>
              </w:rPr>
              <w:t>）</w:t>
            </w:r>
            <w:r>
              <w:rPr>
                <w:sz w:val="24"/>
                <w:szCs w:val="24"/>
                <w:highlight w:val="none"/>
                <w:lang w:eastAsia="zh-CN"/>
              </w:rPr>
              <w:t>电子文献挂接：将电子文件通过单个或批量的方式挂接到文献目录上，与之一一对应。通过OCR技术识别出电子文献内容信息，存储至文献内容数据库中。</w:t>
            </w:r>
          </w:p>
          <w:p w14:paraId="1AB44429">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18</w:t>
            </w:r>
            <w:r>
              <w:rPr>
                <w:rFonts w:hint="eastAsia"/>
                <w:sz w:val="24"/>
                <w:szCs w:val="24"/>
                <w:highlight w:val="none"/>
                <w:lang w:eastAsia="zh-CN"/>
              </w:rPr>
              <w:t>）</w:t>
            </w:r>
            <w:r>
              <w:rPr>
                <w:sz w:val="24"/>
                <w:szCs w:val="24"/>
                <w:highlight w:val="none"/>
                <w:lang w:eastAsia="zh-CN"/>
              </w:rPr>
              <w:t>借阅管理：一方面对实体图书馆文献的借出/入库进行登记，一方面对借阅过程进行监控。监督未借出、已借未归还、已归还等环节。对未借出的文献进行借出操作和登记、对超期未归还的借阅单进行催还，对已归还的文献可以批量导出借阅单。</w:t>
            </w:r>
          </w:p>
          <w:p w14:paraId="7A303E89">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19</w:t>
            </w:r>
            <w:r>
              <w:rPr>
                <w:rFonts w:hint="eastAsia"/>
                <w:sz w:val="24"/>
                <w:szCs w:val="24"/>
                <w:highlight w:val="none"/>
                <w:lang w:eastAsia="zh-CN"/>
              </w:rPr>
              <w:t>）</w:t>
            </w:r>
            <w:r>
              <w:rPr>
                <w:sz w:val="24"/>
                <w:szCs w:val="24"/>
                <w:highlight w:val="none"/>
                <w:lang w:eastAsia="zh-CN"/>
              </w:rPr>
              <w:t>长期保存：依据ISO 14721开放档案信息系统（OAIS）中关于AIP的设计要求对长期保存信息包进行设计，将电子文献转换为相应的长期保存的格式，并按照编号的规则创建存储层级，最终封装为长期保存信息包的格式存储在保存库中，使电子文献的保存寿命无限延伸至未来。定期对长期保存库中的信息包进行四性检测，以保证其真实、完整、可用、安全。</w:t>
            </w:r>
          </w:p>
          <w:p w14:paraId="674D6183">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20</w:t>
            </w:r>
            <w:r>
              <w:rPr>
                <w:rFonts w:hint="eastAsia"/>
                <w:sz w:val="24"/>
                <w:szCs w:val="24"/>
                <w:highlight w:val="none"/>
                <w:lang w:eastAsia="zh-CN"/>
              </w:rPr>
              <w:t>）</w:t>
            </w:r>
            <w:r>
              <w:rPr>
                <w:sz w:val="24"/>
                <w:szCs w:val="24"/>
                <w:highlight w:val="none"/>
                <w:lang w:eastAsia="zh-CN"/>
              </w:rPr>
              <w:t>文献统计：根据不同的条件（如：作者、出版日期、类别等）统计电子文献的数量。以列表+统计图的形式进行展示。</w:t>
            </w:r>
          </w:p>
          <w:p w14:paraId="7159682D">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21</w:t>
            </w:r>
            <w:r>
              <w:rPr>
                <w:rFonts w:hint="eastAsia"/>
                <w:sz w:val="24"/>
                <w:szCs w:val="24"/>
                <w:highlight w:val="none"/>
                <w:lang w:eastAsia="zh-CN"/>
              </w:rPr>
              <w:t>）</w:t>
            </w:r>
            <w:r>
              <w:rPr>
                <w:sz w:val="24"/>
                <w:szCs w:val="24"/>
                <w:highlight w:val="none"/>
                <w:lang w:eastAsia="zh-CN"/>
              </w:rPr>
              <w:t>利用统计：支持统计文献的借阅、检索、利用（浏览、打印、下载）等的人数和人次情况。以列表+统计图的形式进行展示。</w:t>
            </w:r>
          </w:p>
          <w:p w14:paraId="55364576">
            <w:pPr>
              <w:pStyle w:val="5"/>
              <w:numPr>
                <w:ilvl w:val="0"/>
                <w:numId w:val="0"/>
              </w:numPr>
              <w:tabs>
                <w:tab w:val="left" w:pos="312"/>
              </w:tabs>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3.</w:t>
            </w:r>
            <w:r>
              <w:rPr>
                <w:sz w:val="24"/>
                <w:szCs w:val="24"/>
                <w:highlight w:val="none"/>
                <w:lang w:eastAsia="zh-CN"/>
              </w:rPr>
              <w:t>实施过程要求</w:t>
            </w:r>
          </w:p>
          <w:p w14:paraId="1041C521">
            <w:pPr>
              <w:pStyle w:val="5"/>
              <w:numPr>
                <w:ilvl w:val="0"/>
                <w:numId w:val="0"/>
              </w:numPr>
              <w:spacing w:line="460" w:lineRule="atLeast"/>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sz w:val="24"/>
                <w:szCs w:val="24"/>
                <w:highlight w:val="none"/>
                <w:lang w:eastAsia="zh-CN"/>
              </w:rPr>
              <w:t>项目计划及风险应对：应制定详细的项目施工计划，包括系统实施的时间节点、任务分工、进度控制等内容，确保项目进度的可控性。并针对可能出现的风险和问题，制定相应的预案和解决方案，以应对突发情况，保证项目的顺利进行。</w:t>
            </w:r>
          </w:p>
          <w:p w14:paraId="47928F73">
            <w:pPr>
              <w:pStyle w:val="5"/>
              <w:numPr>
                <w:ilvl w:val="0"/>
                <w:numId w:val="0"/>
              </w:numPr>
              <w:spacing w:line="460" w:lineRule="atLeast"/>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sz w:val="24"/>
                <w:szCs w:val="24"/>
                <w:highlight w:val="none"/>
                <w:lang w:eastAsia="zh-CN"/>
              </w:rPr>
              <w:t>部署：按照项目施工计划搭建系统运行环境，并部署文献管理系统。</w:t>
            </w:r>
          </w:p>
          <w:p w14:paraId="413C4835">
            <w:pPr>
              <w:pStyle w:val="5"/>
              <w:numPr>
                <w:ilvl w:val="0"/>
                <w:numId w:val="0"/>
              </w:numPr>
              <w:spacing w:line="460" w:lineRule="atLeast"/>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w:t>
            </w:r>
            <w:r>
              <w:rPr>
                <w:sz w:val="24"/>
                <w:szCs w:val="24"/>
                <w:highlight w:val="none"/>
                <w:lang w:eastAsia="zh-CN"/>
              </w:rPr>
              <w:t>技术实施：根据采购方的技术要求对系统进行业务定制、系统设置、业务及数据迁移等工作，满足采购方的要求。</w:t>
            </w:r>
          </w:p>
          <w:p w14:paraId="586546A6">
            <w:pPr>
              <w:pStyle w:val="5"/>
              <w:numPr>
                <w:ilvl w:val="0"/>
                <w:numId w:val="0"/>
              </w:numPr>
              <w:spacing w:line="460" w:lineRule="atLeast"/>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4</w:t>
            </w:r>
            <w:r>
              <w:rPr>
                <w:rFonts w:hint="eastAsia"/>
                <w:sz w:val="24"/>
                <w:szCs w:val="24"/>
                <w:highlight w:val="none"/>
                <w:lang w:eastAsia="zh-CN"/>
              </w:rPr>
              <w:t>）</w:t>
            </w:r>
            <w:r>
              <w:rPr>
                <w:sz w:val="24"/>
                <w:szCs w:val="24"/>
                <w:highlight w:val="none"/>
                <w:lang w:eastAsia="zh-CN"/>
              </w:rPr>
              <w:t>测试：对系统进行集成测试、性能测试以及安全测试，测试系统能够正常运行并满足采购方要求。并根据测试反馈对系统进行必要的调整和优化。</w:t>
            </w:r>
          </w:p>
          <w:p w14:paraId="59392C5D">
            <w:pPr>
              <w:pStyle w:val="5"/>
              <w:numPr>
                <w:ilvl w:val="0"/>
                <w:numId w:val="0"/>
              </w:numPr>
              <w:spacing w:line="460" w:lineRule="atLeast"/>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5</w:t>
            </w:r>
            <w:r>
              <w:rPr>
                <w:rFonts w:hint="eastAsia"/>
                <w:sz w:val="24"/>
                <w:szCs w:val="24"/>
                <w:highlight w:val="none"/>
                <w:lang w:eastAsia="zh-CN"/>
              </w:rPr>
              <w:t>）</w:t>
            </w:r>
            <w:r>
              <w:rPr>
                <w:sz w:val="24"/>
                <w:szCs w:val="24"/>
                <w:highlight w:val="none"/>
                <w:lang w:eastAsia="zh-CN"/>
              </w:rPr>
              <w:t>培训：组织采购方相关方（文献管理人员、系统维护人员、相关利用人员等）进行培训，确保相关方能够熟练操作和维护系统。</w:t>
            </w:r>
          </w:p>
          <w:bookmarkEnd w:id="0"/>
          <w:p w14:paraId="18681D87">
            <w:pPr>
              <w:pStyle w:val="5"/>
              <w:numPr>
                <w:ilvl w:val="0"/>
                <w:numId w:val="0"/>
              </w:numPr>
              <w:tabs>
                <w:tab w:val="left" w:pos="312"/>
              </w:tabs>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4.</w:t>
            </w:r>
            <w:r>
              <w:rPr>
                <w:sz w:val="24"/>
                <w:szCs w:val="24"/>
                <w:highlight w:val="none"/>
                <w:lang w:eastAsia="zh-CN"/>
              </w:rPr>
              <w:t>交付成果要求</w:t>
            </w:r>
          </w:p>
          <w:p w14:paraId="1949436F">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（1）软硬件设备类应交付产品出厂报告单、合格证、正版授权等资料。</w:t>
            </w:r>
          </w:p>
          <w:p w14:paraId="2D3FEB5B">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（2）软件系统应交付系统相关开发文档（概要设计、详细设计、数据库设计、接口设计等）和产品文档（操作手册、用户手册、系统部署手册、系统运维手册等）。</w:t>
            </w:r>
          </w:p>
          <w:p w14:paraId="090C67B8">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（3）应交付项目管理文档（项目计划、项目方案等）以及实施过程文档（施工报告、施工日志以及相关批准文件等资料）。文档要求使用国家法定单位制即国际单位制，语言为中文。 要求交付的资料组织结构清晰，逻辑性强。资料内容正确、准确、一致、清晰、完整， 满足项目要求。</w:t>
            </w:r>
          </w:p>
          <w:p w14:paraId="1E22C071">
            <w:pPr>
              <w:pStyle w:val="5"/>
              <w:numPr>
                <w:ilvl w:val="0"/>
                <w:numId w:val="0"/>
              </w:numPr>
              <w:tabs>
                <w:tab w:val="left" w:pos="312"/>
              </w:tabs>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5.</w:t>
            </w:r>
            <w:r>
              <w:rPr>
                <w:sz w:val="24"/>
                <w:szCs w:val="24"/>
                <w:highlight w:val="none"/>
                <w:lang w:eastAsia="zh-CN"/>
              </w:rPr>
              <w:t>技术服务和培训要求</w:t>
            </w:r>
          </w:p>
          <w:p w14:paraId="769C2825">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1）技术服务人员的目的是保证所提供的合同设备安全、正常投运。要求投标方应派出合格的、能独立解决问题的现场服务人员，且技术服务人员服务天数和现场服务表现能够满足项目需要。如技术人员服务表现不佳，采购方有权提出更换技术服务人员；如技术服务天数不能满足工程需要，采购方有权追加天数，且发生的费用由投标方承担。</w:t>
            </w:r>
          </w:p>
          <w:p w14:paraId="18F4D60D">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（2）技术服务人员的一切费用已包含在合同总价中，它包括诸如服务人员的工资及各种补助、交通费、通讯费、食宿费、医疗费、各种保险费、各种税费等等。</w:t>
            </w:r>
          </w:p>
          <w:p w14:paraId="40E8353E">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（3）技术服务人员的工作时间应与现场要求相一致，以满足现场安装、调试和试运行的要求。将不再因投标方现场服务人员的加班和节假日而另付费用。</w:t>
            </w:r>
          </w:p>
          <w:p w14:paraId="7D9EFAC9">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（4）在下列情况下发生的服务人天数将不计入投标方现场总服务人天数中：</w:t>
            </w:r>
          </w:p>
          <w:p w14:paraId="03EAE1FC">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a由于投标方原因不能履行服务人员职责和不具备服务人员条件资质的现场服务人员人天数。</w:t>
            </w:r>
          </w:p>
          <w:p w14:paraId="762F4287">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b投标方为解决在设计、安装、调试、试运等阶段的自身技术、设备等方面出现的问题而增加的现场服务人天数。</w:t>
            </w:r>
          </w:p>
          <w:p w14:paraId="797491A6">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c因其他投标方原因而增加的现场服务人员。</w:t>
            </w:r>
          </w:p>
          <w:p w14:paraId="431C85E8">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投标方现场服务人员具有下列资质：</w:t>
            </w:r>
          </w:p>
          <w:p w14:paraId="68F1A929">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a遵守中华人民共和国法律，遵守现场的各项规章和制度。有较强的责任感和事业心，按时到位。</w:t>
            </w:r>
          </w:p>
          <w:p w14:paraId="66EE1D42">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b了解合同设备的设计，熟悉其结构，有相同或相近机组的现场工作经验，能够正确地进行现场指导。</w:t>
            </w:r>
          </w:p>
          <w:p w14:paraId="087C119A">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c身体健康，适应现场工作的条件。</w:t>
            </w:r>
          </w:p>
          <w:p w14:paraId="2A89EDEB">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（5）为了保证在项目结束后，采购方人员能够正确操作相关设备和软件，投标方应提供不限次数的培训，直至采购方人员对设备、软件熟练操作为止。</w:t>
            </w:r>
          </w:p>
          <w:p w14:paraId="0FB89A5B">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（6）培训可采用线上方式或线下方式，线下培训要求不少于2次（特殊情况以与采购方达成协议为准）。</w:t>
            </w:r>
          </w:p>
          <w:p w14:paraId="548C615E">
            <w:pPr>
              <w:pStyle w:val="5"/>
              <w:spacing w:line="460" w:lineRule="atLeast"/>
              <w:ind w:firstLine="480" w:firstLineChars="200"/>
              <w:jc w:val="both"/>
              <w:rPr>
                <w:rFonts w:hint="default"/>
                <w:color w:val="FF0000"/>
                <w:sz w:val="24"/>
                <w:szCs w:val="24"/>
                <w:highlight w:val="none"/>
                <w:lang w:eastAsia="zh-CN"/>
              </w:rPr>
            </w:pPr>
            <w:r>
              <w:rPr>
                <w:sz w:val="24"/>
                <w:szCs w:val="24"/>
                <w:highlight w:val="none"/>
                <w:lang w:eastAsia="zh-CN"/>
              </w:rPr>
              <w:t>（7）具有可行的技术培训措施，提供具体可行的培训计划和培训大纲，保证采购方能熟练操作维护和正常使用。</w:t>
            </w:r>
          </w:p>
          <w:p w14:paraId="25BF5869">
            <w:pPr>
              <w:pStyle w:val="5"/>
              <w:numPr>
                <w:ilvl w:val="0"/>
                <w:numId w:val="0"/>
              </w:numPr>
              <w:tabs>
                <w:tab w:val="left" w:pos="312"/>
              </w:tabs>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6.</w:t>
            </w:r>
            <w:r>
              <w:rPr>
                <w:sz w:val="24"/>
                <w:szCs w:val="24"/>
                <w:highlight w:val="none"/>
                <w:lang w:eastAsia="zh-CN"/>
              </w:rPr>
              <w:t>项目质量要求</w:t>
            </w:r>
          </w:p>
          <w:p w14:paraId="143EA38D">
            <w:pPr>
              <w:pStyle w:val="5"/>
              <w:numPr>
                <w:ilvl w:val="0"/>
                <w:numId w:val="0"/>
              </w:numPr>
              <w:spacing w:line="460" w:lineRule="atLeast"/>
              <w:ind w:firstLine="0" w:firstLineChars="0"/>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sz w:val="24"/>
                <w:szCs w:val="24"/>
                <w:highlight w:val="none"/>
                <w:lang w:eastAsia="zh-CN"/>
              </w:rPr>
              <w:t>所提供的设备、软件必须符合国家有关法规标准规定，允许在教育行业销售，并符合合理最佳配置、参数及各项要求，以方便用户使用。</w:t>
            </w:r>
          </w:p>
          <w:p w14:paraId="44199024">
            <w:pPr>
              <w:pStyle w:val="5"/>
              <w:numPr>
                <w:ilvl w:val="0"/>
                <w:numId w:val="0"/>
              </w:numPr>
              <w:spacing w:line="460" w:lineRule="atLeast"/>
              <w:ind w:firstLine="0" w:firstLineChars="0"/>
              <w:jc w:val="both"/>
              <w:rPr>
                <w:rFonts w:hint="default"/>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sz w:val="24"/>
                <w:szCs w:val="24"/>
                <w:highlight w:val="none"/>
                <w:lang w:eastAsia="zh-CN"/>
              </w:rPr>
              <w:t>所提供的设备、软件必须保证为正宗原厂原装全新产品且在正常安装、使用条件下，其使用寿命期内各项指标均达到质量要求。</w:t>
            </w:r>
          </w:p>
          <w:p w14:paraId="6FECF051">
            <w:pPr>
              <w:pStyle w:val="5"/>
              <w:numPr>
                <w:ilvl w:val="0"/>
                <w:numId w:val="0"/>
              </w:numPr>
              <w:tabs>
                <w:tab w:val="left" w:pos="312"/>
              </w:tabs>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7.</w:t>
            </w:r>
            <w:r>
              <w:rPr>
                <w:sz w:val="24"/>
                <w:szCs w:val="24"/>
                <w:highlight w:val="none"/>
                <w:lang w:eastAsia="zh-CN"/>
              </w:rPr>
              <w:t>交付时间要求</w:t>
            </w:r>
          </w:p>
          <w:p w14:paraId="790DAFCA">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项目交付时间自合同正式签订起1年内交付。</w:t>
            </w:r>
          </w:p>
          <w:p w14:paraId="19806597">
            <w:pPr>
              <w:pStyle w:val="5"/>
              <w:numPr>
                <w:ilvl w:val="0"/>
                <w:numId w:val="0"/>
              </w:numPr>
              <w:tabs>
                <w:tab w:val="left" w:pos="312"/>
              </w:tabs>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8.</w:t>
            </w:r>
            <w:r>
              <w:rPr>
                <w:sz w:val="24"/>
                <w:szCs w:val="24"/>
                <w:highlight w:val="none"/>
                <w:lang w:eastAsia="zh-CN"/>
              </w:rPr>
              <w:t>质保要求</w:t>
            </w:r>
          </w:p>
          <w:p w14:paraId="0A945841">
            <w:pPr>
              <w:pStyle w:val="5"/>
              <w:spacing w:line="460" w:lineRule="atLeast"/>
              <w:ind w:firstLine="480" w:firstLineChars="200"/>
              <w:jc w:val="both"/>
              <w:rPr>
                <w:rFonts w:hint="default"/>
                <w:sz w:val="24"/>
                <w:szCs w:val="24"/>
                <w:highlight w:val="none"/>
                <w:lang w:eastAsia="zh-CN"/>
              </w:rPr>
            </w:pPr>
            <w:r>
              <w:rPr>
                <w:sz w:val="24"/>
                <w:szCs w:val="24"/>
                <w:highlight w:val="none"/>
                <w:lang w:eastAsia="zh-CN"/>
              </w:rPr>
              <w:t>自双方签署项目竣工验收单之日起1年。</w:t>
            </w:r>
          </w:p>
          <w:p w14:paraId="0BB6903E">
            <w:pPr>
              <w:pStyle w:val="5"/>
              <w:numPr>
                <w:ilvl w:val="0"/>
                <w:numId w:val="0"/>
              </w:numPr>
              <w:spacing w:line="460" w:lineRule="atLeast"/>
              <w:ind w:firstLine="480" w:firstLineChars="200"/>
              <w:jc w:val="both"/>
              <w:rPr>
                <w:rFonts w:hint="default"/>
                <w:sz w:val="24"/>
                <w:szCs w:val="24"/>
                <w:highlight w:val="none"/>
                <w:lang w:eastAsia="zh-CN"/>
              </w:rPr>
            </w:pPr>
            <w:r>
              <w:rPr>
                <w:rFonts w:hint="eastAsia"/>
                <w:sz w:val="24"/>
                <w:szCs w:val="24"/>
                <w:highlight w:val="none"/>
                <w:lang w:val="en-US" w:eastAsia="zh-CN"/>
              </w:rPr>
              <w:t>9.</w:t>
            </w:r>
            <w:r>
              <w:rPr>
                <w:sz w:val="24"/>
                <w:szCs w:val="24"/>
                <w:highlight w:val="none"/>
                <w:lang w:eastAsia="zh-CN"/>
              </w:rPr>
              <w:t>售后要求</w:t>
            </w:r>
          </w:p>
          <w:p w14:paraId="69F999D6">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eastAsia="zh-CN"/>
              </w:rPr>
              <w:t>①</w:t>
            </w:r>
            <w:r>
              <w:rPr>
                <w:sz w:val="24"/>
                <w:szCs w:val="24"/>
                <w:highlight w:val="none"/>
                <w:lang w:eastAsia="zh-CN"/>
              </w:rPr>
              <w:t>项目验收后，需提供为</w:t>
            </w:r>
            <w:r>
              <w:rPr>
                <w:rFonts w:hint="eastAsia"/>
                <w:sz w:val="24"/>
                <w:szCs w:val="24"/>
                <w:highlight w:val="none"/>
                <w:lang w:val="en-US" w:eastAsia="zh-CN"/>
              </w:rPr>
              <w:t>期</w:t>
            </w:r>
            <w:r>
              <w:rPr>
                <w:sz w:val="24"/>
                <w:szCs w:val="24"/>
                <w:highlight w:val="none"/>
                <w:lang w:eastAsia="zh-CN"/>
              </w:rPr>
              <w:t>1年的售后服务。</w:t>
            </w:r>
          </w:p>
          <w:p w14:paraId="6C6AB2E4">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eastAsia="zh-CN"/>
              </w:rPr>
              <w:t>②</w:t>
            </w:r>
            <w:r>
              <w:rPr>
                <w:sz w:val="24"/>
                <w:szCs w:val="24"/>
                <w:highlight w:val="none"/>
                <w:lang w:eastAsia="zh-CN"/>
              </w:rPr>
              <w:t>售后服务方式须包含：社交媒体沟通指导、电话沟通指导、网络远程指导、现场服务等。</w:t>
            </w:r>
          </w:p>
          <w:p w14:paraId="2127FE2E">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eastAsia="zh-CN"/>
              </w:rPr>
              <w:t>③</w:t>
            </w:r>
            <w:r>
              <w:rPr>
                <w:sz w:val="24"/>
                <w:szCs w:val="24"/>
                <w:highlight w:val="none"/>
                <w:lang w:eastAsia="zh-CN"/>
              </w:rPr>
              <w:t>投标方收到技术服务要求后，通过电话、邮件、社交软件等方式须在20分钟内做出响应，2小时之内提出具体解决办法，并通过远程操作或现场支持方式尽快解决。</w:t>
            </w:r>
          </w:p>
          <w:p w14:paraId="0424842A">
            <w:pPr>
              <w:pStyle w:val="5"/>
              <w:spacing w:line="460" w:lineRule="atLeast"/>
              <w:ind w:firstLine="480" w:firstLineChars="200"/>
              <w:jc w:val="both"/>
              <w:rPr>
                <w:rFonts w:hint="default"/>
                <w:sz w:val="24"/>
                <w:szCs w:val="24"/>
                <w:highlight w:val="none"/>
                <w:lang w:eastAsia="zh-CN"/>
              </w:rPr>
            </w:pPr>
            <w:r>
              <w:rPr>
                <w:rFonts w:hint="eastAsia"/>
                <w:sz w:val="24"/>
                <w:szCs w:val="24"/>
                <w:highlight w:val="none"/>
                <w:lang w:eastAsia="zh-CN"/>
              </w:rPr>
              <w:t>④</w:t>
            </w:r>
            <w:r>
              <w:rPr>
                <w:sz w:val="24"/>
                <w:szCs w:val="24"/>
                <w:highlight w:val="none"/>
                <w:lang w:eastAsia="zh-CN"/>
              </w:rPr>
              <w:t>投标方收到现场服务要求后，需在24小时内做出响应，与用户沟通后商定处理时间到现场进行处理。服务完成后待用户确认后方可离开。</w:t>
            </w:r>
            <w:r>
              <w:rPr>
                <w:rFonts w:hint="default" w:ascii="Arial" w:hAnsi="Arial" w:eastAsia="Arial" w:cs="Arial"/>
                <w:color w:val="333333"/>
                <w:sz w:val="21"/>
                <w:szCs w:val="21"/>
                <w:highlight w:val="none"/>
                <w:shd w:val="clear" w:color="auto" w:fill="FFFFFF"/>
              </w:rPr>
              <w:t>‌</w:t>
            </w:r>
          </w:p>
        </w:tc>
      </w:tr>
      <w:tr w14:paraId="6DB65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noWrap w:val="0"/>
            <w:vAlign w:val="top"/>
          </w:tcPr>
          <w:p w14:paraId="7B035E20">
            <w:pPr>
              <w:spacing w:line="460" w:lineRule="atLeast"/>
              <w:rPr>
                <w:sz w:val="24"/>
                <w:highlight w:val="none"/>
              </w:rPr>
            </w:pPr>
          </w:p>
        </w:tc>
        <w:tc>
          <w:tcPr>
            <w:tcW w:w="464" w:type="dxa"/>
            <w:noWrap w:val="0"/>
            <w:vAlign w:val="top"/>
          </w:tcPr>
          <w:p w14:paraId="2935F3CC">
            <w:pPr>
              <w:pStyle w:val="5"/>
              <w:spacing w:line="460" w:lineRule="atLeast"/>
              <w:rPr>
                <w:sz w:val="24"/>
                <w:szCs w:val="24"/>
                <w:highlight w:val="none"/>
              </w:rPr>
            </w:pPr>
          </w:p>
        </w:tc>
        <w:tc>
          <w:tcPr>
            <w:tcW w:w="7095" w:type="dxa"/>
            <w:noWrap w:val="0"/>
            <w:vAlign w:val="top"/>
          </w:tcPr>
          <w:p w14:paraId="149258B7">
            <w:pPr>
              <w:pStyle w:val="5"/>
              <w:spacing w:line="460" w:lineRule="atLeast"/>
              <w:ind w:firstLine="480" w:firstLineChars="200"/>
              <w:jc w:val="both"/>
              <w:rPr>
                <w:rFonts w:hint="eastAsia"/>
                <w:sz w:val="24"/>
                <w:szCs w:val="24"/>
                <w:highlight w:val="none"/>
                <w:lang w:eastAsia="zh-CN"/>
              </w:rPr>
            </w:pPr>
          </w:p>
        </w:tc>
      </w:tr>
    </w:tbl>
    <w:p w14:paraId="00479B3A">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F3D07"/>
    <w:rsid w:val="6F356B5B"/>
    <w:rsid w:val="6F6F3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Arial Unicode MS"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Calibri" w:hAnsi="Calibri" w:eastAsia="仿宋_GB2312" w:cs="Times New Roman"/>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2025-01-09T08:38:00Z</dcterms:created>
  <dc:creator>张娜</dc:creator>
  <cp:lastModifiedBy>张娜</cp:lastModifiedBy>
  <dcterms:modified xsi:type="dcterms:W3CDTF">2025-01-09T08:38:12Z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86DE3E9C002544449B08CC41AC712A49_11</vt:lpwstr>
  </property>
  <property fmtid="{D5CDD505-2E9C-101B-9397-08002B2CF9AE}" pid="4" name="KSOTemplateDocerSaveRecord">
    <vt:lpwstr>eyJoZGlkIjoiOGFlZDBjMTkxMjAyY2VhMDJmNjJkYjY5NWY5ZGZmNGMiLCJ1c2VySWQiOiI0NTE5NDQwNTQifQ==</vt:lpwstr>
  </property>
</Properties>
</file>