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版本号：ZMZB2024GYDX-418.1B120250120001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全自动梯度应力检测及分析系统采购项目(二次)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ZMZB2024GYDX-418.1B1</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全自动梯度应力检测及分析系统采购项目(二次)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ZMZB2024GYDX-418.1B1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全自动梯度应力检测及分析系统采购项目(二次)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本项目拟采购1台全自动梯度应力检测及分析系统，替代之前的应力间接测量与计算装置。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采购包1（全自动梯度应力检测及分析系统采购项目）：属于专门面向中小企业采购。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8、本项目专门面向中小企业采购：供应商应出具中小企业声明函</w:t>
      </w:r>
    </w:p>
    <w:p>
      <w:pPr>
        <w:pStyle w:val="null3"/>
      </w:pPr>
      <w:r>
        <w:rPr>
          <w:rFonts w:ascii="仿宋_GB2312" w:hAnsi="仿宋_GB2312" w:cs="仿宋_GB2312" w:eastAsia="仿宋_GB2312"/>
        </w:rPr>
        <w:t>9、本项目不接受联合体投标：非接受联合体投标声明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 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检测军工、航空航天常使用的高强度钢、铝合金、钛合金、高温合金等各种金属合金，实现材料深度方向的梯度应力精准测量及整体应力分析。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全自动梯度应力检测及分析系统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标的名称：全自动梯度应力检测及分析系统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shd w:fill="FFFFFF" w:val="clear"/>
              </w:rPr>
              <w:t>全自动梯度应力检测及分析系统</w:t>
            </w:r>
            <w:r>
              <w:rPr>
                <w:rFonts w:ascii="仿宋_GB2312" w:hAnsi="仿宋_GB2312" w:cs="仿宋_GB2312" w:eastAsia="仿宋_GB2312"/>
                <w:sz w:val="21"/>
                <w:shd w:fill="FFFFFF" w:val="clear"/>
              </w:rPr>
              <w:t xml:space="preserve">  </w:t>
            </w:r>
            <w:r>
              <w:rPr>
                <w:rFonts w:ascii="仿宋_GB2312" w:hAnsi="仿宋_GB2312" w:cs="仿宋_GB2312" w:eastAsia="仿宋_GB2312"/>
                <w:b/>
              </w:rPr>
              <w:t xml:space="preserve">  </w:t>
            </w:r>
            <w:r>
              <w:rPr>
                <w:rFonts w:ascii="仿宋_GB2312" w:hAnsi="仿宋_GB2312" w:cs="仿宋_GB2312" w:eastAsia="仿宋_GB2312"/>
                <w:sz w:val="21"/>
                <w:shd w:fill="FFFFFF" w:val="clear"/>
              </w:rPr>
              <w:t>数量：</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套</w:t>
            </w:r>
          </w:p>
          <w:p>
            <w:pPr>
              <w:pStyle w:val="null3"/>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、实现材料深度方向的梯度应力精准测量及工件整体的应力分析；</w:t>
            </w:r>
          </w:p>
          <w:p>
            <w:pPr>
              <w:pStyle w:val="null3"/>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、适合检测钢、铸铁、铝及其合金、铜及其合金、锡及其合金、钛合金、镁合金等各种金属合金材料；</w:t>
            </w:r>
          </w:p>
          <w:p>
            <w:pPr>
              <w:pStyle w:val="null3"/>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、满</w:t>
            </w:r>
            <w:r>
              <w:rPr>
                <w:rFonts w:ascii="仿宋_GB2312" w:hAnsi="仿宋_GB2312" w:cs="仿宋_GB2312" w:eastAsia="仿宋_GB2312"/>
                <w:sz w:val="21"/>
                <w:shd w:fill="FFFFFF" w:val="clear"/>
              </w:rPr>
              <w:t>足</w:t>
            </w:r>
            <w:r>
              <w:rPr>
                <w:rFonts w:ascii="仿宋_GB2312" w:hAnsi="仿宋_GB2312" w:cs="仿宋_GB2312" w:eastAsia="仿宋_GB2312"/>
                <w:sz w:val="21"/>
                <w:shd w:fill="FFFFFF" w:val="clear"/>
              </w:rPr>
              <w:t>GB/T31310-2014</w:t>
            </w:r>
            <w:r>
              <w:rPr>
                <w:rFonts w:ascii="仿宋_GB2312" w:hAnsi="仿宋_GB2312" w:cs="仿宋_GB2312" w:eastAsia="仿宋_GB2312"/>
                <w:sz w:val="21"/>
                <w:shd w:fill="FFFFFF" w:val="clear"/>
              </w:rPr>
              <w:t>标准中关于</w:t>
            </w:r>
            <w:r>
              <w:rPr>
                <w:rFonts w:ascii="仿宋_GB2312" w:hAnsi="仿宋_GB2312" w:cs="仿宋_GB2312" w:eastAsia="仿宋_GB2312"/>
                <w:sz w:val="21"/>
                <w:shd w:fill="FFFFFF" w:val="clear"/>
              </w:rPr>
              <w:t>非均匀</w:t>
            </w:r>
            <w:r>
              <w:rPr>
                <w:rFonts w:ascii="仿宋_GB2312" w:hAnsi="仿宋_GB2312" w:cs="仿宋_GB2312" w:eastAsia="仿宋_GB2312"/>
                <w:sz w:val="21"/>
                <w:shd w:fill="FFFFFF" w:val="clear"/>
              </w:rPr>
              <w:t>分布应力的测试及计算方法。</w:t>
            </w:r>
          </w:p>
          <w:p>
            <w:pPr>
              <w:pStyle w:val="null3"/>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、实现自动钻孔、自动采集、自动生成报告，避免人为误差对测量结果造成的影响；</w:t>
            </w:r>
          </w:p>
          <w:p>
            <w:pPr>
              <w:pStyle w:val="null3"/>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、主要技术参数</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具备三种钻孔规格，钻孔单层深度在</w:t>
            </w:r>
            <w:r>
              <w:rPr>
                <w:rFonts w:ascii="仿宋_GB2312" w:hAnsi="仿宋_GB2312" w:cs="仿宋_GB2312" w:eastAsia="仿宋_GB2312"/>
                <w:sz w:val="21"/>
                <w:shd w:fill="FFFFFF" w:val="clear"/>
              </w:rPr>
              <w:t>0.025-0.1mm</w:t>
            </w:r>
            <w:r>
              <w:rPr>
                <w:rFonts w:ascii="仿宋_GB2312" w:hAnsi="仿宋_GB2312" w:cs="仿宋_GB2312" w:eastAsia="仿宋_GB2312"/>
                <w:sz w:val="21"/>
                <w:shd w:fill="FFFFFF" w:val="clear"/>
              </w:rPr>
              <w:t>之间，层数</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层，深度</w:t>
            </w:r>
            <w:r>
              <w:rPr>
                <w:rFonts w:ascii="仿宋_GB2312" w:hAnsi="仿宋_GB2312" w:cs="仿宋_GB2312" w:eastAsia="仿宋_GB2312"/>
                <w:sz w:val="21"/>
                <w:shd w:fill="FFFFFF" w:val="clear"/>
              </w:rPr>
              <w:t>最大达到</w:t>
            </w:r>
            <w:r>
              <w:rPr>
                <w:rFonts w:ascii="仿宋_GB2312" w:hAnsi="仿宋_GB2312" w:cs="仿宋_GB2312" w:eastAsia="仿宋_GB2312"/>
                <w:sz w:val="21"/>
                <w:shd w:fill="FFFFFF" w:val="clear"/>
              </w:rPr>
              <w:t>2mm</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主轴转速：</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20000</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r</w:t>
            </w:r>
            <w:r>
              <w:rPr>
                <w:rFonts w:ascii="仿宋_GB2312" w:hAnsi="仿宋_GB2312" w:cs="仿宋_GB2312" w:eastAsia="仿宋_GB2312"/>
                <w:sz w:val="21"/>
                <w:shd w:fill="FFFFFF" w:val="clear"/>
              </w:rPr>
              <w:t>/min</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）应力范围</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±6000MPa</w:t>
            </w:r>
            <w:r>
              <w:rPr>
                <w:rFonts w:ascii="仿宋_GB2312" w:hAnsi="仿宋_GB2312" w:cs="仿宋_GB2312" w:eastAsia="仿宋_GB2312"/>
                <w:sz w:val="21"/>
                <w:shd w:fill="FFFFFF" w:val="clear"/>
              </w:rPr>
              <w:t>、应变范围</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±30000με</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）应变分辨率</w:t>
            </w:r>
            <w:r>
              <w:rPr>
                <w:rFonts w:ascii="仿宋_GB2312" w:hAnsi="仿宋_GB2312" w:cs="仿宋_GB2312" w:eastAsia="仿宋_GB2312"/>
              </w:rPr>
              <w:t>≤</w:t>
            </w:r>
            <w:r>
              <w:rPr>
                <w:rFonts w:ascii="仿宋_GB2312" w:hAnsi="仿宋_GB2312" w:cs="仿宋_GB2312" w:eastAsia="仿宋_GB2312"/>
                <w:sz w:val="21"/>
                <w:shd w:fill="FFFFFF" w:val="clear"/>
              </w:rPr>
              <w:t>0.015με</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）应变片电阻</w:t>
            </w:r>
            <w:r>
              <w:rPr>
                <w:rFonts w:ascii="仿宋_GB2312" w:hAnsi="仿宋_GB2312" w:cs="仿宋_GB2312" w:eastAsia="仿宋_GB2312"/>
                <w:sz w:val="21"/>
                <w:shd w:fill="FFFFFF" w:val="clear"/>
              </w:rPr>
              <w:t>120±0.5Ω</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）电阻平衡</w:t>
            </w:r>
            <w:r>
              <w:rPr>
                <w:rFonts w:ascii="仿宋_GB2312" w:hAnsi="仿宋_GB2312" w:cs="仿宋_GB2312" w:eastAsia="仿宋_GB2312"/>
                <w:sz w:val="21"/>
                <w:shd w:fill="FFFFFF" w:val="clear"/>
              </w:rPr>
              <w:t>±5000με</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）零点漂移</w:t>
            </w:r>
            <w:r>
              <w:rPr>
                <w:rFonts w:ascii="仿宋_GB2312" w:hAnsi="仿宋_GB2312" w:cs="仿宋_GB2312" w:eastAsia="仿宋_GB2312"/>
              </w:rPr>
              <w:t>≤</w:t>
            </w:r>
            <w:r>
              <w:rPr>
                <w:rFonts w:ascii="仿宋_GB2312" w:hAnsi="仿宋_GB2312" w:cs="仿宋_GB2312" w:eastAsia="仿宋_GB2312"/>
                <w:sz w:val="21"/>
                <w:shd w:fill="FFFFFF" w:val="clear"/>
              </w:rPr>
              <w:t>±2με/</w:t>
            </w:r>
            <w:r>
              <w:rPr>
                <w:rFonts w:ascii="仿宋_GB2312" w:hAnsi="仿宋_GB2312" w:cs="仿宋_GB2312" w:eastAsia="仿宋_GB2312"/>
                <w:sz w:val="21"/>
                <w:shd w:fill="FFFFFF" w:val="clear"/>
              </w:rPr>
              <w:t>小时（预热</w:t>
            </w:r>
            <w:r>
              <w:rPr>
                <w:rFonts w:ascii="仿宋_GB2312" w:hAnsi="仿宋_GB2312" w:cs="仿宋_GB2312" w:eastAsia="仿宋_GB2312"/>
                <w:sz w:val="21"/>
                <w:shd w:fill="FFFFFF" w:val="clear"/>
              </w:rPr>
              <w:t>30</w:t>
            </w:r>
            <w:r>
              <w:rPr>
                <w:rFonts w:ascii="仿宋_GB2312" w:hAnsi="仿宋_GB2312" w:cs="仿宋_GB2312" w:eastAsia="仿宋_GB2312"/>
                <w:sz w:val="21"/>
                <w:shd w:fill="FFFFFF" w:val="clear"/>
              </w:rPr>
              <w:t>分钟后）</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钻孔摆角</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40°</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符合</w:t>
            </w:r>
            <w:r>
              <w:rPr>
                <w:rFonts w:ascii="仿宋_GB2312" w:hAnsi="仿宋_GB2312" w:cs="仿宋_GB2312" w:eastAsia="仿宋_GB2312"/>
                <w:sz w:val="21"/>
                <w:shd w:fill="FFFFFF" w:val="clear"/>
              </w:rPr>
              <w:t>GB/T 31310</w:t>
            </w:r>
            <w:r>
              <w:rPr>
                <w:rFonts w:ascii="仿宋_GB2312" w:hAnsi="仿宋_GB2312" w:cs="仿宋_GB2312" w:eastAsia="仿宋_GB2312"/>
                <w:sz w:val="21"/>
                <w:shd w:fill="FFFFFF" w:val="clear"/>
              </w:rPr>
              <w:t>标准</w:t>
            </w:r>
            <w:r>
              <w:rPr>
                <w:rFonts w:ascii="仿宋_GB2312" w:hAnsi="仿宋_GB2312" w:cs="仿宋_GB2312" w:eastAsia="仿宋_GB2312"/>
                <w:sz w:val="21"/>
                <w:shd w:fill="FFFFFF" w:val="clear"/>
              </w:rPr>
              <w:t>，检测</w:t>
            </w:r>
            <w:r>
              <w:rPr>
                <w:rFonts w:ascii="仿宋_GB2312" w:hAnsi="仿宋_GB2312" w:cs="仿宋_GB2312" w:eastAsia="仿宋_GB2312"/>
                <w:sz w:val="21"/>
                <w:shd w:fill="FFFFFF" w:val="clear"/>
              </w:rPr>
              <w:t>和计算</w:t>
            </w:r>
            <w:r>
              <w:rPr>
                <w:rFonts w:ascii="仿宋_GB2312" w:hAnsi="仿宋_GB2312" w:cs="仿宋_GB2312" w:eastAsia="仿宋_GB2312"/>
                <w:sz w:val="21"/>
                <w:shd w:fill="FFFFFF" w:val="clear"/>
              </w:rPr>
              <w:t>非均匀</w:t>
            </w:r>
            <w:r>
              <w:rPr>
                <w:rFonts w:ascii="仿宋_GB2312" w:hAnsi="仿宋_GB2312" w:cs="仿宋_GB2312" w:eastAsia="仿宋_GB2312"/>
                <w:sz w:val="21"/>
                <w:shd w:fill="FFFFFF" w:val="clear"/>
              </w:rPr>
              <w:t>分布</w:t>
            </w:r>
            <w:r>
              <w:rPr>
                <w:rFonts w:ascii="仿宋_GB2312" w:hAnsi="仿宋_GB2312" w:cs="仿宋_GB2312" w:eastAsia="仿宋_GB2312"/>
                <w:sz w:val="21"/>
                <w:shd w:fill="FFFFFF" w:val="clear"/>
              </w:rPr>
              <w:t>残余应力</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具有</w:t>
            </w:r>
            <w:r>
              <w:rPr>
                <w:rFonts w:ascii="仿宋_GB2312" w:hAnsi="仿宋_GB2312" w:cs="仿宋_GB2312" w:eastAsia="仿宋_GB2312"/>
                <w:sz w:val="21"/>
                <w:shd w:fill="FFFFFF" w:val="clear"/>
              </w:rPr>
              <w:t>三方向应变变化曲线显示，双主应力曲线显示</w:t>
            </w:r>
            <w:r>
              <w:rPr>
                <w:rFonts w:ascii="仿宋_GB2312" w:hAnsi="仿宋_GB2312" w:cs="仿宋_GB2312" w:eastAsia="仿宋_GB2312"/>
                <w:sz w:val="21"/>
                <w:shd w:fill="FFFFFF" w:val="clear"/>
              </w:rPr>
              <w:t>；</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11</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检测结果为</w:t>
            </w:r>
            <w:r>
              <w:rPr>
                <w:rFonts w:ascii="仿宋_GB2312" w:hAnsi="仿宋_GB2312" w:cs="仿宋_GB2312" w:eastAsia="仿宋_GB2312"/>
                <w:sz w:val="21"/>
                <w:shd w:fill="FFFFFF" w:val="clear"/>
              </w:rPr>
              <w:t>Word</w:t>
            </w:r>
            <w:r>
              <w:rPr>
                <w:rFonts w:ascii="仿宋_GB2312" w:hAnsi="仿宋_GB2312" w:cs="仿宋_GB2312" w:eastAsia="仿宋_GB2312"/>
                <w:sz w:val="21"/>
                <w:shd w:fill="FFFFFF" w:val="clear"/>
              </w:rPr>
              <w:t>文件，具有数据导出、导入功能；</w:t>
            </w:r>
          </w:p>
          <w:p>
            <w:pPr>
              <w:pStyle w:val="null3"/>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）具有国家级校准证书；</w:t>
            </w:r>
          </w:p>
          <w:p>
            <w:pPr>
              <w:pStyle w:val="null3"/>
              <w:jc w:val="both"/>
            </w:pPr>
            <w:r>
              <w:rPr>
                <w:rFonts w:ascii="仿宋_GB2312" w:hAnsi="仿宋_GB2312" w:cs="仿宋_GB2312" w:eastAsia="仿宋_GB2312"/>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交货时间：合同签订后60日历日内交货、安装、验收合格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供应商按采购人要求将全部货物运到指定地点，经采购人现场按采购文件及合同中的采购参数内容验收核对登记后方可进行安装调试。最终验收按合同约定的时间进行，项目验收分为初验和终验两阶段。 a.初验：货物到达交货地点后，开箱验收，对货物名称、厂家、数量、品种、型号、规格等外观进行核对、检验。如果核对无误，采购人或采购人指定使用单位在到货签收单上签字，到货签收单只作为外观检查的依据。如果在开箱检验中发现货物有任何短少、缺损、缺陷或与合同规定不符，可视为开箱验收不合格，采购人有权拒绝接收，供应商应无条件退换货直至合格，并承担逾期交货的违约责任，赔偿采购人损失。 b.终验：验收小组按采购文件及合同中的采购参数内容验收核对登记后方可进行安装调试，所有货物安装完毕，完成首轮培训后，在投入正常使用10个工作日后，进行终验。验收合格后签发验收合格单。 （2）验收依据 a.合同文本及合同补充文件（条款）。 b.公开招标文件。 c.成交中标人的响应文件。 d.合同货物清单。 （3）交付与验收地点：指定地点。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 年； 质保期满后，供应商仍需提供专业维修服务。 质保期内免费提供正常使用的易损件和备件；软件系统提供终身免费升级服务。 设备经过双方检验认可后，签署验收报告，产品保修期自验收合格之日起计算，由供应商提供产品保修文件。 质保期内所有维修服务均由供应商免费上门取、送、修。安装调试1个月内，如有质量问题，设备整机无条件退换货，并提供备件以保证教学和科研的正常开展。在保修期内，任何质量问题，供应商负责免费维修。 质保期过后需换件时，原则上应提供原装器件，并按成本价收费。 服务响应时间：供应商接到维修电话后2小时内给予明确答复，4小时内到达现场维修。维修人员到现场后若问题特殊无法现场修复的，供应商需在24小时内给出合理解决方案。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在履行本合同过程中，如采购人、供应商双方发生争议，协商解决:如双方达不成协议，向具有管辖权的人民法院提起诉讼。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1、培训要求：提供培训电子资料及视频；供方免费为用户培训至少 3 名操作人员，进行为期至少 3 天的现场操作培训以及应用培训，保证用户掌握设备的使用、维护、管理和应用等工作要求。 2、本项目不允许合同分包或者转包。 3、 为顺利推进政府采购电子化交易平台应用工作，供应商需要在线提交所有通过电子化交易平台实施的政府采购项目的投标文件，同时，线下提交纸质版投标文件，正本壹份、副本贰份，密封递交)。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供应商资格要求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供应商资格要求</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供应商应出具中小企业声明函</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供应商资格要求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 (合格)，交货时间(期)不满足招标文件要求(不合格)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 要求(合格)，投标文件的签署、盖 章不满足招标文件要求(不合格)</w:t>
            </w:r>
          </w:p>
        </w:tc>
        <w:tc>
          <w:tcPr>
            <w:tcW w:type="dxa" w:w="1661"/>
          </w:tcPr>
          <w:p>
            <w:pPr>
              <w:pStyle w:val="null3"/>
            </w:pPr>
            <w:r>
              <w:rPr>
                <w:rFonts w:ascii="仿宋_GB2312" w:hAnsi="仿宋_GB2312" w:cs="仿宋_GB2312" w:eastAsia="仿宋_GB2312"/>
              </w:rPr>
              <w:t>投标函 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 格)，投标文件无投标有效期或有效期不满足招标文件要 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 格)，标的数量出现漏项或与招标文件要求不符(不合格)</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 格)，有采购人不能接受的附加条件 (不合格)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 情形(合格)，存在法律、法规和招标文件规定的其他无 效情形(不合格)</w:t>
            </w:r>
          </w:p>
        </w:tc>
        <w:tc>
          <w:tcPr>
            <w:tcW w:type="dxa" w:w="1661"/>
          </w:tcPr>
          <w:p>
            <w:pPr>
              <w:pStyle w:val="null3"/>
            </w:pPr>
            <w:r>
              <w:rPr>
                <w:rFonts w:ascii="仿宋_GB2312" w:hAnsi="仿宋_GB2312" w:cs="仿宋_GB2312" w:eastAsia="仿宋_GB2312"/>
              </w:rPr>
              <w:t>产品技术参数表 投标函 商务应答表 供应商认为有必要说明的其他问题</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根据供应商提供所投产品的技术偏离表及相应的证明材料（包括但不限于测试报告、功能截图等技术证明材料），经评审专家审定得分。 基本分（30分）：完全符合、响应招标文件要求，没有负偏离计30分，“▲”参数每负偏离一项扣4分，未带标识参数每负偏离一项扣2分，扣完为止。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详见附件：供应商资格要求</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