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6C247">
      <w:pPr>
        <w:pStyle w:val="4"/>
        <w:jc w:val="center"/>
        <w:outlineLvl w:val="1"/>
        <w:rPr>
          <w:rFonts w:hint="eastAsia" w:ascii="宋体" w:hAnsi="宋体" w:eastAsia="宋体" w:cs="宋体"/>
        </w:rPr>
      </w:pPr>
      <w:r>
        <w:rPr>
          <w:rFonts w:hint="eastAsia" w:ascii="宋体" w:hAnsi="宋体" w:eastAsia="宋体" w:cs="宋体"/>
          <w:b/>
          <w:sz w:val="36"/>
        </w:rPr>
        <w:t>拟签订采购合同文本</w:t>
      </w:r>
    </w:p>
    <w:p w14:paraId="5BD0B502">
      <w:pPr>
        <w:spacing w:before="120" w:line="360" w:lineRule="auto"/>
        <w:jc w:val="both"/>
        <w:rPr>
          <w:rFonts w:hint="eastAsia" w:ascii="宋体" w:hAnsi="宋体" w:eastAsia="宋体" w:cs="宋体"/>
          <w:b/>
          <w:bCs/>
          <w:sz w:val="28"/>
          <w:szCs w:val="28"/>
        </w:rPr>
      </w:pPr>
    </w:p>
    <w:p w14:paraId="67ED85AE">
      <w:pPr>
        <w:spacing w:before="12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（参考格式）</w:t>
      </w:r>
    </w:p>
    <w:p w14:paraId="49816AEB">
      <w:pPr>
        <w:spacing w:before="120" w:line="360" w:lineRule="auto"/>
        <w:jc w:val="center"/>
        <w:rPr>
          <w:rFonts w:hint="eastAsia" w:ascii="宋体" w:hAnsi="宋体" w:eastAsia="宋体" w:cs="宋体"/>
          <w:b/>
          <w:bCs/>
          <w:sz w:val="36"/>
          <w:szCs w:val="36"/>
        </w:rPr>
      </w:pPr>
    </w:p>
    <w:p w14:paraId="46B442EE">
      <w:pPr>
        <w:spacing w:before="120" w:line="360" w:lineRule="auto"/>
        <w:jc w:val="center"/>
        <w:rPr>
          <w:rFonts w:hint="eastAsia" w:ascii="宋体" w:hAnsi="宋体" w:eastAsia="宋体" w:cs="宋体"/>
          <w:b/>
          <w:bCs/>
          <w:sz w:val="36"/>
          <w:szCs w:val="36"/>
        </w:rPr>
      </w:pPr>
    </w:p>
    <w:p w14:paraId="2FECD5E9">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0C19CFE2">
      <w:pPr>
        <w:spacing w:before="120" w:line="360" w:lineRule="auto"/>
        <w:jc w:val="center"/>
        <w:rPr>
          <w:rFonts w:hint="eastAsia" w:ascii="宋体" w:hAnsi="宋体" w:eastAsia="宋体" w:cs="宋体"/>
          <w:sz w:val="28"/>
          <w:szCs w:val="28"/>
        </w:rPr>
      </w:pPr>
    </w:p>
    <w:p w14:paraId="23AB8DA6">
      <w:pPr>
        <w:spacing w:before="120" w:line="360" w:lineRule="auto"/>
        <w:ind w:firstLine="3064" w:firstLineChars="1090"/>
        <w:rPr>
          <w:rFonts w:hint="eastAsia" w:ascii="宋体" w:hAnsi="宋体" w:eastAsia="宋体" w:cs="宋体"/>
          <w:sz w:val="28"/>
          <w:szCs w:val="28"/>
        </w:rPr>
      </w:pPr>
      <w:bookmarkStart w:id="0" w:name="_Toc109542396"/>
      <w:bookmarkStart w:id="1" w:name="_Toc10954321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1875A931">
      <w:pPr>
        <w:spacing w:before="120" w:line="360" w:lineRule="auto"/>
        <w:rPr>
          <w:rFonts w:hint="eastAsia" w:ascii="宋体" w:hAnsi="宋体" w:eastAsia="宋体" w:cs="宋体"/>
          <w:b/>
          <w:bCs/>
          <w:sz w:val="28"/>
          <w:szCs w:val="28"/>
        </w:rPr>
      </w:pPr>
    </w:p>
    <w:p w14:paraId="15DED898">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项目名称：</w:t>
      </w:r>
      <w:r>
        <w:rPr>
          <w:rFonts w:hint="eastAsia" w:ascii="宋体" w:hAnsi="宋体" w:eastAsia="宋体" w:cs="宋体"/>
          <w:b/>
          <w:bCs/>
          <w:sz w:val="28"/>
          <w:szCs w:val="28"/>
          <w:u w:val="single"/>
        </w:rPr>
        <w:t xml:space="preserve">                                </w:t>
      </w:r>
    </w:p>
    <w:p w14:paraId="6D58B466">
      <w:pPr>
        <w:spacing w:before="120" w:line="360" w:lineRule="auto"/>
        <w:ind w:left="960"/>
        <w:rPr>
          <w:rFonts w:hint="eastAsia" w:ascii="宋体" w:hAnsi="宋体" w:eastAsia="宋体" w:cs="宋体"/>
          <w:b/>
          <w:bCs/>
          <w:sz w:val="28"/>
          <w:szCs w:val="28"/>
        </w:rPr>
      </w:pPr>
    </w:p>
    <w:p w14:paraId="4C16C3BE">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采购内容：</w:t>
      </w:r>
      <w:r>
        <w:rPr>
          <w:rFonts w:hint="eastAsia" w:ascii="宋体" w:hAnsi="宋体" w:eastAsia="宋体" w:cs="宋体"/>
          <w:b/>
          <w:bCs/>
          <w:sz w:val="28"/>
          <w:szCs w:val="28"/>
          <w:u w:val="single"/>
        </w:rPr>
        <w:t xml:space="preserve">                                    </w:t>
      </w:r>
    </w:p>
    <w:p w14:paraId="2824AFC4">
      <w:pPr>
        <w:spacing w:before="120" w:line="360" w:lineRule="auto"/>
        <w:ind w:left="960"/>
        <w:rPr>
          <w:rFonts w:hint="eastAsia" w:ascii="宋体" w:hAnsi="宋体" w:eastAsia="宋体" w:cs="宋体"/>
          <w:b/>
          <w:bCs/>
          <w:sz w:val="28"/>
          <w:szCs w:val="28"/>
        </w:rPr>
      </w:pPr>
    </w:p>
    <w:p w14:paraId="1B398974">
      <w:pPr>
        <w:spacing w:before="120" w:line="360" w:lineRule="auto"/>
        <w:ind w:left="960"/>
        <w:rPr>
          <w:rFonts w:hint="eastAsia" w:ascii="宋体" w:hAnsi="宋体" w:eastAsia="宋体" w:cs="宋体"/>
          <w:b/>
          <w:bCs/>
          <w:sz w:val="28"/>
          <w:szCs w:val="28"/>
        </w:rPr>
      </w:pPr>
      <w:r>
        <w:rPr>
          <w:rFonts w:hint="eastAsia" w:ascii="宋体" w:hAnsi="宋体" w:eastAsia="宋体" w:cs="宋体"/>
          <w:b/>
          <w:bCs/>
          <w:sz w:val="28"/>
          <w:szCs w:val="28"/>
        </w:rPr>
        <w:t>采购人：</w:t>
      </w:r>
      <w:r>
        <w:rPr>
          <w:rFonts w:hint="eastAsia" w:ascii="宋体" w:hAnsi="宋体" w:eastAsia="宋体" w:cs="宋体"/>
          <w:b/>
          <w:bCs/>
          <w:sz w:val="28"/>
          <w:szCs w:val="28"/>
          <w:u w:val="single"/>
        </w:rPr>
        <w:t xml:space="preserve">                                       </w:t>
      </w:r>
    </w:p>
    <w:p w14:paraId="511FEA52">
      <w:pPr>
        <w:spacing w:before="120" w:line="360" w:lineRule="auto"/>
        <w:ind w:left="960"/>
        <w:rPr>
          <w:rFonts w:hint="eastAsia" w:ascii="宋体" w:hAnsi="宋体" w:eastAsia="宋体" w:cs="宋体"/>
          <w:b/>
          <w:bCs/>
          <w:sz w:val="28"/>
          <w:szCs w:val="28"/>
        </w:rPr>
      </w:pPr>
    </w:p>
    <w:p w14:paraId="6D31470F">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中标供应商：</w:t>
      </w:r>
      <w:r>
        <w:rPr>
          <w:rFonts w:hint="eastAsia" w:ascii="宋体" w:hAnsi="宋体" w:eastAsia="宋体" w:cs="宋体"/>
          <w:b/>
          <w:bCs/>
          <w:sz w:val="28"/>
          <w:szCs w:val="28"/>
          <w:u w:val="single"/>
        </w:rPr>
        <w:t xml:space="preserve">                                   </w:t>
      </w:r>
    </w:p>
    <w:p w14:paraId="772DA874">
      <w:pPr>
        <w:spacing w:before="120" w:line="360" w:lineRule="auto"/>
        <w:ind w:firstLine="843" w:firstLineChars="350"/>
        <w:rPr>
          <w:rFonts w:hint="eastAsia" w:ascii="宋体" w:hAnsi="宋体" w:eastAsia="宋体" w:cs="宋体"/>
          <w:b/>
          <w:bCs/>
          <w:sz w:val="24"/>
          <w:szCs w:val="24"/>
        </w:rPr>
      </w:pPr>
    </w:p>
    <w:p w14:paraId="04834095">
      <w:pPr>
        <w:ind w:firstLine="981" w:firstLineChars="349"/>
        <w:rPr>
          <w:rFonts w:hint="eastAsia" w:ascii="宋体" w:hAnsi="宋体" w:eastAsia="宋体" w:cs="宋体"/>
          <w:b/>
          <w:bCs/>
          <w:sz w:val="24"/>
          <w:szCs w:val="24"/>
        </w:rPr>
      </w:pPr>
      <w:r>
        <w:rPr>
          <w:rFonts w:hint="eastAsia" w:ascii="宋体" w:hAnsi="宋体" w:eastAsia="宋体" w:cs="宋体"/>
          <w:b/>
          <w:bCs/>
          <w:sz w:val="28"/>
          <w:szCs w:val="28"/>
        </w:rPr>
        <w:t>签署日期：</w:t>
      </w:r>
      <w:r>
        <w:rPr>
          <w:rFonts w:hint="eastAsia" w:ascii="宋体" w:hAnsi="宋体" w:eastAsia="宋体" w:cs="宋体"/>
          <w:b/>
          <w:bCs/>
          <w:sz w:val="24"/>
          <w:szCs w:val="24"/>
          <w:u w:val="single"/>
        </w:rPr>
        <w:t xml:space="preserve">　　　　　　　　　　　　　              　 </w:t>
      </w:r>
    </w:p>
    <w:p w14:paraId="12558B18">
      <w:pPr>
        <w:rPr>
          <w:rFonts w:hint="eastAsia" w:ascii="宋体" w:hAnsi="宋体" w:eastAsia="宋体" w:cs="宋体"/>
          <w:b/>
          <w:sz w:val="32"/>
          <w:szCs w:val="32"/>
          <w:u w:val="single"/>
        </w:rPr>
      </w:pPr>
      <w:r>
        <w:rPr>
          <w:rFonts w:hint="eastAsia" w:ascii="宋体" w:hAnsi="宋体" w:eastAsia="宋体" w:cs="宋体"/>
          <w:b/>
          <w:sz w:val="32"/>
          <w:szCs w:val="32"/>
          <w:u w:val="single"/>
        </w:rPr>
        <w:br w:type="page"/>
      </w:r>
    </w:p>
    <w:p w14:paraId="250326CC">
      <w:pPr>
        <w:tabs>
          <w:tab w:val="left" w:pos="3195"/>
        </w:tabs>
        <w:spacing w:before="120" w:beforeLines="50" w:after="120" w:afterLines="50"/>
        <w:ind w:firstLine="1928" w:firstLineChars="600"/>
        <w:rPr>
          <w:rFonts w:hint="eastAsia" w:ascii="宋体" w:hAnsi="宋体" w:eastAsia="宋体" w:cs="宋体"/>
          <w:b/>
          <w:sz w:val="32"/>
          <w:szCs w:val="32"/>
        </w:rPr>
      </w:pPr>
      <w:r>
        <w:rPr>
          <w:rFonts w:hint="eastAsia" w:ascii="宋体" w:hAnsi="宋体" w:eastAsia="宋体" w:cs="宋体"/>
          <w:b/>
          <w:sz w:val="32"/>
          <w:szCs w:val="32"/>
          <w:u w:val="single"/>
        </w:rPr>
        <w:t xml:space="preserve">                          </w:t>
      </w:r>
      <w:r>
        <w:rPr>
          <w:rFonts w:hint="eastAsia" w:ascii="宋体" w:hAnsi="宋体" w:eastAsia="宋体" w:cs="宋体"/>
          <w:b/>
          <w:sz w:val="32"/>
          <w:szCs w:val="32"/>
        </w:rPr>
        <w:t>项目</w:t>
      </w:r>
    </w:p>
    <w:p w14:paraId="17841E02">
      <w:pPr>
        <w:tabs>
          <w:tab w:val="left" w:pos="3195"/>
        </w:tabs>
        <w:spacing w:before="120" w:beforeLines="50" w:after="120" w:afterLines="50"/>
        <w:jc w:val="center"/>
        <w:rPr>
          <w:rFonts w:hint="eastAsia" w:ascii="宋体" w:hAnsi="宋体" w:eastAsia="宋体" w:cs="宋体"/>
          <w:b/>
          <w:sz w:val="24"/>
          <w:szCs w:val="24"/>
        </w:rPr>
      </w:pPr>
      <w:r>
        <w:rPr>
          <w:rFonts w:hint="eastAsia" w:ascii="宋体" w:hAnsi="宋体" w:eastAsia="宋体" w:cs="宋体"/>
          <w:b/>
          <w:sz w:val="24"/>
          <w:szCs w:val="24"/>
        </w:rPr>
        <w:t>合 同 书</w:t>
      </w:r>
    </w:p>
    <w:p w14:paraId="49196BE0">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p>
    <w:p w14:paraId="7727C881">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 xml:space="preserve">甲方： </w:t>
      </w:r>
    </w:p>
    <w:p w14:paraId="4693139D">
      <w:pPr>
        <w:tabs>
          <w:tab w:val="left" w:pos="735"/>
        </w:tabs>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p>
    <w:p w14:paraId="2C43B3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供应商中标后，需与采购人按照磋商文件、磋商响应文件以及采购人提出的要求，签署相关合同。拟签署的合同主要条款如下：</w:t>
      </w:r>
    </w:p>
    <w:p w14:paraId="5D4F7346">
      <w:pPr>
        <w:spacing w:line="360" w:lineRule="auto"/>
        <w:ind w:firstLine="482" w:firstLineChars="200"/>
        <w:rPr>
          <w:rFonts w:hint="eastAsia" w:ascii="宋体" w:hAnsi="宋体" w:eastAsia="宋体" w:cs="宋体"/>
          <w:b/>
          <w:bCs/>
          <w:sz w:val="24"/>
          <w:szCs w:val="24"/>
        </w:rPr>
      </w:pPr>
      <w:bookmarkStart w:id="2" w:name="_Toc244416560"/>
      <w:r>
        <w:rPr>
          <w:rFonts w:hint="eastAsia" w:ascii="宋体" w:hAnsi="宋体" w:eastAsia="宋体" w:cs="宋体"/>
          <w:b/>
          <w:bCs/>
          <w:sz w:val="24"/>
          <w:szCs w:val="24"/>
        </w:rPr>
        <w:t>1.组成合同的主要文件</w:t>
      </w:r>
      <w:bookmarkEnd w:id="2"/>
    </w:p>
    <w:p w14:paraId="72F86D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1.采购人与中标供应商签署的合同中的所有条款；</w:t>
      </w:r>
    </w:p>
    <w:p w14:paraId="2C83BD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2.成交通知书；</w:t>
      </w:r>
    </w:p>
    <w:p w14:paraId="0FB721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3.磋商文件及澄清（如有）</w:t>
      </w:r>
    </w:p>
    <w:p w14:paraId="350AC2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4.响应文件及澄清（如有）</w:t>
      </w:r>
    </w:p>
    <w:p w14:paraId="2A9B51D4">
      <w:pPr>
        <w:spacing w:line="360" w:lineRule="auto"/>
        <w:ind w:firstLine="482" w:firstLineChars="200"/>
        <w:rPr>
          <w:rFonts w:hint="eastAsia" w:ascii="宋体" w:hAnsi="宋体" w:eastAsia="宋体" w:cs="宋体"/>
          <w:sz w:val="24"/>
          <w:szCs w:val="24"/>
        </w:rPr>
      </w:pPr>
      <w:bookmarkStart w:id="3" w:name="_Toc244416561"/>
      <w:r>
        <w:rPr>
          <w:rFonts w:hint="eastAsia" w:ascii="宋体" w:hAnsi="宋体" w:eastAsia="宋体" w:cs="宋体"/>
          <w:b/>
          <w:bCs/>
          <w:sz w:val="24"/>
          <w:szCs w:val="24"/>
        </w:rPr>
        <w:t>2.</w:t>
      </w:r>
      <w:bookmarkEnd w:id="3"/>
      <w:r>
        <w:rPr>
          <w:rFonts w:hint="eastAsia" w:ascii="宋体" w:hAnsi="宋体" w:eastAsia="宋体" w:cs="宋体"/>
          <w:b/>
          <w:bCs/>
          <w:sz w:val="24"/>
          <w:szCs w:val="24"/>
        </w:rPr>
        <w:t>合同价款、付款方式及比例</w:t>
      </w:r>
    </w:p>
    <w:p w14:paraId="49E9B8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2.1合同价款及比例</w:t>
      </w:r>
    </w:p>
    <w:p w14:paraId="010B0D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2.2合同价款的支付方式为：</w:t>
      </w:r>
    </w:p>
    <w:p w14:paraId="2DC864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2.3款项支付时，中标供应商须按采购方要求提供正式发票等付款所需的材料。发票开具的“单位名称”：</w:t>
      </w:r>
    </w:p>
    <w:p w14:paraId="6E1D206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3.验收标准及方法</w:t>
      </w:r>
    </w:p>
    <w:p w14:paraId="2148E7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6E7C59E3">
      <w:pPr>
        <w:snapToGrid w:val="0"/>
        <w:spacing w:line="360" w:lineRule="auto"/>
        <w:ind w:right="-45" w:firstLine="480" w:firstLineChars="200"/>
        <w:rPr>
          <w:rFonts w:hint="eastAsia" w:ascii="宋体" w:hAnsi="宋体" w:eastAsia="宋体" w:cs="宋体"/>
        </w:rPr>
      </w:pPr>
      <w:r>
        <w:rPr>
          <w:rFonts w:hint="eastAsia" w:ascii="宋体" w:hAnsi="宋体" w:eastAsia="宋体" w:cs="宋体"/>
          <w:sz w:val="24"/>
          <w:szCs w:val="24"/>
        </w:rPr>
        <w:t>3.2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14:paraId="10F1F41F">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3.3 验收依据</w:t>
      </w:r>
    </w:p>
    <w:p w14:paraId="2D66CB98">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⑴</w:t>
      </w:r>
      <w:r>
        <w:rPr>
          <w:rFonts w:hint="eastAsia" w:ascii="宋体" w:hAnsi="宋体" w:eastAsia="宋体" w:cs="宋体"/>
          <w:sz w:val="24"/>
          <w:szCs w:val="24"/>
        </w:rPr>
        <w:t xml:space="preserve">本合同及附件文本所约定的验收标准； </w:t>
      </w:r>
    </w:p>
    <w:p w14:paraId="13C540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⑵</w:t>
      </w:r>
      <w:r>
        <w:rPr>
          <w:rFonts w:hint="eastAsia" w:ascii="宋体" w:hAnsi="宋体" w:eastAsia="宋体" w:cs="宋体"/>
          <w:sz w:val="24"/>
          <w:szCs w:val="24"/>
        </w:rPr>
        <w:t>磋商文件、磋商响应文件、澄清表（函）；</w:t>
      </w:r>
    </w:p>
    <w:p w14:paraId="47708364">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⑶</w:t>
      </w:r>
      <w:r>
        <w:rPr>
          <w:rFonts w:hint="eastAsia" w:ascii="宋体" w:hAnsi="宋体" w:eastAsia="宋体" w:cs="宋体"/>
          <w:sz w:val="24"/>
          <w:szCs w:val="24"/>
        </w:rPr>
        <w:t>国家相应的标准、规范。</w:t>
      </w:r>
    </w:p>
    <w:p w14:paraId="5BDC0D29">
      <w:pPr>
        <w:autoSpaceDE w:val="0"/>
        <w:autoSpaceDN w:val="0"/>
        <w:spacing w:line="360" w:lineRule="auto"/>
        <w:ind w:left="540" w:leftChars="171" w:hanging="181" w:hangingChars="75"/>
        <w:textAlignment w:val="bottom"/>
        <w:rPr>
          <w:rFonts w:hint="eastAsia" w:ascii="宋体" w:hAnsi="宋体" w:eastAsia="宋体" w:cs="宋体"/>
          <w:b/>
          <w:bCs/>
          <w:sz w:val="24"/>
          <w:szCs w:val="24"/>
        </w:rPr>
      </w:pPr>
      <w:r>
        <w:rPr>
          <w:rFonts w:hint="eastAsia" w:ascii="宋体" w:hAnsi="宋体" w:eastAsia="宋体" w:cs="宋体"/>
          <w:b/>
          <w:bCs/>
          <w:sz w:val="24"/>
          <w:szCs w:val="24"/>
        </w:rPr>
        <w:t>4．项目组成员要求</w:t>
      </w:r>
    </w:p>
    <w:p w14:paraId="38A9962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4.1 在项目实施过程中，中标供应商项目组成员（特别是项目经理）未经采购人许可不得随意变动。中标供应商项目经理离开24小时，需向采购人提出书面申请，经采购人书面同意方可变动。</w:t>
      </w:r>
    </w:p>
    <w:p w14:paraId="56AF51AA">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4.2 中标供应商项目组成员如需变动，需向采购人提出书面申请，经采购人书面同意方可变动。</w:t>
      </w:r>
    </w:p>
    <w:p w14:paraId="7735B7B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4.3 在项目实施过程中，如采购人发现某项目组成员不能满足工作要求，采购人有权要求中标供应商进行人员调整。</w:t>
      </w:r>
    </w:p>
    <w:p w14:paraId="02969FD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4.4 在项目实施过程中发生的人身及财产损失由中标供应商负责，采购人不承担任何责任。</w:t>
      </w:r>
    </w:p>
    <w:p w14:paraId="6B1061BC">
      <w:pPr>
        <w:autoSpaceDE w:val="0"/>
        <w:autoSpaceDN w:val="0"/>
        <w:spacing w:line="360" w:lineRule="auto"/>
        <w:ind w:left="539" w:leftChars="228" w:hanging="60" w:hangingChars="25"/>
        <w:textAlignment w:val="bottom"/>
        <w:rPr>
          <w:rFonts w:hint="eastAsia" w:ascii="宋体" w:hAnsi="宋体" w:eastAsia="宋体" w:cs="宋体"/>
          <w:b/>
          <w:bCs/>
          <w:sz w:val="24"/>
          <w:szCs w:val="24"/>
        </w:rPr>
      </w:pPr>
      <w:r>
        <w:rPr>
          <w:rFonts w:hint="eastAsia" w:ascii="宋体" w:hAnsi="宋体" w:eastAsia="宋体" w:cs="宋体"/>
          <w:b/>
          <w:bCs/>
          <w:sz w:val="24"/>
          <w:szCs w:val="24"/>
        </w:rPr>
        <w:t>5.合同解除</w:t>
      </w:r>
    </w:p>
    <w:p w14:paraId="1505ADA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5.1 如果中标供应商有下述任何一种违约行为或《合同条款》中规定的其它违约行为，在不妨碍采购人采取其它救济手段的情况下，采购人可以向中标供应商发出书面违约通知，全部或部分地解除合同。</w:t>
      </w:r>
    </w:p>
    <w:p w14:paraId="6104AF1C">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 中标供应商未能按合同规定的期限交付系统和/或提供相关的服务及技术资料；</w:t>
      </w:r>
    </w:p>
    <w:p w14:paraId="5619059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 中标供应商未能使规划方案达到相应合同附件规定的技术性能和保证指标；</w:t>
      </w:r>
    </w:p>
    <w:p w14:paraId="5BB4AEE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C. 中标供应商未能履行合同项下任何其它义务，并且在收到采购人违约通知后未能按通知所规定的期限对其违约行为作出补救；</w:t>
      </w:r>
    </w:p>
    <w:p w14:paraId="6084B089">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D.中标供应商在项目实施过程中未经采购人书面同意将项目的全部或部分转让、转包或分包给第三方公司或个人。</w:t>
      </w:r>
    </w:p>
    <w:p w14:paraId="04F5D74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5.2 如果一方破产或发生资不抵债的情况,合同另一方有权在任何时候发出书面通知解除合同。此种情况下合同的解除不妨碍或影响行使任何可能的其它救济手段。</w:t>
      </w:r>
    </w:p>
    <w:p w14:paraId="604CCCD2">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5.3 如果采购人认定中标供应商在竞标或执行合同中有腐败或欺诈行为,采购人有权在任何时候发出书面通知解除合同。 </w:t>
      </w:r>
    </w:p>
    <w:p w14:paraId="1D452245">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A.“腐败行为”系指在招标、采购和合同执行等过程中，为谋求利益、影响相关人员而提供、给予、接受或索取任何有价物的行为。</w:t>
      </w:r>
    </w:p>
    <w:p w14:paraId="52D2FE2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01C26A86">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5.4 如果采购人行使解除合同的权利，采购人有权停付合同款，并有权将在执行合同中预付给中标供应商的款项索回，并有权要求中标供应商赔偿由此产生的直接经济损失。</w:t>
      </w:r>
    </w:p>
    <w:p w14:paraId="24C53AB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5.5 若5.2和5.3考虑的情况确实发生，采购人有权从中标供应商手中将与“项目”有关的工作接管并收归己有，中标供应商应给采购人提供全权处理并提供一切合理的方便，采购人对这种终止合同直接或间接引起的对中标供应商的任何索赔不承担责任。</w:t>
      </w:r>
    </w:p>
    <w:p w14:paraId="1E5B230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6.违约责任</w:t>
      </w:r>
    </w:p>
    <w:p w14:paraId="019D21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6.1中标供应商逾期不实施项目工作计划，或其工作达不到合同要求的，采购人有权单方解除合同，中标供应商应返还已付款项。</w:t>
      </w:r>
    </w:p>
    <w:p w14:paraId="0D800D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中标供应商在磋商响应文件中配置的人员需在实施过程中，依次到位，中标供应商如果提出人员变更，采购人有权利拒绝，中标供应商未按照磋商响应文件配置设施人员的，应向采购人支付合同总价10%的违约金，同时，采购人有权单方解除本合同。</w:t>
      </w:r>
    </w:p>
    <w:p w14:paraId="0C6E855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6.3 如果中标供应商没有按照合同约定时间完成项目要求的，采购人应在不影响合同项下的其他补救措施的情况下，从合同价中扣除逾期违约金。每延误一天的违约金按合同总价的百分之零点五（0.5%）计收，直至中标供应商完成合同约定义务为止。误期的最长期限为90天。一旦达到误期的最长期限，采购人有权单方解除本合同，采购人单方解除本合同的，中标供应商应向采购人支付合同总价10%的违约金，返还采购人已支付的全部款项，给采购人造成经济损失的，还应赔偿采购人全部经济损失（包括直接和间接经济损失）。</w:t>
      </w:r>
    </w:p>
    <w:p w14:paraId="6293149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6.4 中标供应商完成并向采购人提交的项目成果未能达到项目验收标准的，中标供应商应在一个月内自费整改完毕。如果整改后仍达不到要求，不能通过验收的，采购人有权单方解除本合同，中标供应商向采购人支付合同总价30%的违约金，并退还采购人已经支付的所有款项，采购人造成经济损失的，还应赔偿采购人全部经济损失（包括直接和间接经济损失）。</w:t>
      </w:r>
    </w:p>
    <w:p w14:paraId="01119D42">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6.5 在项目实施过程中，中标供应商未经采购人书面同意将项目的全部或部分转让、转包或分包给第三方公司或个人，采购人有权解除合同，中标供应商应向采购人支付合同总价30%的违约金。</w:t>
      </w:r>
    </w:p>
    <w:p w14:paraId="63B59D80">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6.6 中标供应商或其工作人员违反本合同约定的保密义务的，中标供应商应向采购人支付合同总价10%的违约金，给采购人造成经济损失的，还应赔偿采购人全部经济损失（包括直接和间接经济损失）。</w:t>
      </w:r>
    </w:p>
    <w:p w14:paraId="5A319F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6.7其他违约行为，按照国家有关法规和条例承担法律责任。</w:t>
      </w:r>
    </w:p>
    <w:p w14:paraId="17E8ED94">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7. 税费</w:t>
      </w:r>
    </w:p>
    <w:p w14:paraId="349020E4">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7.1 本合同规定的合同价格已包括一切税费和伴随服务费等。</w:t>
      </w:r>
    </w:p>
    <w:p w14:paraId="4A7F85AC">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7.2 政府相关部门根据中国税法对采购人和中标供应商双方征收的与执行合同有关的一切税费，双方均应按照政府相关部门的规定各自负担。</w:t>
      </w:r>
    </w:p>
    <w:p w14:paraId="310AB208">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8.不可抗力</w:t>
      </w:r>
    </w:p>
    <w:p w14:paraId="31BC8FF9">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8.1本合同履行期间，任何一方发生了不可抗力事件，以致不能履行或不能如期履行本合同，各方协商一致后，发生不可抗力事件的一方可以免除履行本合同的责任或推迟履行本合同。</w:t>
      </w:r>
    </w:p>
    <w:p w14:paraId="2C88E38A">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8.2本合同约定的不可抗力事件包括以下范围：</w:t>
      </w:r>
    </w:p>
    <w:p w14:paraId="4CD97316">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⑴自然原因引起的事件，如地震、洪水、飓风、寒流、火山爆发、大雪、水灾、冰灾、暴风雨等；</w:t>
      </w:r>
    </w:p>
    <w:p w14:paraId="5B3AA851">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⑵社会原因引起的事件，如战争、罢工、政府禁令、封锁、疫情等；</w:t>
      </w:r>
    </w:p>
    <w:p w14:paraId="0F313C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8.3发生不可抗力的一方，应于不可抗力发生后5天内以书面形式通知对方，通报不可抗力的详尽情况，提交不可抗力影响履行程度的官方证明文件。未尽告知义务的，不免除违约责任。</w:t>
      </w:r>
    </w:p>
    <w:p w14:paraId="0E4E264C">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9. 适用法律</w:t>
      </w:r>
    </w:p>
    <w:p w14:paraId="3626FED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本合同的执行和争议的解决应适用中华人民共和国的法律，并按中华人民共和国的法律进行解释。</w:t>
      </w:r>
    </w:p>
    <w:p w14:paraId="115EAFBF">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10.通知</w:t>
      </w:r>
    </w:p>
    <w:p w14:paraId="600FACE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10.1 本合同一方给对方的通知应以书面形式送到合同专用条款中载明的对方的地址。传真要经书面确认。</w:t>
      </w:r>
    </w:p>
    <w:p w14:paraId="3BE879AB">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10.2 通知以对方签收日期或通知书的生效日期为生效日期，两者中以晚的一个日期为准。</w:t>
      </w:r>
    </w:p>
    <w:p w14:paraId="4BF906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11.争议解决方式</w:t>
      </w:r>
    </w:p>
    <w:p w14:paraId="1EBD23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因履行本合同发生的争议，由采购人和中标供应商协商解决，协商不成的，任何一方均可向采购人住所地人民法院提起诉讼，通过诉讼途径解决。</w:t>
      </w:r>
    </w:p>
    <w:p w14:paraId="28B402E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12.合同生效</w:t>
      </w:r>
    </w:p>
    <w:p w14:paraId="0E917F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本合同应在采购人和中标供应商双方签字并加盖公章后生效。</w:t>
      </w:r>
    </w:p>
    <w:p w14:paraId="48AEC0DF">
      <w:pPr>
        <w:pStyle w:val="5"/>
        <w:rPr>
          <w:rFonts w:hint="eastAsia" w:ascii="宋体" w:hAnsi="宋体" w:eastAsia="宋体" w:cs="宋体"/>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32C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5827DC">
            <w:pPr>
              <w:spacing w:line="360" w:lineRule="auto"/>
              <w:rPr>
                <w:rFonts w:hint="eastAsia" w:ascii="宋体" w:hAnsi="宋体" w:eastAsia="宋体" w:cs="宋体"/>
                <w:sz w:val="24"/>
              </w:rPr>
            </w:pPr>
            <w:r>
              <w:rPr>
                <w:rFonts w:hint="eastAsia" w:ascii="宋体" w:hAnsi="宋体" w:eastAsia="宋体" w:cs="宋体"/>
                <w:sz w:val="24"/>
              </w:rPr>
              <w:t>甲  方</w:t>
            </w:r>
          </w:p>
        </w:tc>
        <w:tc>
          <w:tcPr>
            <w:tcW w:w="4829" w:type="dxa"/>
            <w:tcBorders>
              <w:top w:val="nil"/>
              <w:left w:val="nil"/>
              <w:bottom w:val="nil"/>
              <w:right w:val="nil"/>
            </w:tcBorders>
            <w:noWrap w:val="0"/>
            <w:vAlign w:val="center"/>
          </w:tcPr>
          <w:p w14:paraId="56F74710">
            <w:pPr>
              <w:spacing w:line="360" w:lineRule="auto"/>
              <w:rPr>
                <w:rFonts w:hint="eastAsia" w:ascii="宋体" w:hAnsi="宋体" w:eastAsia="宋体" w:cs="宋体"/>
                <w:sz w:val="24"/>
              </w:rPr>
            </w:pPr>
            <w:r>
              <w:rPr>
                <w:rFonts w:hint="eastAsia" w:ascii="宋体" w:hAnsi="宋体" w:eastAsia="宋体" w:cs="宋体"/>
                <w:sz w:val="24"/>
              </w:rPr>
              <w:t>乙  方</w:t>
            </w:r>
          </w:p>
        </w:tc>
      </w:tr>
      <w:tr w14:paraId="077BC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F11FED">
            <w:pPr>
              <w:spacing w:line="360" w:lineRule="auto"/>
              <w:rPr>
                <w:rFonts w:hint="eastAsia" w:ascii="宋体" w:hAnsi="宋体" w:eastAsia="宋体" w:cs="宋体"/>
                <w:b/>
                <w:sz w:val="24"/>
              </w:rPr>
            </w:pPr>
            <w:r>
              <w:rPr>
                <w:rFonts w:hint="eastAsia" w:ascii="宋体" w:hAnsi="宋体" w:eastAsia="宋体" w:cs="宋体"/>
                <w:sz w:val="24"/>
              </w:rPr>
              <w:t>单位名称：</w:t>
            </w:r>
          </w:p>
        </w:tc>
        <w:tc>
          <w:tcPr>
            <w:tcW w:w="4829" w:type="dxa"/>
            <w:tcBorders>
              <w:top w:val="nil"/>
              <w:left w:val="nil"/>
              <w:bottom w:val="nil"/>
              <w:right w:val="nil"/>
            </w:tcBorders>
            <w:noWrap w:val="0"/>
            <w:vAlign w:val="center"/>
          </w:tcPr>
          <w:p w14:paraId="62537E40">
            <w:pPr>
              <w:spacing w:line="360" w:lineRule="auto"/>
              <w:rPr>
                <w:rFonts w:hint="eastAsia" w:ascii="宋体" w:hAnsi="宋体" w:eastAsia="宋体" w:cs="宋体"/>
                <w:b/>
                <w:sz w:val="24"/>
              </w:rPr>
            </w:pPr>
            <w:r>
              <w:rPr>
                <w:rFonts w:hint="eastAsia" w:ascii="宋体" w:hAnsi="宋体" w:eastAsia="宋体" w:cs="宋体"/>
                <w:sz w:val="24"/>
              </w:rPr>
              <w:t>单位名称：</w:t>
            </w:r>
            <w:r>
              <w:rPr>
                <w:rFonts w:hint="eastAsia" w:ascii="宋体" w:hAnsi="宋体" w:eastAsia="宋体" w:cs="宋体"/>
                <w:bCs/>
                <w:sz w:val="24"/>
              </w:rPr>
              <w:t>××</w:t>
            </w:r>
            <w:r>
              <w:rPr>
                <w:rFonts w:hint="eastAsia" w:ascii="宋体" w:hAnsi="宋体" w:eastAsia="宋体" w:cs="宋体"/>
                <w:sz w:val="24"/>
              </w:rPr>
              <w:t>公司</w:t>
            </w:r>
          </w:p>
        </w:tc>
      </w:tr>
      <w:tr w14:paraId="24A6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BDB2AFC">
            <w:pPr>
              <w:spacing w:line="360" w:lineRule="auto"/>
              <w:rPr>
                <w:rFonts w:hint="eastAsia" w:ascii="宋体" w:hAnsi="宋体" w:eastAsia="宋体" w:cs="宋体"/>
                <w:sz w:val="24"/>
              </w:rPr>
            </w:pPr>
            <w:r>
              <w:rPr>
                <w:rFonts w:hint="eastAsia" w:ascii="宋体" w:hAnsi="宋体" w:eastAsia="宋体" w:cs="宋体"/>
                <w:sz w:val="24"/>
              </w:rPr>
              <w:t>地    址：</w:t>
            </w:r>
          </w:p>
        </w:tc>
        <w:tc>
          <w:tcPr>
            <w:tcW w:w="4829" w:type="dxa"/>
            <w:tcBorders>
              <w:top w:val="nil"/>
              <w:left w:val="nil"/>
              <w:bottom w:val="nil"/>
              <w:right w:val="nil"/>
            </w:tcBorders>
            <w:noWrap w:val="0"/>
            <w:vAlign w:val="center"/>
          </w:tcPr>
          <w:p w14:paraId="51F786C2">
            <w:pPr>
              <w:spacing w:line="360" w:lineRule="auto"/>
              <w:rPr>
                <w:rFonts w:hint="eastAsia" w:ascii="宋体" w:hAnsi="宋体" w:eastAsia="宋体" w:cs="宋体"/>
                <w:sz w:val="24"/>
              </w:rPr>
            </w:pPr>
            <w:r>
              <w:rPr>
                <w:rFonts w:hint="eastAsia" w:ascii="宋体" w:hAnsi="宋体" w:eastAsia="宋体" w:cs="宋体"/>
                <w:sz w:val="24"/>
              </w:rPr>
              <w:t xml:space="preserve">地    址： </w:t>
            </w:r>
          </w:p>
        </w:tc>
      </w:tr>
      <w:tr w14:paraId="3AF0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253342DF">
            <w:pPr>
              <w:spacing w:line="360" w:lineRule="auto"/>
              <w:rPr>
                <w:rFonts w:hint="eastAsia" w:ascii="宋体" w:hAnsi="宋体" w:eastAsia="宋体" w:cs="宋体"/>
                <w:sz w:val="24"/>
              </w:rPr>
            </w:pPr>
            <w:r>
              <w:rPr>
                <w:rFonts w:hint="eastAsia" w:ascii="宋体" w:hAnsi="宋体" w:eastAsia="宋体" w:cs="宋体"/>
                <w:sz w:val="24"/>
              </w:rPr>
              <w:t>代表人：</w:t>
            </w:r>
          </w:p>
        </w:tc>
        <w:tc>
          <w:tcPr>
            <w:tcW w:w="4829" w:type="dxa"/>
            <w:tcBorders>
              <w:top w:val="nil"/>
              <w:left w:val="nil"/>
              <w:bottom w:val="nil"/>
              <w:right w:val="nil"/>
            </w:tcBorders>
            <w:noWrap w:val="0"/>
            <w:vAlign w:val="center"/>
          </w:tcPr>
          <w:p w14:paraId="3792A59D">
            <w:pPr>
              <w:spacing w:line="360" w:lineRule="auto"/>
              <w:rPr>
                <w:rFonts w:hint="eastAsia" w:ascii="宋体" w:hAnsi="宋体" w:eastAsia="宋体" w:cs="宋体"/>
                <w:sz w:val="24"/>
              </w:rPr>
            </w:pPr>
            <w:r>
              <w:rPr>
                <w:rFonts w:hint="eastAsia" w:ascii="宋体" w:hAnsi="宋体" w:eastAsia="宋体" w:cs="宋体"/>
                <w:sz w:val="24"/>
              </w:rPr>
              <w:t xml:space="preserve">代表人： </w:t>
            </w:r>
          </w:p>
        </w:tc>
      </w:tr>
      <w:tr w14:paraId="02B51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1B3017E5">
            <w:pPr>
              <w:spacing w:line="360" w:lineRule="auto"/>
              <w:rPr>
                <w:rFonts w:hint="eastAsia" w:ascii="宋体" w:hAnsi="宋体" w:eastAsia="宋体" w:cs="宋体"/>
                <w:sz w:val="24"/>
              </w:rPr>
            </w:pPr>
            <w:r>
              <w:rPr>
                <w:rFonts w:hint="eastAsia" w:ascii="宋体" w:hAnsi="宋体" w:eastAsia="宋体" w:cs="宋体"/>
                <w:sz w:val="24"/>
              </w:rPr>
              <w:t>联系电话：</w:t>
            </w:r>
          </w:p>
        </w:tc>
        <w:tc>
          <w:tcPr>
            <w:tcW w:w="4829" w:type="dxa"/>
            <w:tcBorders>
              <w:top w:val="nil"/>
              <w:left w:val="nil"/>
              <w:bottom w:val="nil"/>
              <w:right w:val="nil"/>
            </w:tcBorders>
            <w:noWrap w:val="0"/>
            <w:vAlign w:val="center"/>
          </w:tcPr>
          <w:p w14:paraId="70966676">
            <w:pPr>
              <w:spacing w:line="360" w:lineRule="auto"/>
              <w:rPr>
                <w:rFonts w:hint="eastAsia" w:ascii="宋体" w:hAnsi="宋体" w:eastAsia="宋体" w:cs="宋体"/>
                <w:sz w:val="24"/>
              </w:rPr>
            </w:pPr>
            <w:r>
              <w:rPr>
                <w:rFonts w:hint="eastAsia" w:ascii="宋体" w:hAnsi="宋体" w:eastAsia="宋体" w:cs="宋体"/>
                <w:sz w:val="24"/>
              </w:rPr>
              <w:t>联系电话：</w:t>
            </w:r>
          </w:p>
        </w:tc>
      </w:tr>
      <w:tr w14:paraId="0EC6A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1BF725A">
            <w:pPr>
              <w:spacing w:line="360" w:lineRule="auto"/>
              <w:rPr>
                <w:rFonts w:hint="eastAsia" w:ascii="宋体" w:hAnsi="宋体" w:eastAsia="宋体" w:cs="宋体"/>
                <w:sz w:val="24"/>
              </w:rPr>
            </w:pPr>
            <w:r>
              <w:rPr>
                <w:rFonts w:hint="eastAsia" w:ascii="宋体" w:hAnsi="宋体" w:eastAsia="宋体" w:cs="宋体"/>
                <w:sz w:val="24"/>
              </w:rPr>
              <w:t>2024年    月    日</w:t>
            </w:r>
          </w:p>
        </w:tc>
        <w:tc>
          <w:tcPr>
            <w:tcW w:w="4829" w:type="dxa"/>
            <w:tcBorders>
              <w:top w:val="nil"/>
              <w:left w:val="nil"/>
              <w:bottom w:val="nil"/>
              <w:right w:val="nil"/>
            </w:tcBorders>
            <w:noWrap w:val="0"/>
            <w:vAlign w:val="center"/>
          </w:tcPr>
          <w:p w14:paraId="21659B71">
            <w:pPr>
              <w:spacing w:line="360" w:lineRule="auto"/>
              <w:rPr>
                <w:rFonts w:hint="eastAsia" w:ascii="宋体" w:hAnsi="宋体" w:eastAsia="宋体" w:cs="宋体"/>
                <w:sz w:val="24"/>
              </w:rPr>
            </w:pPr>
            <w:r>
              <w:rPr>
                <w:rFonts w:hint="eastAsia" w:ascii="宋体" w:hAnsi="宋体" w:eastAsia="宋体" w:cs="宋体"/>
                <w:sz w:val="24"/>
              </w:rPr>
              <w:t>2024年   月    日</w:t>
            </w:r>
          </w:p>
        </w:tc>
      </w:tr>
    </w:tbl>
    <w:p w14:paraId="780875DA">
      <w:pPr>
        <w:pStyle w:val="4"/>
        <w:rPr>
          <w:rFonts w:hint="eastAsia" w:ascii="宋体" w:hAnsi="宋体" w:eastAsia="宋体" w:cs="宋体"/>
          <w:lang w:val="en-US" w:eastAsia="zh-Hans"/>
        </w:rPr>
      </w:pPr>
    </w:p>
    <w:p w14:paraId="5769352E">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5B1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2024-12-03T10:43:19Z</dcterms:created>
  <dc:creator>Administrator</dc:creator>
  <cp:lastModifiedBy>夏日微凉</cp:lastModifiedBy>
  <dcterms:modified xsi:type="dcterms:W3CDTF">2024-12-03T10:44:14Z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7DD55D465E9E4FE5AFC1ADFBA0F99FC5_12</vt:lpwstr>
  </property>
</Properties>
</file>