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版本号：JXRC-241210-220250122001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2025年中外文纸质图书期刊采购项目(二次)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JXRC-241210-2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2024年12月11日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2025年中外文纸质图书期刊采购项目(二次)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JXRC-241210-2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2025年中外文纸质图书期刊采购项目(二次)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2025年中外文纸质图书期刊采购，1批。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投标人应有良好的财务状况：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投标人应有依法缴纳税收的良好记录：法人提供自2024年9月1日以来至少一个月的纳税证明或完税证明，纳税证明或完税证明上应有代收机构或税务机关的公章或业务专用章；其他组织和自然人提供自2024年9月1日以来至少一个月缴纳税收的凭据；依法免税的投标人应提供相关文件证明。并进行电子签章。</w:t>
      </w:r>
    </w:p>
    <w:p>
      <w:pPr>
        <w:pStyle w:val="null3"/>
      </w:pPr>
      <w:r>
        <w:rPr>
          <w:rFonts w:ascii="仿宋_GB2312" w:hAnsi="仿宋_GB2312" w:cs="仿宋_GB2312" w:eastAsia="仿宋_GB2312"/>
        </w:rPr>
        <w:t>4、投标人应有依法缴纳社会保障资金的良好记录：提供自2024年9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5、法定代表授权书：法定代表人/负责人直接参加的，只须递交《法定代表人/负责人身份证明》；法定代表人/负责人授权代表参加的，须递交《法定代表人/负责人授权书》,并进行电子签章。</w:t>
      </w:r>
    </w:p>
    <w:p>
      <w:pPr>
        <w:pStyle w:val="null3"/>
      </w:pPr>
      <w:r>
        <w:rPr>
          <w:rFonts w:ascii="仿宋_GB2312" w:hAnsi="仿宋_GB2312" w:cs="仿宋_GB2312" w:eastAsia="仿宋_GB2312"/>
        </w:rPr>
        <w:t>6、参加本次政府采购活动前三年内，在经营活动中没有重大违法记录：投标人需提供《无重大违法记录声明》完成承诺并进行电子签章。</w:t>
      </w:r>
    </w:p>
    <w:p>
      <w:pPr>
        <w:pStyle w:val="null3"/>
      </w:pPr>
      <w:r>
        <w:rPr>
          <w:rFonts w:ascii="仿宋_GB2312" w:hAnsi="仿宋_GB2312" w:cs="仿宋_GB2312" w:eastAsia="仿宋_GB2312"/>
        </w:rPr>
        <w:t>7、投标人应具有履行合同所必需的设备和专业技术能力：投标人需提供《具有履行合同所必需的设备和专业技术能力的承诺书》完成承诺并进行电子签章。</w:t>
      </w:r>
    </w:p>
    <w:p>
      <w:pPr>
        <w:pStyle w:val="null3"/>
      </w:pPr>
      <w:r>
        <w:rPr>
          <w:rFonts w:ascii="仿宋_GB2312" w:hAnsi="仿宋_GB2312" w:cs="仿宋_GB2312" w:eastAsia="仿宋_GB2312"/>
        </w:rPr>
        <w:t>8、出版物经营许可证：供应商提供合法有效的进口出版物经营许可证。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029-88303475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开户银行：民生银行西安分行营业部（备注：转账时需附言“241210-2投标保证金”）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说明：履约保证金金额为成交金额的5%，待验收合格后凭收据和验收单复印件无息退还。 转账账号： 账户：西北大学 账号：611301015018001145006 开户行：交通银行太白路支行 如遇下列情况之一者，合同履约保证金不予退还，作为对采购人的赔偿：（1）合同签订后不能按合同时限要求供货或安装调试的； （2）所供设备与合同不符或验收不合格的； （3）不能按合同履约的。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35</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1.供应商提前通知采购方具体的送货时间及包数，协商后，免费送至图书馆内指定地点。 2.验收分初次开箱验收和图书馆最终验收两个阶段，以最终验收为准。如出现与采购需求内容不符的图书进行退货处理。 3.图书到货后，根据发货清单，甲方（图书馆）、乙方开箱验收，核对图书书名、装帧、册数及种数等是否与发货清单信息相符。每批应附送A4纸张汇总清单（包括批号、品种总数、总册数、总金额）及分包清单（包括批号、包号、图书名称、ISBN号、码洋单价、实洋单价、即时汇率及合计册数、码洋总金额、实洋总金额等项目）。并同时向有关外文编目人员邮箱发送本批图书对应的USMARC数据。 4．乙方配合甲方（图书馆）完成外文图书的登记、加工、编目、上架、流通等工作环节。在整个外文图书加工过程中，甲方（图书馆）根据图书馆的外文订购清单和对外文图书检验技术指标，进行订购外文图书的最终验收。 5.如出现如下情况，供应商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2025年中外文纸质图书期刊采购，1批。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外文纸质图书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标的名称：外文纸质图书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供应商具有国际性的图书采购网络，经营图书品种丰富。具备按需按时提供外文图书书目的能力。</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外文纸质原版各类新书均为正版图书，严禁采购盗版、伪劣及非法出版物。</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拥有对急需书、特殊图书采购的处理能力。</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供应商须提供图书馆采购人所要求的各类图书征订书目（含印刷版和电子版EXCEL格式）及采访书目数据（USMARC格式，应包括ISBN、书名、作者、语言、币种、价格、摘要、读者对象、丛编、版本、开本、页码等详细信息）。</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所有报价应已含货物应纳全部规定税项、运输费、保险费、邮费以及其他各类服务的费用。</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供应商满足图书馆要求送货及提供发货清单，配书时间周期为1个月之内。成套书订单及出版信息变更及实际书价超出订单书价的订单再次认真审核，要求及时与采购人沟通并多次确认。</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在验收图书的过程中，如发现因出版信息、预定信息不完整造成的不适合收藏的，以及其他原因造成重订、错订等图书，保证无条件退货,并且采购人不承担因此产生的任何相关费用。</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图书总到货率不得低于95%。现采图书须在15日内完成配送到馆，到书率不低于100％；期货图书要求在订单确定后2个月内到书率达到95%，6个月内到书率不低于100％。</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pPr>
            <w:r>
              <w:rPr>
                <w:rFonts w:ascii="仿宋_GB2312" w:hAnsi="仿宋_GB2312" w:cs="仿宋_GB2312" w:eastAsia="仿宋_GB2312"/>
              </w:rPr>
              <w:t>到书后，供应商提前通知采购方具体的送货时间及包数，免费送至图书馆内指定地点。</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pPr>
            <w:r>
              <w:rPr>
                <w:rFonts w:ascii="仿宋_GB2312" w:hAnsi="仿宋_GB2312" w:cs="仿宋_GB2312" w:eastAsia="仿宋_GB2312"/>
              </w:rPr>
              <w:t>供应商应按采购人的要求免费提供到馆加工、数据下载、分编等服务，加工人员数量及到馆时间与采购人协商确定。供应商提供的加工、编目人员应相对固定。</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pPr>
            <w:r>
              <w:rPr>
                <w:rFonts w:ascii="仿宋_GB2312" w:hAnsi="仿宋_GB2312" w:cs="仿宋_GB2312" w:eastAsia="仿宋_GB2312"/>
              </w:rPr>
              <w:t>供应商按照CALIS西文规范提供原版图书编目数据，要求基本编目字段（020，093，100，245，264，300，490，520，650，700，905）信息完整准确，供应商提供的编目人员应根据外文编目细则进行图书的分编（含承担套录及原编数据）、书目著录、单册信息著录、图书加工等。采购人对中标方编目人员所做工作进行校对和考核，其准确率应保证在98％以上。</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pPr>
            <w:r>
              <w:rPr>
                <w:rFonts w:ascii="仿宋_GB2312" w:hAnsi="仿宋_GB2312" w:cs="仿宋_GB2312" w:eastAsia="仿宋_GB2312"/>
              </w:rPr>
              <w:t>供应商采购方要求对图书进行加工，包括贴磁条、贴条码、贴书标、盖馆藏章、打财产号等工作环节。具体按《西北大学图书验收加工细则》实施，其准确率应保证在98％以上。</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pPr>
            <w:r>
              <w:rPr>
                <w:rFonts w:ascii="仿宋_GB2312" w:hAnsi="仿宋_GB2312" w:cs="仿宋_GB2312" w:eastAsia="仿宋_GB2312"/>
              </w:rPr>
              <w:t>供应商与图书馆采购方核对所有采购外文图书的种数、册数、单价和总价确认后，供应商按照采购方提供的开票信息，开具发票，提供即时汇率、图书外币核算等信息，配合图书馆报销工作。</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pPr>
            <w:r>
              <w:rPr>
                <w:rFonts w:ascii="仿宋_GB2312" w:hAnsi="仿宋_GB2312" w:cs="仿宋_GB2312" w:eastAsia="仿宋_GB2312"/>
              </w:rPr>
              <w:t>供应商中标后，除按此次招标要求完成学校图书馆采购任务外，需同时按成交价格折扣率入驻西北大学采购服务平台，上架书目可优于此次招标内容，为学校师生提供小额图书采购服务。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西北大学图书馆指定地点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图书合同生效后，待图书到货、验收登记、加工上架，最终验收无误后，乙方向甲方开具正式发票，附对应清单一式两份，清单应注明码洋、折扣、即时汇率、实洋。甲方审核无误后，将书款汇至乙方指定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1.供应商提前通知采购方具体的送货时间及包数，协商后，免费送至图书馆内指定地点。 2.验收分初次开箱验收和图书馆最终验收两个阶段，以最终验收为准。如出现与采购需求内容不符的图书进行退货处理。 3.图书到货后，根据发货清单，甲方（图书馆）、乙方开箱验收，核对图书书名、装帧、册数及种数等是否与发货清单信息相符。每批应附送A4纸张汇总清单（包括批号、品种总数、总册数、总金额）及分包清单（包括批号、包号、图书名称、ISBN号、码洋单价、实洋单价、即时汇率及合计册数、码洋总金额、实洋总金额等项目）。并同时向有关外文编目人员邮箱发送本批图书对应的USMARC数据。 4．乙方配合甲方（图书馆）完成外文图书的登记、加工、编目、上架、流通等工作环节。在整个外文图书加工过程中，甲方（图书馆）根据图书馆的外文订购清单和对外文图书检验技术指标，进行订购外文图书的最终验收。 5.如出现如下情况，供应商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1、售后服务效率要求：即时响应（包括电话响应）；电话响应无法解决时，24小时内到达现场。修复时间24 小时内；如24小时内无法修复，应提供相应解决方案。 2、双方以实际供书实洋核算价格;最终结算价=码洋x(1-下浮率)。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投标人应有良好的财务状况</w:t>
            </w:r>
          </w:p>
        </w:tc>
        <w:tc>
          <w:tcPr>
            <w:tcW w:type="dxa" w:w="3322"/>
          </w:tcPr>
          <w:p>
            <w:pPr>
              <w:pStyle w:val="null3"/>
            </w:pPr>
            <w:r>
              <w:rPr>
                <w:rFonts w:ascii="仿宋_GB2312" w:hAnsi="仿宋_GB2312" w:cs="仿宋_GB2312" w:eastAsia="仿宋_GB2312"/>
              </w:rPr>
              <w:t>法人提供会计师事务所出具的完整的2023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投标人应有依法缴纳税收的良好记录</w:t>
            </w:r>
          </w:p>
        </w:tc>
        <w:tc>
          <w:tcPr>
            <w:tcW w:type="dxa" w:w="3322"/>
          </w:tcPr>
          <w:p>
            <w:pPr>
              <w:pStyle w:val="null3"/>
            </w:pPr>
            <w:r>
              <w:rPr>
                <w:rFonts w:ascii="仿宋_GB2312" w:hAnsi="仿宋_GB2312" w:cs="仿宋_GB2312" w:eastAsia="仿宋_GB2312"/>
              </w:rPr>
              <w:t>法人提供自2024年9月1日以来至少一个月的纳税证明或完税证明，纳税证明或完税证明上应有代收机构或税务机关的公章或业务专用章；其他组织和自然人提供自2024年9月1日以来至少一个月缴纳税收的凭据；依法免税的投标人应提供相关文件证明。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投标人应有依法缴纳社会保障资金的良好记录</w:t>
            </w:r>
          </w:p>
        </w:tc>
        <w:tc>
          <w:tcPr>
            <w:tcW w:type="dxa" w:w="3322"/>
          </w:tcPr>
          <w:p>
            <w:pPr>
              <w:pStyle w:val="null3"/>
            </w:pPr>
            <w:r>
              <w:rPr>
                <w:rFonts w:ascii="仿宋_GB2312" w:hAnsi="仿宋_GB2312" w:cs="仿宋_GB2312" w:eastAsia="仿宋_GB2312"/>
              </w:rPr>
              <w:t>提供自2024年9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投标人需提供《无重大违法记录声明》完成承诺并进行电子签章。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投标人应具有履行合同所必需的设备和专业技术能力</w:t>
            </w:r>
          </w:p>
        </w:tc>
        <w:tc>
          <w:tcPr>
            <w:tcW w:type="dxa" w:w="3322"/>
          </w:tcPr>
          <w:p>
            <w:pPr>
              <w:pStyle w:val="null3"/>
            </w:pPr>
            <w:r>
              <w:rPr>
                <w:rFonts w:ascii="仿宋_GB2312" w:hAnsi="仿宋_GB2312" w:cs="仿宋_GB2312" w:eastAsia="仿宋_GB2312"/>
              </w:rPr>
              <w:t>投标人需提供《具有履行合同所必需的设备和专业技术能力的承诺书》完成承诺并进行电子签章。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供应商提供合法有效的进口出版物经营许可证。</w:t>
            </w:r>
          </w:p>
        </w:tc>
        <w:tc>
          <w:tcPr>
            <w:tcW w:type="dxa" w:w="1661"/>
          </w:tcPr>
          <w:p>
            <w:pPr>
              <w:pStyle w:val="null3"/>
            </w:pPr>
            <w:r>
              <w:rPr>
                <w:rFonts w:ascii="仿宋_GB2312" w:hAnsi="仿宋_GB2312" w:cs="仿宋_GB2312" w:eastAsia="仿宋_GB2312"/>
              </w:rPr>
              <w:t>投标人资格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投标方案 技术响应偏离表 中小企业声明函 企业关联关系声明函 投标保证金缴纳凭证 投标函 其他材料 投标人资格 残疾人福利性单位声明函 标的清单 投标人业绩 投标文件封面 投标人基本信息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投标保证金缴纳凭证</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详细评审55.0000分</w:t>
            </w:r>
          </w:p>
          <w:p>
            <w:pPr>
              <w:pStyle w:val="null3"/>
            </w:pPr>
            <w:r>
              <w:rPr>
                <w:rFonts w:ascii="仿宋_GB2312" w:hAnsi="仿宋_GB2312" w:cs="仿宋_GB2312" w:eastAsia="仿宋_GB2312"/>
              </w:rPr>
              <w:t>报价得分45.0000分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采购内容及服务要求完全符合招标文件要求，没有负偏离的得10分；每有一条参数负偏离扣1分，扣完为止。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项目实施的具体工作部署、时间进度计划、图书的供货、加工及服务方案，根据其完整性及详细程度进行综合评价，完全满足项目需求计4.1-6分；方案合理，能够保证项目顺利实施计3.1-4分；方案完整，基本满足项目需求计1-3 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提供新书采访数据：以标准MARC和Excel格式向图书馆提供全国各出版社新出图书采访数据，供预订使用，图书采访数据完整、统计全面计2.1-4分，图书采访数据不完整计1-2分，未提供的不得分。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图书发行计划：随时向采购人提供图书市场动态信息、其公司运营情况及市场图书发行计划，以便图书馆及时安排、调整图书采购需求和计划，方案科学合理，可实施性较强，完全满足项目需求计4.1-6分；方案合理，能够保证项目顺利实施计3.1-4分；方案完整，基本满足项目需求计1-3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针对突发问题有处理实施计划和应急预案保障措施，应对重大突发事件及其他特殊问题提供图书配送安全等应急预案。应急措施和解决方案合理、切实可行计4.1-6分，应急措施和解决方案基本合理、基本可行计3.1-4分，应急措施和 解决方案不合理或可行性较差计1-3分，未提供不计分。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具有固定的营业场所，具有可供现采的现货库房或者样本库（须提供房产证明或房屋租赁合同复印件），提供专业固定从业人员、库房规格及物流配送车辆 等相关证明材料。响应材料充实详细、完整计1.1-2分；相关响应材料欠缺、较少计0-1分，未提供的不计分。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提供详细的售后服务方案（有效服务体系、服务范围、服务承诺以及故障解决方案、本地化服务机构、响应时间、应急处理方案、专业技术人员保障等）根 据自身服务能力给出。根据各投标人提供的资料，从全面性、可操作性等进行打分。（包括但不限于产品运输、检验、及产品出现质量问题时的补救措施等）； 快速响应且方案完全具有合理性、科学性的，得6.1-8分；快速响应且方案较为具有合理性、科学性的，得3.1-6分；快速响应且方案基本合理、科学的，得1-3分，未提供不计分。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供应商提供2022年2月1日至今同类项目业绩。（合同复印件加盖公章），每提供一份案例得1分，满分5分。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报价得分=(评审基准价／（1-投标优惠率）)×45。 计算分数时四舍五入取小数点后两位；</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详见附件：企业关联关系声明函</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详见附件：投标人资格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