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20C50">
      <w:pPr>
        <w:snapToGrid w:val="0"/>
        <w:spacing w:line="360" w:lineRule="auto"/>
        <w:jc w:val="center"/>
        <w:rPr>
          <w:rStyle w:val="7"/>
          <w:rFonts w:hint="default"/>
          <w:color w:val="000000" w:themeColor="text1"/>
          <w:sz w:val="44"/>
          <w:szCs w:val="44"/>
          <w:highlight w:val="none"/>
          <w14:textFill>
            <w14:solidFill>
              <w14:schemeClr w14:val="tx1"/>
            </w14:solidFill>
          </w14:textFill>
        </w:rPr>
      </w:pPr>
      <w:bookmarkStart w:id="0" w:name="_Toc28907"/>
      <w:bookmarkStart w:id="1" w:name="_Toc29289"/>
      <w:bookmarkStart w:id="2" w:name="_Toc10379"/>
    </w:p>
    <w:p w14:paraId="02AD0A40">
      <w:pPr>
        <w:snapToGrid w:val="0"/>
        <w:spacing w:line="360" w:lineRule="auto"/>
        <w:jc w:val="center"/>
        <w:rPr>
          <w:rStyle w:val="7"/>
          <w:rFonts w:hint="default"/>
          <w:color w:val="000000" w:themeColor="text1"/>
          <w:sz w:val="44"/>
          <w:szCs w:val="44"/>
          <w:highlight w:val="none"/>
          <w14:textFill>
            <w14:solidFill>
              <w14:schemeClr w14:val="tx1"/>
            </w14:solidFill>
          </w14:textFill>
        </w:rPr>
      </w:pPr>
      <w:bookmarkStart w:id="21" w:name="_GoBack"/>
      <w:bookmarkEnd w:id="21"/>
      <w:r>
        <w:rPr>
          <w:rStyle w:val="7"/>
          <w:rFonts w:hint="default"/>
          <w:color w:val="000000" w:themeColor="text1"/>
          <w:sz w:val="44"/>
          <w:szCs w:val="44"/>
          <w:highlight w:val="none"/>
          <w14:textFill>
            <w14:solidFill>
              <w14:schemeClr w14:val="tx1"/>
            </w14:solidFill>
          </w14:textFill>
        </w:rPr>
        <w:t>西安建筑科技大学</w:t>
      </w:r>
    </w:p>
    <w:bookmarkEnd w:id="0"/>
    <w:bookmarkEnd w:id="1"/>
    <w:bookmarkEnd w:id="2"/>
    <w:p w14:paraId="525CD78F">
      <w:pPr>
        <w:snapToGrid w:val="0"/>
        <w:spacing w:line="360" w:lineRule="auto"/>
        <w:jc w:val="center"/>
        <w:outlineLvl w:val="9"/>
        <w:rPr>
          <w:rStyle w:val="7"/>
          <w:rFonts w:hint="default"/>
          <w:color w:val="000000" w:themeColor="text1"/>
          <w:sz w:val="44"/>
          <w:szCs w:val="44"/>
          <w:highlight w:val="none"/>
          <w14:textFill>
            <w14:solidFill>
              <w14:schemeClr w14:val="tx1"/>
            </w14:solidFill>
          </w14:textFill>
        </w:rPr>
      </w:pPr>
      <w:bookmarkStart w:id="3" w:name="_Toc29748"/>
      <w:bookmarkStart w:id="4" w:name="_Toc23014"/>
      <w:r>
        <w:rPr>
          <w:rStyle w:val="7"/>
          <w:rFonts w:hint="eastAsia"/>
          <w:color w:val="000000" w:themeColor="text1"/>
          <w:sz w:val="44"/>
          <w:szCs w:val="44"/>
          <w:highlight w:val="none"/>
          <w:u w:val="single"/>
          <w:lang w:val="en-US" w:eastAsia="zh-CN"/>
          <w14:textFill>
            <w14:solidFill>
              <w14:schemeClr w14:val="tx1"/>
            </w14:solidFill>
          </w14:textFill>
        </w:rPr>
        <w:t xml:space="preserve">                       </w:t>
      </w:r>
      <w:r>
        <w:rPr>
          <w:rStyle w:val="7"/>
          <w:rFonts w:hint="default"/>
          <w:color w:val="000000" w:themeColor="text1"/>
          <w:sz w:val="44"/>
          <w:szCs w:val="44"/>
          <w:highlight w:val="none"/>
          <w14:textFill>
            <w14:solidFill>
              <w14:schemeClr w14:val="tx1"/>
            </w14:solidFill>
          </w14:textFill>
        </w:rPr>
        <w:t>采购项目</w:t>
      </w:r>
      <w:bookmarkEnd w:id="3"/>
      <w:bookmarkEnd w:id="4"/>
    </w:p>
    <w:p w14:paraId="1D113A0A">
      <w:pPr>
        <w:snapToGrid w:val="0"/>
        <w:spacing w:line="360" w:lineRule="auto"/>
        <w:jc w:val="center"/>
        <w:rPr>
          <w:rFonts w:hint="eastAsia" w:ascii="宋体" w:hAnsi="宋体"/>
          <w:b/>
          <w:bCs/>
          <w:color w:val="000000" w:themeColor="text1"/>
          <w:spacing w:val="26"/>
          <w:sz w:val="84"/>
          <w:szCs w:val="84"/>
          <w:highlight w:val="none"/>
          <w14:textFill>
            <w14:solidFill>
              <w14:schemeClr w14:val="tx1"/>
            </w14:solidFill>
          </w14:textFill>
        </w:rPr>
      </w:pPr>
    </w:p>
    <w:p w14:paraId="1ACFF41F">
      <w:pPr>
        <w:snapToGrid w:val="0"/>
        <w:spacing w:line="360" w:lineRule="auto"/>
        <w:jc w:val="center"/>
        <w:rPr>
          <w:rFonts w:hint="eastAsia" w:ascii="宋体" w:hAnsi="宋体"/>
          <w:b/>
          <w:bCs/>
          <w:color w:val="000000" w:themeColor="text1"/>
          <w:sz w:val="72"/>
          <w:szCs w:val="72"/>
          <w:highlight w:val="none"/>
          <w14:textFill>
            <w14:solidFill>
              <w14:schemeClr w14:val="tx1"/>
            </w14:solidFill>
          </w14:textFill>
        </w:rPr>
      </w:pPr>
      <w:r>
        <w:rPr>
          <w:rFonts w:hint="eastAsia" w:ascii="宋体" w:hAnsi="宋体"/>
          <w:b/>
          <w:bCs/>
          <w:color w:val="000000" w:themeColor="text1"/>
          <w:sz w:val="72"/>
          <w:szCs w:val="72"/>
          <w:highlight w:val="none"/>
          <w14:textFill>
            <w14:solidFill>
              <w14:schemeClr w14:val="tx1"/>
            </w14:solidFill>
          </w14:textFill>
        </w:rPr>
        <w:t>仪器设备购置合同</w:t>
      </w:r>
    </w:p>
    <w:p w14:paraId="50F1D9F5">
      <w:pPr>
        <w:snapToGrid w:val="0"/>
        <w:spacing w:line="360" w:lineRule="auto"/>
        <w:ind w:firstLine="2570" w:firstLineChars="800"/>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项目编号：</w:t>
      </w:r>
      <w:r>
        <w:rPr>
          <w:rFonts w:hint="eastAsia" w:ascii="宋体" w:hAnsi="宋体"/>
          <w:b/>
          <w:bCs/>
          <w:color w:val="000000" w:themeColor="text1"/>
          <w:sz w:val="32"/>
          <w:szCs w:val="32"/>
          <w:highlight w:val="none"/>
          <w:u w:val="single"/>
          <w14:textFill>
            <w14:solidFill>
              <w14:schemeClr w14:val="tx1"/>
            </w14:solidFill>
          </w14:textFill>
        </w:rPr>
        <w:t xml:space="preserve">         </w:t>
      </w:r>
      <w:r>
        <w:rPr>
          <w:rFonts w:hint="eastAsia" w:ascii="宋体" w:hAnsi="宋体"/>
          <w:b/>
          <w:bCs/>
          <w:color w:val="000000" w:themeColor="text1"/>
          <w:sz w:val="32"/>
          <w:szCs w:val="32"/>
          <w:highlight w:val="none"/>
          <w14:textFill>
            <w14:solidFill>
              <w14:schemeClr w14:val="tx1"/>
            </w14:solidFill>
          </w14:textFill>
        </w:rPr>
        <w:t xml:space="preserve"> </w:t>
      </w:r>
    </w:p>
    <w:p w14:paraId="33C99EFF">
      <w:pPr>
        <w:snapToGrid w:val="0"/>
        <w:spacing w:line="360" w:lineRule="auto"/>
        <w:jc w:val="center"/>
        <w:rPr>
          <w:rFonts w:hint="eastAsia" w:ascii="宋体" w:hAnsi="宋体"/>
          <w:b/>
          <w:bCs/>
          <w:color w:val="000000" w:themeColor="text1"/>
          <w:spacing w:val="26"/>
          <w:sz w:val="36"/>
          <w:szCs w:val="36"/>
          <w:highlight w:val="none"/>
          <w14:textFill>
            <w14:solidFill>
              <w14:schemeClr w14:val="tx1"/>
            </w14:solidFill>
          </w14:textFill>
        </w:rPr>
      </w:pPr>
    </w:p>
    <w:p w14:paraId="44118047">
      <w:pPr>
        <w:snapToGrid w:val="0"/>
        <w:spacing w:line="360" w:lineRule="auto"/>
        <w:rPr>
          <w:rFonts w:hint="eastAsia" w:ascii="宋体" w:hAnsi="宋体"/>
          <w:b/>
          <w:color w:val="000000" w:themeColor="text1"/>
          <w:sz w:val="32"/>
          <w:szCs w:val="32"/>
          <w:highlight w:val="none"/>
          <w14:textFill>
            <w14:solidFill>
              <w14:schemeClr w14:val="tx1"/>
            </w14:solidFill>
          </w14:textFill>
        </w:rPr>
      </w:pPr>
    </w:p>
    <w:p w14:paraId="70A2B6E1">
      <w:pPr>
        <w:snapToGrid w:val="0"/>
        <w:spacing w:line="360" w:lineRule="auto"/>
        <w:rPr>
          <w:rFonts w:hint="eastAsia" w:ascii="宋体" w:hAnsi="宋体"/>
          <w:b/>
          <w:color w:val="000000" w:themeColor="text1"/>
          <w:sz w:val="32"/>
          <w:szCs w:val="32"/>
          <w:highlight w:val="none"/>
          <w14:textFill>
            <w14:solidFill>
              <w14:schemeClr w14:val="tx1"/>
            </w14:solidFill>
          </w14:textFill>
        </w:rPr>
      </w:pPr>
    </w:p>
    <w:p w14:paraId="23310158">
      <w:pPr>
        <w:snapToGrid w:val="0"/>
        <w:spacing w:line="360" w:lineRule="auto"/>
        <w:rPr>
          <w:rFonts w:hint="eastAsia" w:ascii="宋体" w:hAnsi="宋体"/>
          <w:b/>
          <w:color w:val="000000" w:themeColor="text1"/>
          <w:sz w:val="32"/>
          <w:szCs w:val="32"/>
          <w:highlight w:val="none"/>
          <w14:textFill>
            <w14:solidFill>
              <w14:schemeClr w14:val="tx1"/>
            </w14:solidFill>
          </w14:textFill>
        </w:rPr>
      </w:pPr>
    </w:p>
    <w:p w14:paraId="7837D540">
      <w:pPr>
        <w:snapToGrid w:val="0"/>
        <w:spacing w:line="360" w:lineRule="auto"/>
        <w:rPr>
          <w:rFonts w:hint="eastAsia" w:ascii="宋体" w:hAnsi="宋体"/>
          <w:b/>
          <w:color w:val="000000" w:themeColor="text1"/>
          <w:sz w:val="32"/>
          <w:szCs w:val="32"/>
          <w:highlight w:val="none"/>
          <w14:textFill>
            <w14:solidFill>
              <w14:schemeClr w14:val="tx1"/>
            </w14:solidFill>
          </w14:textFill>
        </w:rPr>
      </w:pPr>
    </w:p>
    <w:p w14:paraId="3AF5353C">
      <w:pPr>
        <w:snapToGrid w:val="0"/>
        <w:spacing w:line="360" w:lineRule="auto"/>
        <w:ind w:firstLine="1205" w:firstLineChars="400"/>
        <w:rPr>
          <w:rFonts w:hint="eastAsia" w:ascii="宋体" w:hAnsi="宋体"/>
          <w:b/>
          <w:bCs/>
          <w:color w:val="000000" w:themeColor="text1"/>
          <w:sz w:val="30"/>
          <w:szCs w:val="30"/>
          <w:highlight w:val="none"/>
          <w14:textFill>
            <w14:solidFill>
              <w14:schemeClr w14:val="tx1"/>
            </w14:solidFill>
          </w14:textFill>
        </w:rPr>
      </w:pPr>
      <w:r>
        <w:rPr>
          <w:rFonts w:hint="eastAsia" w:ascii="宋体" w:hAnsi="宋体"/>
          <w:b/>
          <w:bCs/>
          <w:color w:val="000000" w:themeColor="text1"/>
          <w:sz w:val="30"/>
          <w:szCs w:val="30"/>
          <w:highlight w:val="none"/>
          <w14:textFill>
            <w14:solidFill>
              <w14:schemeClr w14:val="tx1"/>
            </w14:solidFill>
          </w14:textFill>
        </w:rPr>
        <w:t>甲方：</w:t>
      </w:r>
      <w:r>
        <w:rPr>
          <w:rFonts w:hint="eastAsia" w:ascii="宋体" w:hAnsi="宋体"/>
          <w:b/>
          <w:bCs/>
          <w:color w:val="000000" w:themeColor="text1"/>
          <w:sz w:val="30"/>
          <w:szCs w:val="30"/>
          <w:highlight w:val="none"/>
          <w:u w:val="single"/>
          <w14:textFill>
            <w14:solidFill>
              <w14:schemeClr w14:val="tx1"/>
            </w14:solidFill>
          </w14:textFill>
        </w:rPr>
        <w:t xml:space="preserve">      西安建筑科技大学       </w:t>
      </w:r>
    </w:p>
    <w:p w14:paraId="3826CBFF">
      <w:pPr>
        <w:snapToGrid w:val="0"/>
        <w:spacing w:line="360" w:lineRule="auto"/>
        <w:ind w:firstLine="1205" w:firstLineChars="400"/>
        <w:rPr>
          <w:rFonts w:hint="eastAsia" w:ascii="宋体" w:hAnsi="宋体"/>
          <w:b/>
          <w:bCs/>
          <w:color w:val="000000" w:themeColor="text1"/>
          <w:sz w:val="30"/>
          <w:szCs w:val="30"/>
          <w:highlight w:val="none"/>
          <w14:textFill>
            <w14:solidFill>
              <w14:schemeClr w14:val="tx1"/>
            </w14:solidFill>
          </w14:textFill>
        </w:rPr>
      </w:pPr>
      <w:r>
        <w:rPr>
          <w:rFonts w:hint="eastAsia" w:ascii="宋体" w:hAnsi="宋体"/>
          <w:b/>
          <w:bCs/>
          <w:color w:val="000000" w:themeColor="text1"/>
          <w:sz w:val="30"/>
          <w:szCs w:val="30"/>
          <w:highlight w:val="none"/>
          <w14:textFill>
            <w14:solidFill>
              <w14:schemeClr w14:val="tx1"/>
            </w14:solidFill>
          </w14:textFill>
        </w:rPr>
        <w:t>乙方：</w:t>
      </w:r>
      <w:r>
        <w:rPr>
          <w:rFonts w:hint="eastAsia" w:ascii="宋体" w:hAnsi="宋体"/>
          <w:b/>
          <w:bCs/>
          <w:color w:val="000000" w:themeColor="text1"/>
          <w:sz w:val="30"/>
          <w:szCs w:val="30"/>
          <w:highlight w:val="none"/>
          <w:u w:val="single"/>
          <w14:textFill>
            <w14:solidFill>
              <w14:schemeClr w14:val="tx1"/>
            </w14:solidFill>
          </w14:textFill>
        </w:rPr>
        <w:t xml:space="preserve">                             </w:t>
      </w:r>
    </w:p>
    <w:p w14:paraId="46153255">
      <w:pPr>
        <w:snapToGrid w:val="0"/>
        <w:spacing w:line="360" w:lineRule="auto"/>
        <w:jc w:val="center"/>
        <w:rPr>
          <w:rFonts w:hint="eastAsia" w:ascii="宋体" w:hAnsi="宋体"/>
          <w:b/>
          <w:bCs/>
          <w:color w:val="000000" w:themeColor="text1"/>
          <w:sz w:val="30"/>
          <w:szCs w:val="30"/>
          <w:highlight w:val="none"/>
          <w14:textFill>
            <w14:solidFill>
              <w14:schemeClr w14:val="tx1"/>
            </w14:solidFill>
          </w14:textFill>
        </w:rPr>
      </w:pPr>
      <w:r>
        <w:rPr>
          <w:rFonts w:hint="eastAsia" w:ascii="宋体" w:hAnsi="宋体"/>
          <w:b/>
          <w:bCs/>
          <w:color w:val="000000" w:themeColor="text1"/>
          <w:sz w:val="30"/>
          <w:szCs w:val="30"/>
          <w:highlight w:val="none"/>
          <w14:textFill>
            <w14:solidFill>
              <w14:schemeClr w14:val="tx1"/>
            </w14:solidFill>
          </w14:textFill>
        </w:rPr>
        <w:t xml:space="preserve">  </w:t>
      </w:r>
    </w:p>
    <w:p w14:paraId="2B2FDFBE">
      <w:pPr>
        <w:snapToGrid w:val="0"/>
        <w:spacing w:line="360" w:lineRule="auto"/>
        <w:jc w:val="center"/>
        <w:rPr>
          <w:rFonts w:hint="eastAsia" w:ascii="宋体" w:hAnsi="宋体"/>
          <w:b/>
          <w:bCs/>
          <w:color w:val="000000" w:themeColor="text1"/>
          <w:spacing w:val="26"/>
          <w:sz w:val="30"/>
          <w:szCs w:val="30"/>
          <w:highlight w:val="none"/>
          <w14:textFill>
            <w14:solidFill>
              <w14:schemeClr w14:val="tx1"/>
            </w14:solidFill>
          </w14:textFill>
        </w:rPr>
      </w:pPr>
      <w:r>
        <w:rPr>
          <w:rFonts w:hint="eastAsia" w:ascii="宋体" w:hAnsi="宋体"/>
          <w:b/>
          <w:bCs/>
          <w:color w:val="000000" w:themeColor="text1"/>
          <w:spacing w:val="26"/>
          <w:sz w:val="30"/>
          <w:szCs w:val="30"/>
          <w:highlight w:val="none"/>
          <w14:textFill>
            <w14:solidFill>
              <w14:schemeClr w14:val="tx1"/>
            </w14:solidFill>
          </w14:textFill>
        </w:rPr>
        <w:t xml:space="preserve"> 二〇二四年</w:t>
      </w:r>
      <w:r>
        <w:rPr>
          <w:rFonts w:hint="eastAsia" w:ascii="宋体" w:hAnsi="宋体"/>
          <w:b/>
          <w:bCs/>
          <w:color w:val="000000" w:themeColor="text1"/>
          <w:spacing w:val="26"/>
          <w:sz w:val="30"/>
          <w:szCs w:val="30"/>
          <w:highlight w:val="none"/>
          <w:u w:val="single"/>
          <w14:textFill>
            <w14:solidFill>
              <w14:schemeClr w14:val="tx1"/>
            </w14:solidFill>
          </w14:textFill>
        </w:rPr>
        <w:t xml:space="preserve">  </w:t>
      </w:r>
      <w:r>
        <w:rPr>
          <w:rFonts w:hint="eastAsia" w:ascii="宋体" w:hAnsi="宋体"/>
          <w:b/>
          <w:bCs/>
          <w:color w:val="000000" w:themeColor="text1"/>
          <w:spacing w:val="26"/>
          <w:sz w:val="30"/>
          <w:szCs w:val="30"/>
          <w:highlight w:val="none"/>
          <w14:textFill>
            <w14:solidFill>
              <w14:schemeClr w14:val="tx1"/>
            </w14:solidFill>
          </w14:textFill>
        </w:rPr>
        <w:t>月</w:t>
      </w:r>
      <w:r>
        <w:rPr>
          <w:rFonts w:hint="eastAsia" w:ascii="宋体" w:hAnsi="宋体"/>
          <w:b/>
          <w:bCs/>
          <w:color w:val="000000" w:themeColor="text1"/>
          <w:spacing w:val="26"/>
          <w:sz w:val="30"/>
          <w:szCs w:val="30"/>
          <w:highlight w:val="none"/>
          <w:u w:val="single"/>
          <w14:textFill>
            <w14:solidFill>
              <w14:schemeClr w14:val="tx1"/>
            </w14:solidFill>
          </w14:textFill>
        </w:rPr>
        <w:t xml:space="preserve">  </w:t>
      </w:r>
      <w:r>
        <w:rPr>
          <w:rFonts w:hint="eastAsia" w:ascii="宋体" w:hAnsi="宋体"/>
          <w:b/>
          <w:bCs/>
          <w:color w:val="000000" w:themeColor="text1"/>
          <w:spacing w:val="26"/>
          <w:sz w:val="30"/>
          <w:szCs w:val="30"/>
          <w:highlight w:val="none"/>
          <w14:textFill>
            <w14:solidFill>
              <w14:schemeClr w14:val="tx1"/>
            </w14:solidFill>
          </w14:textFill>
        </w:rPr>
        <w:t>日</w:t>
      </w:r>
    </w:p>
    <w:p w14:paraId="01834D56">
      <w:pPr>
        <w:snapToGrid w:val="0"/>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BCAB52F">
      <w:pPr>
        <w:adjustRightInd w:val="0"/>
        <w:snapToGrid w:val="0"/>
        <w:jc w:val="center"/>
        <w:rPr>
          <w:rFonts w:hint="eastAsia" w:eastAsia="黑体"/>
          <w:color w:val="000000" w:themeColor="text1"/>
          <w:sz w:val="36"/>
          <w:szCs w:val="36"/>
          <w14:textFill>
            <w14:solidFill>
              <w14:schemeClr w14:val="tx1"/>
            </w14:solidFill>
          </w14:textFill>
        </w:rPr>
      </w:pPr>
      <w:r>
        <w:rPr>
          <w:rFonts w:eastAsia="黑体"/>
          <w:color w:val="000000" w:themeColor="text1"/>
          <w:sz w:val="36"/>
          <w:szCs w:val="36"/>
          <w14:textFill>
            <w14:solidFill>
              <w14:schemeClr w14:val="tx1"/>
            </w14:solidFill>
          </w14:textFill>
        </w:rPr>
        <w:t>仪器设备购置合同</w:t>
      </w:r>
    </w:p>
    <w:p w14:paraId="1B9D552C">
      <w:pPr>
        <w:adjustRightInd w:val="0"/>
        <w:snapToGrid w:val="0"/>
        <w:jc w:val="center"/>
        <w:rPr>
          <w:rFonts w:eastAsia="黑体"/>
          <w:color w:val="000000" w:themeColor="text1"/>
          <w:sz w:val="36"/>
          <w:szCs w:val="36"/>
          <w14:textFill>
            <w14:solidFill>
              <w14:schemeClr w14:val="tx1"/>
            </w14:solidFill>
          </w14:textFill>
        </w:rPr>
      </w:pPr>
    </w:p>
    <w:p w14:paraId="3803934C">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西安建筑科技大学（甲方）与</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（乙方）就甲方购置的</w:t>
      </w:r>
      <w:r>
        <w:rPr>
          <w:bCs/>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设备</w:t>
      </w:r>
      <w:r>
        <w:rPr>
          <w:color w:val="000000" w:themeColor="text1"/>
          <w:szCs w:val="21"/>
          <w14:textFill>
            <w14:solidFill>
              <w14:schemeClr w14:val="tx1"/>
            </w14:solidFill>
          </w14:textFill>
        </w:rPr>
        <w:t>经双方协商达成如下合同条款：</w:t>
      </w:r>
    </w:p>
    <w:p w14:paraId="112AA2E1">
      <w:pPr>
        <w:spacing w:line="360" w:lineRule="auto"/>
        <w:ind w:left="555"/>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color w:val="000000" w:themeColor="text1"/>
          <w:szCs w:val="21"/>
          <w14:textFill>
            <w14:solidFill>
              <w14:schemeClr w14:val="tx1"/>
            </w14:solidFill>
          </w14:textFill>
        </w:rPr>
        <w:t>.</w:t>
      </w:r>
      <w:r>
        <w:rPr>
          <w:b/>
          <w:color w:val="000000" w:themeColor="text1"/>
          <w:szCs w:val="21"/>
          <w14:textFill>
            <w14:solidFill>
              <w14:schemeClr w14:val="tx1"/>
            </w14:solidFill>
          </w14:textFill>
        </w:rPr>
        <w:t xml:space="preserve"> 合同内容</w:t>
      </w:r>
    </w:p>
    <w:p w14:paraId="13266F1E">
      <w:pPr>
        <w:spacing w:line="360" w:lineRule="auto"/>
        <w:ind w:firstLine="56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在甲方组织的关于</w:t>
      </w:r>
      <w:r>
        <w:rPr>
          <w:color w:val="000000" w:themeColor="text1"/>
          <w:szCs w:val="2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采购</w:t>
      </w:r>
      <w:r>
        <w:rPr>
          <w:color w:val="000000" w:themeColor="text1"/>
          <w:szCs w:val="21"/>
          <w14:textFill>
            <w14:solidFill>
              <w14:schemeClr w14:val="tx1"/>
            </w14:solidFill>
          </w14:textFill>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4B2FF04">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1.1 仪器设备购置清单（币种：人民币）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4622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4AD81175">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序号</w:t>
            </w:r>
          </w:p>
        </w:tc>
        <w:tc>
          <w:tcPr>
            <w:tcW w:w="1805" w:type="dxa"/>
            <w:noWrap w:val="0"/>
            <w:tcMar>
              <w:top w:w="20" w:type="dxa"/>
              <w:left w:w="20" w:type="dxa"/>
              <w:bottom w:w="0" w:type="dxa"/>
              <w:right w:w="20" w:type="dxa"/>
            </w:tcMar>
            <w:vAlign w:val="center"/>
          </w:tcPr>
          <w:p w14:paraId="19ED6E59">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设备名称</w:t>
            </w:r>
          </w:p>
        </w:tc>
        <w:tc>
          <w:tcPr>
            <w:tcW w:w="1980" w:type="dxa"/>
            <w:noWrap w:val="0"/>
            <w:tcMar>
              <w:top w:w="20" w:type="dxa"/>
              <w:left w:w="20" w:type="dxa"/>
              <w:bottom w:w="0" w:type="dxa"/>
              <w:right w:w="20" w:type="dxa"/>
            </w:tcMar>
            <w:vAlign w:val="center"/>
          </w:tcPr>
          <w:p w14:paraId="000AF9D5">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品牌、规格、型号</w:t>
            </w:r>
          </w:p>
        </w:tc>
        <w:tc>
          <w:tcPr>
            <w:tcW w:w="886" w:type="dxa"/>
            <w:noWrap w:val="0"/>
            <w:tcMar>
              <w:top w:w="20" w:type="dxa"/>
              <w:left w:w="20" w:type="dxa"/>
              <w:bottom w:w="0" w:type="dxa"/>
              <w:right w:w="20" w:type="dxa"/>
            </w:tcMar>
            <w:vAlign w:val="center"/>
          </w:tcPr>
          <w:p w14:paraId="13122B48">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数量</w:t>
            </w:r>
          </w:p>
          <w:p w14:paraId="5DD434BD">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（台、套）</w:t>
            </w:r>
          </w:p>
        </w:tc>
        <w:tc>
          <w:tcPr>
            <w:tcW w:w="985" w:type="dxa"/>
            <w:noWrap w:val="0"/>
            <w:tcMar>
              <w:top w:w="20" w:type="dxa"/>
              <w:left w:w="20" w:type="dxa"/>
              <w:bottom w:w="0" w:type="dxa"/>
              <w:right w:w="20" w:type="dxa"/>
            </w:tcMar>
            <w:vAlign w:val="center"/>
          </w:tcPr>
          <w:p w14:paraId="5DA9BD9F">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单价</w:t>
            </w:r>
          </w:p>
          <w:p w14:paraId="00F5B1A2">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(万元)</w:t>
            </w:r>
          </w:p>
        </w:tc>
        <w:tc>
          <w:tcPr>
            <w:tcW w:w="984" w:type="dxa"/>
            <w:noWrap w:val="0"/>
            <w:tcMar>
              <w:top w:w="20" w:type="dxa"/>
              <w:left w:w="20" w:type="dxa"/>
              <w:bottom w:w="0" w:type="dxa"/>
              <w:right w:w="20" w:type="dxa"/>
            </w:tcMar>
            <w:vAlign w:val="center"/>
          </w:tcPr>
          <w:p w14:paraId="3857450D">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合计</w:t>
            </w:r>
          </w:p>
          <w:p w14:paraId="01E6C6EF">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（万元）</w:t>
            </w:r>
          </w:p>
        </w:tc>
        <w:tc>
          <w:tcPr>
            <w:tcW w:w="978" w:type="dxa"/>
            <w:noWrap w:val="0"/>
            <w:vAlign w:val="center"/>
          </w:tcPr>
          <w:p w14:paraId="29B503CA">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生产商</w:t>
            </w:r>
          </w:p>
        </w:tc>
        <w:tc>
          <w:tcPr>
            <w:tcW w:w="580" w:type="dxa"/>
            <w:noWrap w:val="0"/>
            <w:tcMar>
              <w:top w:w="20" w:type="dxa"/>
              <w:left w:w="20" w:type="dxa"/>
              <w:bottom w:w="0" w:type="dxa"/>
              <w:right w:w="20" w:type="dxa"/>
            </w:tcMar>
            <w:vAlign w:val="center"/>
          </w:tcPr>
          <w:p w14:paraId="58425F87">
            <w:pPr>
              <w:spacing w:line="360" w:lineRule="auto"/>
              <w:jc w:val="cente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7572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5F34CA79">
            <w:pPr>
              <w:spacing w:line="360" w:lineRule="auto"/>
              <w:jc w:val="center"/>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805" w:type="dxa"/>
            <w:noWrap w:val="0"/>
            <w:tcMar>
              <w:top w:w="20" w:type="dxa"/>
              <w:left w:w="20" w:type="dxa"/>
              <w:bottom w:w="0" w:type="dxa"/>
              <w:right w:w="20" w:type="dxa"/>
            </w:tcMar>
            <w:vAlign w:val="center"/>
          </w:tcPr>
          <w:p w14:paraId="567C030A">
            <w:pPr>
              <w:spacing w:line="360" w:lineRule="auto"/>
              <w:jc w:val="center"/>
              <w:outlineLvl w:val="9"/>
              <w:rPr>
                <w:color w:val="000000" w:themeColor="text1"/>
                <w:szCs w:val="21"/>
                <w14:textFill>
                  <w14:solidFill>
                    <w14:schemeClr w14:val="tx1"/>
                  </w14:solidFill>
                </w14:textFill>
              </w:rPr>
            </w:pPr>
          </w:p>
        </w:tc>
        <w:tc>
          <w:tcPr>
            <w:tcW w:w="1980" w:type="dxa"/>
            <w:noWrap w:val="0"/>
            <w:tcMar>
              <w:top w:w="20" w:type="dxa"/>
              <w:left w:w="20" w:type="dxa"/>
              <w:bottom w:w="0" w:type="dxa"/>
              <w:right w:w="20" w:type="dxa"/>
            </w:tcMar>
            <w:vAlign w:val="center"/>
          </w:tcPr>
          <w:p w14:paraId="7A616F06">
            <w:pPr>
              <w:spacing w:line="360" w:lineRule="auto"/>
              <w:jc w:val="center"/>
              <w:outlineLvl w:val="9"/>
              <w:rPr>
                <w:color w:val="000000" w:themeColor="text1"/>
                <w:szCs w:val="21"/>
                <w14:textFill>
                  <w14:solidFill>
                    <w14:schemeClr w14:val="tx1"/>
                  </w14:solidFill>
                </w14:textFill>
              </w:rPr>
            </w:pPr>
          </w:p>
        </w:tc>
        <w:tc>
          <w:tcPr>
            <w:tcW w:w="886" w:type="dxa"/>
            <w:noWrap w:val="0"/>
            <w:tcMar>
              <w:top w:w="20" w:type="dxa"/>
              <w:left w:w="20" w:type="dxa"/>
              <w:bottom w:w="0" w:type="dxa"/>
              <w:right w:w="20" w:type="dxa"/>
            </w:tcMar>
            <w:vAlign w:val="center"/>
          </w:tcPr>
          <w:p w14:paraId="581240B7">
            <w:pPr>
              <w:spacing w:line="360" w:lineRule="auto"/>
              <w:jc w:val="center"/>
              <w:outlineLvl w:val="9"/>
              <w:rPr>
                <w:color w:val="000000" w:themeColor="text1"/>
                <w:szCs w:val="21"/>
                <w14:textFill>
                  <w14:solidFill>
                    <w14:schemeClr w14:val="tx1"/>
                  </w14:solidFill>
                </w14:textFill>
              </w:rPr>
            </w:pPr>
          </w:p>
        </w:tc>
        <w:tc>
          <w:tcPr>
            <w:tcW w:w="985" w:type="dxa"/>
            <w:noWrap w:val="0"/>
            <w:tcMar>
              <w:top w:w="20" w:type="dxa"/>
              <w:left w:w="20" w:type="dxa"/>
              <w:bottom w:w="0" w:type="dxa"/>
              <w:right w:w="20" w:type="dxa"/>
            </w:tcMar>
            <w:vAlign w:val="center"/>
          </w:tcPr>
          <w:p w14:paraId="3FDFFDEF">
            <w:pPr>
              <w:spacing w:line="360" w:lineRule="auto"/>
              <w:jc w:val="center"/>
              <w:outlineLvl w:val="9"/>
              <w:rPr>
                <w:color w:val="000000" w:themeColor="text1"/>
                <w:szCs w:val="21"/>
                <w14:textFill>
                  <w14:solidFill>
                    <w14:schemeClr w14:val="tx1"/>
                  </w14:solidFill>
                </w14:textFill>
              </w:rPr>
            </w:pPr>
          </w:p>
        </w:tc>
        <w:tc>
          <w:tcPr>
            <w:tcW w:w="984" w:type="dxa"/>
            <w:noWrap w:val="0"/>
            <w:tcMar>
              <w:top w:w="20" w:type="dxa"/>
              <w:left w:w="20" w:type="dxa"/>
              <w:bottom w:w="0" w:type="dxa"/>
              <w:right w:w="20" w:type="dxa"/>
            </w:tcMar>
            <w:vAlign w:val="center"/>
          </w:tcPr>
          <w:p w14:paraId="085A92F6">
            <w:pPr>
              <w:spacing w:line="360" w:lineRule="auto"/>
              <w:jc w:val="center"/>
              <w:outlineLvl w:val="9"/>
              <w:rPr>
                <w:color w:val="000000" w:themeColor="text1"/>
                <w:szCs w:val="21"/>
                <w14:textFill>
                  <w14:solidFill>
                    <w14:schemeClr w14:val="tx1"/>
                  </w14:solidFill>
                </w14:textFill>
              </w:rPr>
            </w:pPr>
          </w:p>
        </w:tc>
        <w:tc>
          <w:tcPr>
            <w:tcW w:w="978" w:type="dxa"/>
            <w:noWrap w:val="0"/>
            <w:vAlign w:val="center"/>
          </w:tcPr>
          <w:p w14:paraId="00ADD1E3">
            <w:pPr>
              <w:spacing w:line="360" w:lineRule="auto"/>
              <w:jc w:val="center"/>
              <w:outlineLvl w:val="9"/>
              <w:rPr>
                <w:color w:val="000000" w:themeColor="text1"/>
                <w:szCs w:val="21"/>
                <w14:textFill>
                  <w14:solidFill>
                    <w14:schemeClr w14:val="tx1"/>
                  </w14:solidFill>
                </w14:textFill>
              </w:rPr>
            </w:pPr>
          </w:p>
        </w:tc>
        <w:tc>
          <w:tcPr>
            <w:tcW w:w="580" w:type="dxa"/>
            <w:noWrap w:val="0"/>
            <w:tcMar>
              <w:top w:w="20" w:type="dxa"/>
              <w:left w:w="20" w:type="dxa"/>
              <w:bottom w:w="0" w:type="dxa"/>
              <w:right w:w="20" w:type="dxa"/>
            </w:tcMar>
            <w:vAlign w:val="center"/>
          </w:tcPr>
          <w:p w14:paraId="5E2AF674">
            <w:pPr>
              <w:spacing w:line="360" w:lineRule="auto"/>
              <w:jc w:val="center"/>
              <w:outlineLvl w:val="9"/>
              <w:rPr>
                <w:color w:val="000000" w:themeColor="text1"/>
                <w:szCs w:val="21"/>
                <w14:textFill>
                  <w14:solidFill>
                    <w14:schemeClr w14:val="tx1"/>
                  </w14:solidFill>
                </w14:textFill>
              </w:rPr>
            </w:pPr>
          </w:p>
        </w:tc>
      </w:tr>
      <w:tr w14:paraId="43BFF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0EA68564">
            <w:pPr>
              <w:spacing w:line="360" w:lineRule="auto"/>
              <w:jc w:val="center"/>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805" w:type="dxa"/>
            <w:noWrap w:val="0"/>
            <w:tcMar>
              <w:top w:w="20" w:type="dxa"/>
              <w:left w:w="20" w:type="dxa"/>
              <w:bottom w:w="0" w:type="dxa"/>
              <w:right w:w="20" w:type="dxa"/>
            </w:tcMar>
            <w:vAlign w:val="center"/>
          </w:tcPr>
          <w:p w14:paraId="36A38FCE">
            <w:pPr>
              <w:spacing w:line="360" w:lineRule="auto"/>
              <w:jc w:val="center"/>
              <w:outlineLvl w:val="9"/>
              <w:rPr>
                <w:color w:val="000000" w:themeColor="text1"/>
                <w:szCs w:val="21"/>
                <w14:textFill>
                  <w14:solidFill>
                    <w14:schemeClr w14:val="tx1"/>
                  </w14:solidFill>
                </w14:textFill>
              </w:rPr>
            </w:pPr>
          </w:p>
        </w:tc>
        <w:tc>
          <w:tcPr>
            <w:tcW w:w="1980" w:type="dxa"/>
            <w:noWrap w:val="0"/>
            <w:tcMar>
              <w:top w:w="20" w:type="dxa"/>
              <w:left w:w="20" w:type="dxa"/>
              <w:bottom w:w="0" w:type="dxa"/>
              <w:right w:w="20" w:type="dxa"/>
            </w:tcMar>
            <w:vAlign w:val="center"/>
          </w:tcPr>
          <w:p w14:paraId="485B4959">
            <w:pPr>
              <w:spacing w:line="360" w:lineRule="auto"/>
              <w:jc w:val="center"/>
              <w:outlineLvl w:val="9"/>
              <w:rPr>
                <w:color w:val="000000" w:themeColor="text1"/>
                <w:szCs w:val="21"/>
                <w14:textFill>
                  <w14:solidFill>
                    <w14:schemeClr w14:val="tx1"/>
                  </w14:solidFill>
                </w14:textFill>
              </w:rPr>
            </w:pPr>
          </w:p>
        </w:tc>
        <w:tc>
          <w:tcPr>
            <w:tcW w:w="886" w:type="dxa"/>
            <w:noWrap w:val="0"/>
            <w:tcMar>
              <w:top w:w="20" w:type="dxa"/>
              <w:left w:w="20" w:type="dxa"/>
              <w:bottom w:w="0" w:type="dxa"/>
              <w:right w:w="20" w:type="dxa"/>
            </w:tcMar>
            <w:vAlign w:val="center"/>
          </w:tcPr>
          <w:p w14:paraId="4FC42C08">
            <w:pPr>
              <w:spacing w:line="360" w:lineRule="auto"/>
              <w:jc w:val="center"/>
              <w:outlineLvl w:val="9"/>
              <w:rPr>
                <w:color w:val="000000" w:themeColor="text1"/>
                <w:szCs w:val="21"/>
                <w14:textFill>
                  <w14:solidFill>
                    <w14:schemeClr w14:val="tx1"/>
                  </w14:solidFill>
                </w14:textFill>
              </w:rPr>
            </w:pPr>
          </w:p>
        </w:tc>
        <w:tc>
          <w:tcPr>
            <w:tcW w:w="985" w:type="dxa"/>
            <w:noWrap w:val="0"/>
            <w:tcMar>
              <w:top w:w="20" w:type="dxa"/>
              <w:left w:w="20" w:type="dxa"/>
              <w:bottom w:w="0" w:type="dxa"/>
              <w:right w:w="20" w:type="dxa"/>
            </w:tcMar>
            <w:vAlign w:val="center"/>
          </w:tcPr>
          <w:p w14:paraId="52938C26">
            <w:pPr>
              <w:spacing w:line="360" w:lineRule="auto"/>
              <w:jc w:val="center"/>
              <w:outlineLvl w:val="9"/>
              <w:rPr>
                <w:color w:val="000000" w:themeColor="text1"/>
                <w:szCs w:val="21"/>
                <w14:textFill>
                  <w14:solidFill>
                    <w14:schemeClr w14:val="tx1"/>
                  </w14:solidFill>
                </w14:textFill>
              </w:rPr>
            </w:pPr>
          </w:p>
        </w:tc>
        <w:tc>
          <w:tcPr>
            <w:tcW w:w="984" w:type="dxa"/>
            <w:noWrap w:val="0"/>
            <w:tcMar>
              <w:top w:w="20" w:type="dxa"/>
              <w:left w:w="20" w:type="dxa"/>
              <w:bottom w:w="0" w:type="dxa"/>
              <w:right w:w="20" w:type="dxa"/>
            </w:tcMar>
            <w:vAlign w:val="center"/>
          </w:tcPr>
          <w:p w14:paraId="78E4E359">
            <w:pPr>
              <w:spacing w:line="360" w:lineRule="auto"/>
              <w:jc w:val="center"/>
              <w:outlineLvl w:val="9"/>
              <w:rPr>
                <w:color w:val="000000" w:themeColor="text1"/>
                <w:szCs w:val="21"/>
                <w14:textFill>
                  <w14:solidFill>
                    <w14:schemeClr w14:val="tx1"/>
                  </w14:solidFill>
                </w14:textFill>
              </w:rPr>
            </w:pPr>
          </w:p>
        </w:tc>
        <w:tc>
          <w:tcPr>
            <w:tcW w:w="978" w:type="dxa"/>
            <w:noWrap w:val="0"/>
            <w:vAlign w:val="center"/>
          </w:tcPr>
          <w:p w14:paraId="68817075">
            <w:pPr>
              <w:spacing w:line="360" w:lineRule="auto"/>
              <w:jc w:val="center"/>
              <w:outlineLvl w:val="9"/>
              <w:rPr>
                <w:color w:val="000000" w:themeColor="text1"/>
                <w:kern w:val="0"/>
                <w:szCs w:val="21"/>
                <w14:textFill>
                  <w14:solidFill>
                    <w14:schemeClr w14:val="tx1"/>
                  </w14:solidFill>
                </w14:textFill>
              </w:rPr>
            </w:pPr>
          </w:p>
        </w:tc>
        <w:tc>
          <w:tcPr>
            <w:tcW w:w="580" w:type="dxa"/>
            <w:noWrap w:val="0"/>
            <w:tcMar>
              <w:top w:w="20" w:type="dxa"/>
              <w:left w:w="20" w:type="dxa"/>
              <w:bottom w:w="0" w:type="dxa"/>
              <w:right w:w="20" w:type="dxa"/>
            </w:tcMar>
            <w:vAlign w:val="center"/>
          </w:tcPr>
          <w:p w14:paraId="16661EF2">
            <w:pPr>
              <w:spacing w:line="360" w:lineRule="auto"/>
              <w:jc w:val="center"/>
              <w:outlineLvl w:val="9"/>
              <w:rPr>
                <w:color w:val="000000" w:themeColor="text1"/>
                <w:szCs w:val="21"/>
                <w14:textFill>
                  <w14:solidFill>
                    <w14:schemeClr w14:val="tx1"/>
                  </w14:solidFill>
                </w14:textFill>
              </w:rPr>
            </w:pPr>
          </w:p>
        </w:tc>
      </w:tr>
      <w:tr w14:paraId="04184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3EBA46AB">
            <w:pPr>
              <w:spacing w:line="360" w:lineRule="auto"/>
              <w:jc w:val="center"/>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805" w:type="dxa"/>
            <w:noWrap w:val="0"/>
            <w:tcMar>
              <w:top w:w="20" w:type="dxa"/>
              <w:left w:w="20" w:type="dxa"/>
              <w:bottom w:w="0" w:type="dxa"/>
              <w:right w:w="20" w:type="dxa"/>
            </w:tcMar>
            <w:vAlign w:val="center"/>
          </w:tcPr>
          <w:p w14:paraId="17C9EA78">
            <w:pPr>
              <w:spacing w:line="360" w:lineRule="auto"/>
              <w:jc w:val="center"/>
              <w:outlineLvl w:val="9"/>
              <w:rPr>
                <w:color w:val="000000" w:themeColor="text1"/>
                <w:szCs w:val="21"/>
                <w14:textFill>
                  <w14:solidFill>
                    <w14:schemeClr w14:val="tx1"/>
                  </w14:solidFill>
                </w14:textFill>
              </w:rPr>
            </w:pPr>
          </w:p>
        </w:tc>
        <w:tc>
          <w:tcPr>
            <w:tcW w:w="1980" w:type="dxa"/>
            <w:noWrap w:val="0"/>
            <w:tcMar>
              <w:top w:w="20" w:type="dxa"/>
              <w:left w:w="20" w:type="dxa"/>
              <w:bottom w:w="0" w:type="dxa"/>
              <w:right w:w="20" w:type="dxa"/>
            </w:tcMar>
            <w:vAlign w:val="center"/>
          </w:tcPr>
          <w:p w14:paraId="5280E9CD">
            <w:pPr>
              <w:spacing w:line="360" w:lineRule="auto"/>
              <w:jc w:val="center"/>
              <w:outlineLvl w:val="9"/>
              <w:rPr>
                <w:color w:val="000000" w:themeColor="text1"/>
                <w:szCs w:val="21"/>
                <w14:textFill>
                  <w14:solidFill>
                    <w14:schemeClr w14:val="tx1"/>
                  </w14:solidFill>
                </w14:textFill>
              </w:rPr>
            </w:pPr>
          </w:p>
        </w:tc>
        <w:tc>
          <w:tcPr>
            <w:tcW w:w="886" w:type="dxa"/>
            <w:noWrap w:val="0"/>
            <w:tcMar>
              <w:top w:w="20" w:type="dxa"/>
              <w:left w:w="20" w:type="dxa"/>
              <w:bottom w:w="0" w:type="dxa"/>
              <w:right w:w="20" w:type="dxa"/>
            </w:tcMar>
            <w:vAlign w:val="center"/>
          </w:tcPr>
          <w:p w14:paraId="073ED855">
            <w:pPr>
              <w:spacing w:line="360" w:lineRule="auto"/>
              <w:jc w:val="center"/>
              <w:outlineLvl w:val="9"/>
              <w:rPr>
                <w:color w:val="000000" w:themeColor="text1"/>
                <w:szCs w:val="21"/>
                <w14:textFill>
                  <w14:solidFill>
                    <w14:schemeClr w14:val="tx1"/>
                  </w14:solidFill>
                </w14:textFill>
              </w:rPr>
            </w:pPr>
          </w:p>
        </w:tc>
        <w:tc>
          <w:tcPr>
            <w:tcW w:w="985" w:type="dxa"/>
            <w:noWrap w:val="0"/>
            <w:tcMar>
              <w:top w:w="20" w:type="dxa"/>
              <w:left w:w="20" w:type="dxa"/>
              <w:bottom w:w="0" w:type="dxa"/>
              <w:right w:w="20" w:type="dxa"/>
            </w:tcMar>
            <w:vAlign w:val="center"/>
          </w:tcPr>
          <w:p w14:paraId="349023FC">
            <w:pPr>
              <w:spacing w:line="360" w:lineRule="auto"/>
              <w:jc w:val="center"/>
              <w:outlineLvl w:val="9"/>
              <w:rPr>
                <w:color w:val="000000" w:themeColor="text1"/>
                <w:szCs w:val="21"/>
                <w14:textFill>
                  <w14:solidFill>
                    <w14:schemeClr w14:val="tx1"/>
                  </w14:solidFill>
                </w14:textFill>
              </w:rPr>
            </w:pPr>
          </w:p>
        </w:tc>
        <w:tc>
          <w:tcPr>
            <w:tcW w:w="984" w:type="dxa"/>
            <w:noWrap w:val="0"/>
            <w:tcMar>
              <w:top w:w="20" w:type="dxa"/>
              <w:left w:w="20" w:type="dxa"/>
              <w:bottom w:w="0" w:type="dxa"/>
              <w:right w:w="20" w:type="dxa"/>
            </w:tcMar>
            <w:vAlign w:val="center"/>
          </w:tcPr>
          <w:p w14:paraId="55DAF2EC">
            <w:pPr>
              <w:spacing w:line="360" w:lineRule="auto"/>
              <w:jc w:val="center"/>
              <w:outlineLvl w:val="9"/>
              <w:rPr>
                <w:color w:val="000000" w:themeColor="text1"/>
                <w:szCs w:val="21"/>
                <w14:textFill>
                  <w14:solidFill>
                    <w14:schemeClr w14:val="tx1"/>
                  </w14:solidFill>
                </w14:textFill>
              </w:rPr>
            </w:pPr>
          </w:p>
        </w:tc>
        <w:tc>
          <w:tcPr>
            <w:tcW w:w="978" w:type="dxa"/>
            <w:noWrap w:val="0"/>
            <w:vAlign w:val="center"/>
          </w:tcPr>
          <w:p w14:paraId="52ECBA9C">
            <w:pPr>
              <w:spacing w:line="360" w:lineRule="auto"/>
              <w:jc w:val="center"/>
              <w:outlineLvl w:val="9"/>
              <w:rPr>
                <w:color w:val="000000" w:themeColor="text1"/>
                <w:szCs w:val="21"/>
                <w14:textFill>
                  <w14:solidFill>
                    <w14:schemeClr w14:val="tx1"/>
                  </w14:solidFill>
                </w14:textFill>
              </w:rPr>
            </w:pPr>
          </w:p>
        </w:tc>
        <w:tc>
          <w:tcPr>
            <w:tcW w:w="580" w:type="dxa"/>
            <w:noWrap w:val="0"/>
            <w:tcMar>
              <w:top w:w="20" w:type="dxa"/>
              <w:left w:w="20" w:type="dxa"/>
              <w:bottom w:w="0" w:type="dxa"/>
              <w:right w:w="20" w:type="dxa"/>
            </w:tcMar>
            <w:vAlign w:val="center"/>
          </w:tcPr>
          <w:p w14:paraId="74D34E70">
            <w:pPr>
              <w:spacing w:line="360" w:lineRule="auto"/>
              <w:jc w:val="center"/>
              <w:outlineLvl w:val="9"/>
              <w:rPr>
                <w:color w:val="000000" w:themeColor="text1"/>
                <w:szCs w:val="21"/>
                <w14:textFill>
                  <w14:solidFill>
                    <w14:schemeClr w14:val="tx1"/>
                  </w14:solidFill>
                </w14:textFill>
              </w:rPr>
            </w:pPr>
          </w:p>
        </w:tc>
      </w:tr>
      <w:tr w14:paraId="1E3D6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0DD30C46">
            <w:pPr>
              <w:spacing w:line="360" w:lineRule="auto"/>
              <w:jc w:val="center"/>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合计(元)</w:t>
            </w:r>
          </w:p>
        </w:tc>
        <w:tc>
          <w:tcPr>
            <w:tcW w:w="4413" w:type="dxa"/>
            <w:gridSpan w:val="5"/>
            <w:noWrap w:val="0"/>
            <w:tcMar>
              <w:top w:w="20" w:type="dxa"/>
              <w:left w:w="20" w:type="dxa"/>
              <w:bottom w:w="0" w:type="dxa"/>
              <w:right w:w="20" w:type="dxa"/>
            </w:tcMar>
            <w:vAlign w:val="center"/>
          </w:tcPr>
          <w:p w14:paraId="68415090">
            <w:pPr>
              <w:spacing w:line="360" w:lineRule="auto"/>
              <w:jc w:val="left"/>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大写： </w:t>
            </w:r>
          </w:p>
        </w:tc>
      </w:tr>
      <w:tr w14:paraId="77BE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0690F7DC">
            <w:pPr>
              <w:spacing w:line="360" w:lineRule="auto"/>
              <w:jc w:val="center"/>
              <w:outlineLvl w:val="9"/>
              <w:rPr>
                <w:color w:val="000000" w:themeColor="text1"/>
                <w:szCs w:val="21"/>
                <w14:textFill>
                  <w14:solidFill>
                    <w14:schemeClr w14:val="tx1"/>
                  </w14:solidFill>
                </w14:textFill>
              </w:rPr>
            </w:pPr>
          </w:p>
        </w:tc>
        <w:tc>
          <w:tcPr>
            <w:tcW w:w="4413" w:type="dxa"/>
            <w:gridSpan w:val="5"/>
            <w:noWrap w:val="0"/>
            <w:tcMar>
              <w:top w:w="20" w:type="dxa"/>
              <w:left w:w="20" w:type="dxa"/>
              <w:bottom w:w="0" w:type="dxa"/>
              <w:right w:w="20" w:type="dxa"/>
            </w:tcMar>
            <w:vAlign w:val="center"/>
          </w:tcPr>
          <w:p w14:paraId="4FF19BDF">
            <w:pPr>
              <w:spacing w:line="360" w:lineRule="auto"/>
              <w:jc w:val="left"/>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小写：   元</w:t>
            </w:r>
          </w:p>
        </w:tc>
      </w:tr>
    </w:tbl>
    <w:p w14:paraId="72D423E7">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1.2 合同总额是指设备到达西安建筑科技大学指定地点、完成验收后的价格，其中已包含货物费（含备品备件费）、包装费、运杂费（含搬运、装卸、保险费等）、工程费、材料费、全部税费、安装调试费等相关费用。</w:t>
      </w:r>
    </w:p>
    <w:p w14:paraId="6C6DC869">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1.3 合同总额为一次性包死价格，不受市场价格的变化和影响，在合同不发生变更时作为付款结算的依据。</w:t>
      </w:r>
    </w:p>
    <w:p w14:paraId="4049320B">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1.4 设备的技术参数要求</w:t>
      </w:r>
    </w:p>
    <w:p w14:paraId="1827B475">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D3A1C2A">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1.4.2乙方应向甲方提供有关标准的中文文本。</w:t>
      </w:r>
    </w:p>
    <w:p w14:paraId="35EEA317">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1.4.3除非技术规范中另有规定，计量单位均采用中华人民共和国法定计量单位。</w:t>
      </w:r>
    </w:p>
    <w:p w14:paraId="1DE8DC55">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2. 包装运输要求 </w:t>
      </w:r>
    </w:p>
    <w:p w14:paraId="6C07E5EF">
      <w:pPr>
        <w:spacing w:line="360" w:lineRule="auto"/>
        <w:ind w:left="105"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ED66902">
      <w:pPr>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3.交货时间及交货地点</w:t>
      </w:r>
    </w:p>
    <w:p w14:paraId="3015731B">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3.1本项目为交钥匙工程，乙方要提供整套合格产品，切实做好安全防护相关工作。产品交货、安装地点均为甲方指定地点。</w:t>
      </w:r>
    </w:p>
    <w:p w14:paraId="240A5096">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3.2 合同签订后</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个工作日内，乙方负责将产品运输到指定地点，</w:t>
      </w:r>
      <w:r>
        <w:rPr>
          <w:rFonts w:hint="eastAsia"/>
          <w:color w:val="000000" w:themeColor="text1"/>
          <w:szCs w:val="21"/>
          <w14:textFill>
            <w14:solidFill>
              <w14:schemeClr w14:val="tx1"/>
            </w14:solidFill>
          </w14:textFill>
        </w:rPr>
        <w:t>并</w:t>
      </w:r>
      <w:r>
        <w:rPr>
          <w:color w:val="000000" w:themeColor="text1"/>
          <w:szCs w:val="21"/>
          <w14:textFill>
            <w14:solidFill>
              <w14:schemeClr w14:val="tx1"/>
            </w14:solidFill>
          </w14:textFill>
        </w:rPr>
        <w:t>按照验收标准和验收程序完成设备的安装</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调试和验收工作。乙方保证运输过程产品包装完好、安装调试及验收时设备外观无划痕，设备质量完好。</w:t>
      </w:r>
    </w:p>
    <w:p w14:paraId="649A3DB8">
      <w:pPr>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4.产品质量保证</w:t>
      </w:r>
    </w:p>
    <w:p w14:paraId="2582DBDB">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3936F937">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4.2 乙方提供的设备及配套产品必须等同于或优于合同技术指标要求，并能按国家标准供应、检测、调试，确保产品技术指标满足使用要求。</w:t>
      </w:r>
    </w:p>
    <w:p w14:paraId="2C5AE210">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153449E">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4F8490F">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3C7767C">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4.6产品质量保证期为甲方最终设备验收合格后</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年</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设备正常使用寿命为</w:t>
      </w:r>
      <w:r>
        <w:rPr>
          <w:color w:val="000000" w:themeColor="text1"/>
          <w:szCs w:val="21"/>
          <w:u w:val="single"/>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0956DF0">
      <w:pPr>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5.技术服务承诺</w:t>
      </w:r>
    </w:p>
    <w:p w14:paraId="1502F2A1">
      <w:pPr>
        <w:spacing w:line="360" w:lineRule="auto"/>
        <w:ind w:left="105" w:firstLine="315" w:firstLineChars="15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5.1乙方应严格按照供货时间，及时给甲方供货。</w:t>
      </w:r>
    </w:p>
    <w:p w14:paraId="3B490BCE">
      <w:pPr>
        <w:spacing w:line="360" w:lineRule="auto"/>
        <w:ind w:left="105" w:firstLine="315" w:firstLineChars="15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5.2乙方负责提供仪器设备相应的技术资料，包括产品合格证、产品保修单、安装使用及维护说明书以及运输装箱清单等,并对所有技术材料的真实性、准确性、先进性、完整性负责。</w:t>
      </w:r>
    </w:p>
    <w:p w14:paraId="2080D17F">
      <w:pPr>
        <w:spacing w:line="360" w:lineRule="auto"/>
        <w:ind w:left="105" w:firstLine="315" w:firstLineChars="150"/>
        <w:outlineLvl w:val="9"/>
        <w:rPr>
          <w:b/>
          <w:color w:val="000000" w:themeColor="text1"/>
          <w:szCs w:val="21"/>
          <w14:textFill>
            <w14:solidFill>
              <w14:schemeClr w14:val="tx1"/>
            </w14:solidFill>
          </w14:textFill>
        </w:rPr>
      </w:pPr>
      <w:r>
        <w:rPr>
          <w:color w:val="000000" w:themeColor="text1"/>
          <w:szCs w:val="21"/>
          <w14:textFill>
            <w14:solidFill>
              <w14:schemeClr w14:val="tx1"/>
            </w14:solidFill>
          </w14:textFill>
        </w:rPr>
        <w:t>5.3人员培训：乙方终身免费为甲方培训设备使用人员，培训内容包括：设备操作、维护、简单维修等。</w:t>
      </w:r>
    </w:p>
    <w:p w14:paraId="64AEA690">
      <w:pPr>
        <w:spacing w:line="360" w:lineRule="auto"/>
        <w:ind w:firstLine="420" w:firstLineChars="200"/>
        <w:outlineLvl w:val="9"/>
        <w:rPr>
          <w:b/>
          <w:color w:val="000000" w:themeColor="text1"/>
          <w:szCs w:val="21"/>
          <w14:textFill>
            <w14:solidFill>
              <w14:schemeClr w14:val="tx1"/>
            </w14:solidFill>
          </w14:textFill>
        </w:rPr>
      </w:pPr>
      <w:r>
        <w:rPr>
          <w:bCs/>
          <w:color w:val="000000" w:themeColor="text1"/>
          <w:szCs w:val="21"/>
          <w14:textFill>
            <w14:solidFill>
              <w14:schemeClr w14:val="tx1"/>
            </w14:solidFill>
          </w14:textFill>
        </w:rPr>
        <w:t>5.4</w:t>
      </w:r>
      <w:r>
        <w:rPr>
          <w:color w:val="000000" w:themeColor="text1"/>
          <w:szCs w:val="21"/>
          <w14:textFill>
            <w14:solidFill>
              <w14:schemeClr w14:val="tx1"/>
            </w14:solidFill>
          </w14:textFill>
        </w:rPr>
        <w:t>售后服务：质保期内乙方对甲方提出的服务响应不得超出</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小时。</w:t>
      </w:r>
    </w:p>
    <w:p w14:paraId="60E08E81">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5.5具体服务详见乙方投标文件中乙方的承诺书。</w:t>
      </w:r>
    </w:p>
    <w:p w14:paraId="226F238E">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6.验收方法及标准</w:t>
      </w:r>
    </w:p>
    <w:p w14:paraId="71EA0EAF">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6.1开箱验收</w:t>
      </w:r>
    </w:p>
    <w:p w14:paraId="6F2AC4B5">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6.1.1产品运抵现场后，双方应及时开箱验收，并制作验收记录，以确认与本合同约定的数量、型号等是否一致。</w:t>
      </w:r>
    </w:p>
    <w:p w14:paraId="4B31B9BE">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6.1.2 乙方应在交货前对产品的质量、规格、数量等进行详细而全面的检验，并出具证明产品符合合同规定的文件。该文件将作为申请付款单据的一部分，但有关质量、规格、数量的检验不应视为最终检验。</w:t>
      </w:r>
    </w:p>
    <w:p w14:paraId="718BD116">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430E949C">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6.1.4 开箱验收中如发现产品的数量、规格与合同约定不符，甲方有权拒收产品，乙方应及时按甲方要求免费对拒收产品采取更换或其他必要的补救措施，直至开箱验收合格，方视为乙方完成交货。</w:t>
      </w:r>
    </w:p>
    <w:p w14:paraId="0B12C2A1">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6.2  检验验收</w:t>
      </w:r>
    </w:p>
    <w:p w14:paraId="3B2BE5D6">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6.2.1 交货完成后，乙方应及时组装、调试、试运行，按照合同条款规定的试运行完成后，双方及时组织对产品检验验收。合同双方均须派人参加合同要求双方参加的试验、检验。</w:t>
      </w:r>
    </w:p>
    <w:p w14:paraId="67F601CF">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6.2.2 在具体实施合同规定的检验验收之前，乙方需提前提交相应的测试计划（包括测试程序、测试内容和检验标准、试验时间安排等）供甲方确认。</w:t>
      </w:r>
    </w:p>
    <w:p w14:paraId="050D618B">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6.2.3  除需甲方确认的试验验收外，乙方还应对所有检验验收测试的结果、步骤、原始数据等作妥善记录。如甲方要求，乙方应提供这些记录给甲方。</w:t>
      </w:r>
    </w:p>
    <w:p w14:paraId="660D4E92">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6.2.4  检验测试出现全部或部分未达到本合同所约定的技术指标，甲方有权选择下列任一处理方式：</w:t>
      </w:r>
    </w:p>
    <w:p w14:paraId="257BE25B">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a.重新测试直至合格为止；</w:t>
      </w:r>
    </w:p>
    <w:p w14:paraId="69B1AAC7">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b.要求乙方对货物进行免费更换，然后重新测试直至合格为止；</w:t>
      </w:r>
    </w:p>
    <w:p w14:paraId="3BBF92DB">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无论选择何种方式，甲方因此而发生的因乙方原因引起的所有费用均由乙方负担。</w:t>
      </w:r>
    </w:p>
    <w:p w14:paraId="2659D83A">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6.3  使用过程检验</w:t>
      </w:r>
    </w:p>
    <w:p w14:paraId="01D021CD">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DC1AAC1">
      <w:pPr>
        <w:snapToGrid w:val="0"/>
        <w:spacing w:line="360" w:lineRule="auto"/>
        <w:ind w:firstLine="420" w:firstLineChars="200"/>
        <w:outlineLvl w:val="9"/>
        <w:rPr>
          <w:rFonts w:hint="eastAsia"/>
          <w:color w:val="000000" w:themeColor="text1"/>
          <w:szCs w:val="21"/>
          <w14:textFill>
            <w14:solidFill>
              <w14:schemeClr w14:val="tx1"/>
            </w14:solidFill>
          </w14:textFill>
        </w:rPr>
      </w:pPr>
      <w:r>
        <w:rPr>
          <w:color w:val="000000" w:themeColor="text1"/>
          <w:szCs w:val="21"/>
          <w14:textFill>
            <w14:solidFill>
              <w14:schemeClr w14:val="tx1"/>
            </w14:solidFill>
          </w14:textFill>
        </w:rPr>
        <w:t>6.3.2如果合同双方对乙方提供的上述试验结果报告的解释有分歧，双方须于出现分歧后10天内给对方声明，以陈述己方的观点。声明须附有关证据。分歧应通过协商解决。</w:t>
      </w:r>
    </w:p>
    <w:p w14:paraId="730041F6">
      <w:pPr>
        <w:snapToGrid w:val="0"/>
        <w:spacing w:line="360" w:lineRule="auto"/>
        <w:ind w:firstLine="420" w:firstLineChars="200"/>
        <w:outlineLvl w:val="9"/>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6.4  所有验收合格，但不能免除乙方应该承担的质保责任。</w:t>
      </w:r>
    </w:p>
    <w:p w14:paraId="2E21430A">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7.合同款项支付方式</w:t>
      </w:r>
    </w:p>
    <w:p w14:paraId="58DAA40F">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7.1履约保证金</w:t>
      </w:r>
    </w:p>
    <w:p w14:paraId="09E369F1">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7.1.1</w:t>
      </w:r>
      <w:r>
        <w:rPr>
          <w:rFonts w:hint="eastAsia"/>
          <w:color w:val="000000" w:themeColor="text1"/>
          <w:szCs w:val="21"/>
          <w14:textFill>
            <w14:solidFill>
              <w14:schemeClr w14:val="tx1"/>
            </w14:solidFill>
          </w14:textFill>
        </w:rPr>
        <w:t>合同签订前，乙方须向甲方提交合同总价的10%作为履约保证金；</w:t>
      </w:r>
    </w:p>
    <w:p w14:paraId="30659ABE">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7.1.2履约保证金应使用人民币，按</w:t>
      </w:r>
      <w:r>
        <w:rPr>
          <w:color w:val="000000" w:themeColor="text1"/>
          <w:szCs w:val="21"/>
          <w:u w:val="single"/>
          <w14:textFill>
            <w14:solidFill>
              <w14:schemeClr w14:val="tx1"/>
            </w14:solidFill>
          </w14:textFill>
        </w:rPr>
        <w:t xml:space="preserve">   汇款或现金   </w:t>
      </w:r>
      <w:r>
        <w:rPr>
          <w:color w:val="000000" w:themeColor="text1"/>
          <w:szCs w:val="21"/>
          <w14:textFill>
            <w14:solidFill>
              <w14:schemeClr w14:val="tx1"/>
            </w14:solidFill>
          </w14:textFill>
        </w:rPr>
        <w:t xml:space="preserve"> 方式提交；</w:t>
      </w:r>
    </w:p>
    <w:p w14:paraId="71E773A3">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7.1.3设备到货并由甲方验收合格后，</w:t>
      </w:r>
      <w:r>
        <w:rPr>
          <w:rFonts w:hint="eastAsia"/>
          <w:color w:val="000000" w:themeColor="text1"/>
          <w:szCs w:val="21"/>
          <w14:textFill>
            <w14:solidFill>
              <w14:schemeClr w14:val="tx1"/>
            </w14:solidFill>
          </w14:textFill>
        </w:rPr>
        <w:t>乙方申请，</w:t>
      </w:r>
      <w:r>
        <w:rPr>
          <w:color w:val="000000" w:themeColor="text1"/>
          <w:szCs w:val="21"/>
          <w14:textFill>
            <w14:solidFill>
              <w14:schemeClr w14:val="tx1"/>
            </w14:solidFill>
          </w14:textFill>
        </w:rPr>
        <w:t>甲方应把履约保证金（无息）退还乙方。</w:t>
      </w:r>
    </w:p>
    <w:p w14:paraId="2E42A320">
      <w:pPr>
        <w:snapToGrid w:val="0"/>
        <w:spacing w:line="360" w:lineRule="auto"/>
        <w:ind w:firstLine="422" w:firstLineChars="200"/>
        <w:outlineLvl w:val="9"/>
        <w:rPr>
          <w:rFonts w:hint="eastAsia"/>
          <w:b/>
          <w:bCs/>
          <w:color w:val="000000" w:themeColor="text1"/>
          <w:szCs w:val="21"/>
          <w:lang w:eastAsia="zh-CN"/>
          <w14:textFill>
            <w14:solidFill>
              <w14:schemeClr w14:val="tx1"/>
            </w14:solidFill>
          </w14:textFill>
        </w:rPr>
      </w:pPr>
      <w:r>
        <w:rPr>
          <w:b/>
          <w:bCs/>
          <w:color w:val="000000" w:themeColor="text1"/>
          <w:szCs w:val="21"/>
          <w14:textFill>
            <w14:solidFill>
              <w14:schemeClr w14:val="tx1"/>
            </w14:solidFill>
          </w14:textFill>
        </w:rPr>
        <w:t>7.2合同款支付</w:t>
      </w:r>
      <w:r>
        <w:rPr>
          <w:rFonts w:hint="eastAsia"/>
          <w:b/>
          <w:bCs/>
          <w:color w:val="000000" w:themeColor="text1"/>
          <w:szCs w:val="21"/>
          <w:lang w:eastAsia="zh-CN"/>
          <w14:textFill>
            <w14:solidFill>
              <w14:schemeClr w14:val="tx1"/>
            </w14:solidFill>
          </w14:textFill>
        </w:rPr>
        <w:t>（请在确定支付方式前面的“</w:t>
      </w:r>
      <w:r>
        <w:rPr>
          <w:rFonts w:hint="eastAsia"/>
          <w:b/>
          <w:bCs/>
          <w:color w:val="000000" w:themeColor="text1"/>
          <w:szCs w:val="21"/>
          <w:lang w:eastAsia="zh-CN"/>
          <w14:textFill>
            <w14:solidFill>
              <w14:schemeClr w14:val="tx1"/>
            </w14:solidFill>
          </w14:textFill>
        </w:rPr>
        <w:sym w:font="Wingdings 2" w:char="0052"/>
      </w:r>
      <w:r>
        <w:rPr>
          <w:rFonts w:hint="eastAsia"/>
          <w:b/>
          <w:bCs/>
          <w:color w:val="000000" w:themeColor="text1"/>
          <w:szCs w:val="21"/>
          <w:lang w:val="en-US" w:eastAsia="zh-CN"/>
          <w14:textFill>
            <w14:solidFill>
              <w14:schemeClr w14:val="tx1"/>
            </w14:solidFill>
          </w14:textFill>
        </w:rPr>
        <w:t xml:space="preserve"> </w:t>
      </w:r>
      <w:r>
        <w:rPr>
          <w:rFonts w:hint="eastAsia"/>
          <w:b/>
          <w:bCs/>
          <w:color w:val="000000" w:themeColor="text1"/>
          <w:szCs w:val="21"/>
          <w:lang w:eastAsia="zh-CN"/>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内</w:t>
      </w:r>
      <w:r>
        <w:rPr>
          <w:rFonts w:hint="eastAsia"/>
          <w:b/>
          <w:bCs/>
          <w:color w:val="000000" w:themeColor="text1"/>
          <w:szCs w:val="21"/>
          <w:lang w:eastAsia="zh-CN"/>
          <w14:textFill>
            <w14:solidFill>
              <w14:schemeClr w14:val="tx1"/>
            </w14:solidFill>
          </w14:textFill>
        </w:rPr>
        <w:t>打“√”</w:t>
      </w:r>
      <w:r>
        <w:rPr>
          <w:rFonts w:hint="eastAsia"/>
          <w:b/>
          <w:bCs/>
          <w:color w:val="000000" w:themeColor="text1"/>
          <w:szCs w:val="21"/>
          <w:lang w:val="en-US" w:eastAsia="zh-CN"/>
          <w14:textFill>
            <w14:solidFill>
              <w14:schemeClr w14:val="tx1"/>
            </w14:solidFill>
          </w14:textFill>
        </w:rPr>
        <w:t xml:space="preserve"> </w:t>
      </w:r>
      <w:r>
        <w:rPr>
          <w:rFonts w:hint="eastAsia"/>
          <w:b/>
          <w:bCs/>
          <w:color w:val="000000" w:themeColor="text1"/>
          <w:szCs w:val="21"/>
          <w:lang w:eastAsia="zh-CN"/>
          <w14:textFill>
            <w14:solidFill>
              <w14:schemeClr w14:val="tx1"/>
            </w14:solidFill>
          </w14:textFill>
        </w:rPr>
        <w:t>）</w:t>
      </w:r>
    </w:p>
    <w:p w14:paraId="1743BE20">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国产设备：（请在确定支付方式前面的</w:t>
      </w:r>
      <w:r>
        <w:rPr>
          <w:rFonts w:hint="default" w:ascii="Times New Roman" w:hAnsi="Times New Roman" w:eastAsia="宋体" w:cs="Times New Roman"/>
          <w:b/>
          <w:bCs/>
          <w:color w:val="000000" w:themeColor="text1"/>
          <w:szCs w:val="21"/>
          <w:lang w:val="en-US" w:eastAsia="zh-CN"/>
          <w14:textFill>
            <w14:solidFill>
              <w14:schemeClr w14:val="tx1"/>
            </w14:solidFill>
          </w14:textFill>
        </w:rPr>
        <w:t>“</w:t>
      </w:r>
      <w:r>
        <w:rPr>
          <w:rFonts w:hint="default" w:ascii="Times New Roman" w:hAnsi="Times New Roman" w:eastAsia="宋体" w:cs="Times New Roman"/>
          <w:b/>
          <w:bCs/>
          <w:color w:val="000000" w:themeColor="text1"/>
          <w:szCs w:val="21"/>
          <w:lang w:val="en-US" w:eastAsia="zh-CN"/>
          <w14:textFill>
            <w14:solidFill>
              <w14:schemeClr w14:val="tx1"/>
            </w14:solidFill>
          </w14:textFill>
        </w:rPr>
        <w:sym w:font="Wingdings 2" w:char="00A3"/>
      </w:r>
      <w:r>
        <w:rPr>
          <w:rFonts w:hint="default" w:ascii="Times New Roman" w:hAnsi="Times New Roman" w:eastAsia="宋体" w:cs="Times New Roman"/>
          <w:b/>
          <w:bCs/>
          <w:color w:val="000000" w:themeColor="text1"/>
          <w:szCs w:val="21"/>
          <w:lang w:val="en-US" w:eastAsia="zh-CN"/>
          <w14:textFill>
            <w14:solidFill>
              <w14:schemeClr w14:val="tx1"/>
            </w14:solidFill>
          </w14:textFill>
        </w:rPr>
        <w:t>”</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内打</w:t>
      </w:r>
      <w:r>
        <w:rPr>
          <w:rFonts w:hint="default" w:ascii="Times New Roman" w:hAnsi="Times New Roman" w:eastAsia="宋体" w:cs="Times New Roman"/>
          <w:b/>
          <w:bCs/>
          <w:color w:val="000000" w:themeColor="text1"/>
          <w:szCs w:val="21"/>
          <w:lang w:val="en-US" w:eastAsia="zh-CN"/>
          <w14:textFill>
            <w14:solidFill>
              <w14:schemeClr w14:val="tx1"/>
            </w14:solidFill>
          </w14:textFill>
        </w:rPr>
        <w:t>“√”</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w:t>
      </w:r>
    </w:p>
    <w:p w14:paraId="1433E853">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default" w:ascii="Times New Roman" w:hAnsi="Times New Roman" w:eastAsia="宋体" w:cs="Times New Roman"/>
          <w:b/>
          <w:bCs/>
          <w:color w:val="000000" w:themeColor="text1"/>
          <w:szCs w:val="21"/>
          <w:lang w:val="en-US" w:eastAsia="zh-CN"/>
          <w14:textFill>
            <w14:solidFill>
              <w14:schemeClr w14:val="tx1"/>
            </w14:solidFill>
          </w14:textFill>
        </w:rPr>
        <w:sym w:font="Wingdings 2" w:char="00A3"/>
      </w:r>
      <w:r>
        <w:rPr>
          <w:rFonts w:hint="eastAsia" w:ascii="Times New Roman" w:hAnsi="Times New Roman" w:eastAsia="宋体" w:cs="Times New Roman"/>
          <w:b/>
          <w:bCs/>
          <w:color w:val="000000" w:themeColor="text1"/>
          <w:szCs w:val="21"/>
          <w:lang w:val="en-US" w:eastAsia="zh-CN"/>
          <w14:textFill>
            <w14:solidFill>
              <w14:schemeClr w14:val="tx1"/>
            </w14:solidFill>
          </w14:textFill>
        </w:rPr>
        <w:t>（仅限</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2024</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年</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12</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月</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日前无法验收合格的项目）</w:t>
      </w:r>
    </w:p>
    <w:p w14:paraId="6A90006A">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合同签订前，乙方须在甲方指定的银行开立一般结算账户。合同签订后，甲方通过银行电汇付给乙方全额货款。</w:t>
      </w:r>
    </w:p>
    <w:p w14:paraId="76C198A3">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default" w:ascii="Times New Roman" w:hAnsi="Times New Roman" w:eastAsia="宋体" w:cs="Times New Roman"/>
          <w:b/>
          <w:bCs/>
          <w:color w:val="000000" w:themeColor="text1"/>
          <w:szCs w:val="21"/>
          <w:lang w:val="en-US" w:eastAsia="zh-CN"/>
          <w14:textFill>
            <w14:solidFill>
              <w14:schemeClr w14:val="tx1"/>
            </w14:solidFill>
          </w14:textFill>
        </w:rPr>
        <w:sym w:font="Wingdings 2" w:char="00A3"/>
      </w:r>
      <w:r>
        <w:rPr>
          <w:rFonts w:hint="eastAsia" w:ascii="Times New Roman" w:hAnsi="Times New Roman" w:eastAsia="宋体" w:cs="Times New Roman"/>
          <w:b/>
          <w:bCs/>
          <w:color w:val="000000" w:themeColor="text1"/>
          <w:szCs w:val="21"/>
          <w:lang w:val="en-US" w:eastAsia="zh-CN"/>
          <w14:textFill>
            <w14:solidFill>
              <w14:schemeClr w14:val="tx1"/>
            </w14:solidFill>
          </w14:textFill>
        </w:rPr>
        <w:t>（仅限</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2024</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年</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12</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月</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日前验收合格的项目）</w:t>
      </w:r>
    </w:p>
    <w:p w14:paraId="25A4FF9D">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签订合同后，设备到达指定地点、安装调试完成并验收合格后，支付合同总价的</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100%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w:t>
      </w:r>
    </w:p>
    <w:p w14:paraId="15A1F189">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进口设备：</w:t>
      </w:r>
    </w:p>
    <w:p w14:paraId="3B089CEE">
      <w:pPr>
        <w:snapToGrid w:val="0"/>
        <w:spacing w:line="360" w:lineRule="auto"/>
        <w:ind w:firstLine="422" w:firstLineChars="200"/>
        <w:outlineLvl w:val="9"/>
        <w:rPr>
          <w:rFonts w:hint="default" w:ascii="Times New Roman" w:hAnsi="Times New Roman" w:eastAsia="宋体" w:cs="Times New Roman"/>
          <w:b/>
          <w:bCs/>
          <w:color w:val="000000" w:themeColor="text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合同生效后，由甲方通过双方认可的进口业务代理公司向中标人指定国外设备供应商开出</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100%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信用证，其中</w:t>
      </w:r>
      <w:r>
        <w:rPr>
          <w:rFonts w:hint="default" w:ascii="Times New Roman" w:hAnsi="Times New Roman" w:eastAsia="宋体" w:cs="Times New Roman"/>
          <w:b/>
          <w:bCs/>
          <w:color w:val="000000" w:themeColor="text1"/>
          <w:szCs w:val="21"/>
          <w:lang w:val="en-US" w:eastAsia="zh-CN"/>
          <w14:textFill>
            <w14:solidFill>
              <w14:schemeClr w14:val="tx1"/>
            </w14:solidFill>
          </w14:textFill>
        </w:rPr>
        <w:t>90%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货款凭外贸合同约定的发货单据及西安建筑科技大学出具的开箱点货报告原件解付，剩余</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货款在设备验收合格后凭甲方签署的验收报告原件解付。</w:t>
      </w:r>
    </w:p>
    <w:p w14:paraId="32E80A67">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r>
        <w:rPr>
          <w:rFonts w:hint="eastAsia"/>
          <w:color w:val="000000" w:themeColor="text1"/>
          <w:szCs w:val="21"/>
          <w:lang w:val="en-US" w:eastAsia="zh-CN"/>
          <w14:textFill>
            <w14:solidFill>
              <w14:schemeClr w14:val="tx1"/>
            </w14:solidFill>
          </w14:textFill>
        </w:rPr>
        <w:t>3</w:t>
      </w:r>
      <w:r>
        <w:rPr>
          <w:rFonts w:hint="eastAsia"/>
          <w:color w:val="000000" w:themeColor="text1"/>
          <w:szCs w:val="21"/>
          <w14:textFill>
            <w14:solidFill>
              <w14:schemeClr w14:val="tx1"/>
            </w14:solidFill>
          </w14:textFill>
        </w:rPr>
        <w:t>最终结算时，乙方须向甲方出具合同总价款的增值税专用发票。</w:t>
      </w:r>
    </w:p>
    <w:p w14:paraId="79A60A59">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8.安全生产和文明施工</w:t>
      </w:r>
    </w:p>
    <w:p w14:paraId="70FBF3D3">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8.1 现场安全文明施工由乙方编制专项详细方案并严格执行。</w:t>
      </w:r>
    </w:p>
    <w:p w14:paraId="6E32F3CA">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2CA72F7E">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8.3 在设备安装施工全过程中，乙方应服从甲方的各项管理，并对乙方施工人员进行安全管理。</w:t>
      </w:r>
    </w:p>
    <w:p w14:paraId="7054A734">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8.4 确保现场建筑物及相关设施设备完好无损，如施工过程中出现损坏，乙方负责修复赔偿。</w:t>
      </w:r>
    </w:p>
    <w:p w14:paraId="1BD4B13E">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8.5 乙方应对安装施工人员相关岗位上岗资格进行审查，并对相关后果负责。</w:t>
      </w:r>
    </w:p>
    <w:p w14:paraId="0CE5B38C">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9.索赔</w:t>
      </w:r>
    </w:p>
    <w:p w14:paraId="5F68FFC1">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0A7C3FB">
      <w:pPr>
        <w:snapToGrid w:val="0"/>
        <w:spacing w:line="360" w:lineRule="auto"/>
        <w:ind w:firstLine="420" w:firstLineChars="200"/>
        <w:outlineLvl w:val="9"/>
        <w:rPr>
          <w:color w:val="000000" w:themeColor="text1"/>
          <w:szCs w:val="21"/>
          <w14:textFill>
            <w14:solidFill>
              <w14:schemeClr w14:val="tx1"/>
            </w14:solidFill>
          </w14:textFill>
        </w:rPr>
      </w:pPr>
      <w:bookmarkStart w:id="5" w:name="_Ref467378076"/>
      <w:r>
        <w:rPr>
          <w:color w:val="000000" w:themeColor="text1"/>
          <w:szCs w:val="21"/>
          <w14:textFill>
            <w14:solidFill>
              <w14:schemeClr w14:val="tx1"/>
            </w14:solidFill>
          </w14:textFill>
        </w:rPr>
        <w:t>9.2在验收合格前，乙方对甲方提出的索赔负有责任，乙方应按照甲方同意的下列一种或多种方式解决索赔事宜：</w:t>
      </w:r>
      <w:bookmarkEnd w:id="5"/>
    </w:p>
    <w:p w14:paraId="36530B46">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569A3B3">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9.2.2根据货物低劣程度、损坏程度以及甲方所遭受损失的数额，经甲乙双方商定降低货物的价格，或由有资质的中介机构评估，以降低后的价格或评估价格为准。</w:t>
      </w:r>
    </w:p>
    <w:p w14:paraId="2C4862F0">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36C88F98">
      <w:pPr>
        <w:snapToGrid w:val="0"/>
        <w:spacing w:line="360" w:lineRule="auto"/>
        <w:ind w:firstLine="420" w:firstLineChars="200"/>
        <w:outlineLvl w:val="9"/>
        <w:rPr>
          <w:color w:val="000000" w:themeColor="text1"/>
          <w:szCs w:val="21"/>
          <w14:textFill>
            <w14:solidFill>
              <w14:schemeClr w14:val="tx1"/>
            </w14:solidFill>
          </w14:textFill>
        </w:rPr>
      </w:pPr>
      <w:bookmarkStart w:id="6" w:name="_Ref127159050"/>
      <w:r>
        <w:rPr>
          <w:color w:val="000000" w:themeColor="text1"/>
          <w:szCs w:val="21"/>
          <w14:textFill>
            <w14:solidFill>
              <w14:schemeClr w14:val="tx1"/>
            </w14:solidFill>
          </w14:textFill>
        </w:rPr>
        <w:t>9.3乙方收到甲方发出的索赔通知之日起5个工作日内未作答复的，甲方可从合同款或履约保证金中扣回索赔金额，如金额不足以补偿索赔金额，乙方应补足差额部分。</w:t>
      </w:r>
      <w:bookmarkEnd w:id="6"/>
    </w:p>
    <w:p w14:paraId="4DE99572">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10.违约责任</w:t>
      </w:r>
    </w:p>
    <w:p w14:paraId="4D943807">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10.1 合同生效后，甲乙双方应按合同规定认真履约。合同履约责任只涉及合同甲乙双方，不考虑第三方因素。</w:t>
      </w:r>
    </w:p>
    <w:p w14:paraId="28004E25">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10.2 除不可抗力原因外，如遇下列情况之一者，乙方所缴纳的履约</w:t>
      </w:r>
      <w:r>
        <w:rPr>
          <w:rFonts w:hint="eastAsia"/>
          <w:color w:val="000000" w:themeColor="text1"/>
          <w:szCs w:val="21"/>
          <w:lang w:val="en-US" w:eastAsia="zh-CN"/>
          <w14:textFill>
            <w14:solidFill>
              <w14:schemeClr w14:val="tx1"/>
            </w14:solidFill>
          </w14:textFill>
        </w:rPr>
        <w:t>保证</w:t>
      </w:r>
      <w:r>
        <w:rPr>
          <w:color w:val="000000" w:themeColor="text1"/>
          <w:szCs w:val="21"/>
          <w14:textFill>
            <w14:solidFill>
              <w14:schemeClr w14:val="tx1"/>
            </w14:solidFill>
          </w14:textFill>
        </w:rPr>
        <w:t>金甲方有权不予退还，作为对甲方的赔偿，且甲方有权解除本合同：（1）合同签订后不能按合同时限要求供货或安装调试；（2）所供设备不合格、与合同不符；（3）不能按合同履约；（4）因产品质量原因，不能通过验收。</w:t>
      </w:r>
    </w:p>
    <w:p w14:paraId="0C1E9513">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10.3如乙方产品质量不符合国家标准、行业内控标准或本合同技术附件要求的，甲方有权退货，乙方应退还全部货款，并承担甲方合同总价款10％的违约金及其他损失。</w:t>
      </w:r>
    </w:p>
    <w:p w14:paraId="4FEEE86D">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10.4 在合同规定的供货期内乙方未全部交货，除应如数补齐外，还应承担合同总款的10％违约金。</w:t>
      </w:r>
    </w:p>
    <w:p w14:paraId="24D0F23A">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10.5 乙方对货物不按招标文件要求，擅自更换，除恢复原招标产品外，应承担更换部分价款10%的违约金；乙方如对产品材质、随机配品以次充好，除全部按要求恢复外，应承担此部分价款10%的违约金。</w:t>
      </w:r>
    </w:p>
    <w:p w14:paraId="6C1466EE">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747A4887">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CCB0A11">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11.合同争议的解决</w:t>
      </w:r>
    </w:p>
    <w:p w14:paraId="3475880C">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11.1甲乙双方由于本合同的履行而发生任何争议时，双方可先通过协商解决。</w:t>
      </w:r>
    </w:p>
    <w:p w14:paraId="39A2ACC2">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11.2任何一方不愿通过协商或通过协商仍不能解决争议，则双方中任何一方均应向甲方所在地人民法院起诉。</w:t>
      </w:r>
    </w:p>
    <w:p w14:paraId="36FFEA65">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12.违约解除合同</w:t>
      </w:r>
    </w:p>
    <w:p w14:paraId="03B019CB">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12.1出现下列情形之一的，视为乙方违约。甲方可向乙方发出书面通知，部分或全部终止合同，同时保留向乙方索赔的权利。</w:t>
      </w:r>
    </w:p>
    <w:p w14:paraId="6A76EA9A">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12.1.1乙方未能在合同规定的限期或甲方同意延长的限期内，提供全部或部分货物的； </w:t>
      </w:r>
    </w:p>
    <w:p w14:paraId="70149BC1">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12.1.2乙方未能履行合同规定的其它主要义务的；</w:t>
      </w:r>
    </w:p>
    <w:p w14:paraId="57FCA591">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12.1.3乙方在本合同履行过程中有欺诈行为的。</w:t>
      </w:r>
    </w:p>
    <w:p w14:paraId="59354B6D">
      <w:pPr>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C5C9F98">
      <w:pPr>
        <w:snapToGrid w:val="0"/>
        <w:spacing w:line="360" w:lineRule="auto"/>
        <w:ind w:firstLine="422" w:firstLineChars="2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13.其它事项</w:t>
      </w:r>
    </w:p>
    <w:p w14:paraId="37A67992">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13.1 合同经双方签字盖章后生效。本合同一式五份，甲方执四份，乙方执一份，执行完毕后自行失效。</w:t>
      </w:r>
    </w:p>
    <w:p w14:paraId="15486C5B">
      <w:pPr>
        <w:spacing w:line="360" w:lineRule="auto"/>
        <w:ind w:firstLine="411" w:firstLineChars="196"/>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13.2 合同的附件、投标文件均作为本合同不可分割的内容，且具有同等法律效力。合同的附件由甲方使用单位负责审核并签章。</w:t>
      </w:r>
    </w:p>
    <w:p w14:paraId="5BDDEE0B">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13.3 在本合同执行过程中，甲、乙双方协商签订的补充合同与原合同具有同等法律效力。</w:t>
      </w:r>
    </w:p>
    <w:p w14:paraId="4E581458">
      <w:pPr>
        <w:snapToGrid w:val="0"/>
        <w:spacing w:line="36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13.4 未尽事宜，双方协商解决。</w:t>
      </w:r>
    </w:p>
    <w:p w14:paraId="00796813">
      <w:pPr>
        <w:snapToGrid w:val="0"/>
        <w:spacing w:line="440" w:lineRule="exact"/>
        <w:ind w:firstLine="420" w:firstLineChars="200"/>
        <w:outlineLvl w:val="9"/>
        <w:rPr>
          <w:color w:val="000000" w:themeColor="text1"/>
          <w:szCs w:val="21"/>
          <w14:textFill>
            <w14:solidFill>
              <w14:schemeClr w14:val="tx1"/>
            </w14:solidFill>
          </w14:textFill>
        </w:rPr>
      </w:pPr>
    </w:p>
    <w:p w14:paraId="2BDA50BD">
      <w:pPr>
        <w:snapToGrid w:val="0"/>
        <w:spacing w:line="480" w:lineRule="exac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合同签订地点：西安建筑科技大学</w:t>
      </w:r>
    </w:p>
    <w:p w14:paraId="75067C4A">
      <w:pPr>
        <w:snapToGrid w:val="0"/>
        <w:spacing w:line="480" w:lineRule="exac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合同签订时间：      年    月    日</w:t>
      </w:r>
    </w:p>
    <w:p w14:paraId="7C62E540">
      <w:pPr>
        <w:snapToGrid w:val="0"/>
        <w:spacing w:line="480" w:lineRule="exact"/>
        <w:outlineLvl w:val="9"/>
        <w:rPr>
          <w:b/>
          <w:color w:val="000000" w:themeColor="text1"/>
          <w:szCs w:val="21"/>
          <w14:textFill>
            <w14:solidFill>
              <w14:schemeClr w14:val="tx1"/>
            </w14:solidFill>
          </w14:textFill>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0DF16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E967865">
            <w:pP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甲  方（盖章）：西安建筑科技大学</w:t>
            </w:r>
          </w:p>
        </w:tc>
        <w:tc>
          <w:tcPr>
            <w:tcW w:w="4503" w:type="dxa"/>
            <w:noWrap w:val="0"/>
            <w:vAlign w:val="center"/>
          </w:tcPr>
          <w:p w14:paraId="1D7E3289">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乙  方（盖章）：</w:t>
            </w:r>
          </w:p>
        </w:tc>
      </w:tr>
      <w:tr w14:paraId="00A8B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8485276">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地  址：西安市雁塔路13号</w:t>
            </w:r>
          </w:p>
        </w:tc>
        <w:tc>
          <w:tcPr>
            <w:tcW w:w="4503" w:type="dxa"/>
            <w:noWrap w:val="0"/>
            <w:vAlign w:val="center"/>
          </w:tcPr>
          <w:p w14:paraId="7C1A963C">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地  址：</w:t>
            </w:r>
          </w:p>
        </w:tc>
      </w:tr>
      <w:tr w14:paraId="1AE18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50D4929">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法定代表人（签字）：</w:t>
            </w:r>
          </w:p>
        </w:tc>
        <w:tc>
          <w:tcPr>
            <w:tcW w:w="4503" w:type="dxa"/>
            <w:noWrap w:val="0"/>
            <w:vAlign w:val="center"/>
          </w:tcPr>
          <w:p w14:paraId="65237C3A">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法定代表人（签字）：</w:t>
            </w:r>
          </w:p>
        </w:tc>
      </w:tr>
      <w:tr w14:paraId="1A5E1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DB78F5C">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委托代理人（签字）：</w:t>
            </w:r>
          </w:p>
        </w:tc>
        <w:tc>
          <w:tcPr>
            <w:tcW w:w="4503" w:type="dxa"/>
            <w:noWrap w:val="0"/>
            <w:vAlign w:val="center"/>
          </w:tcPr>
          <w:p w14:paraId="4DF8876F">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委托代理人（签字）：</w:t>
            </w:r>
          </w:p>
        </w:tc>
      </w:tr>
      <w:tr w14:paraId="7D9E3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10F65AF">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开户名：西安建筑科技大学</w:t>
            </w:r>
          </w:p>
        </w:tc>
        <w:tc>
          <w:tcPr>
            <w:tcW w:w="4503" w:type="dxa"/>
            <w:noWrap w:val="0"/>
            <w:vAlign w:val="center"/>
          </w:tcPr>
          <w:p w14:paraId="6FFA1B92">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开户名：</w:t>
            </w:r>
          </w:p>
        </w:tc>
      </w:tr>
      <w:tr w14:paraId="2DB6B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7B36B9C">
            <w:pPr>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开户行：工行雁塔路支行</w:t>
            </w:r>
          </w:p>
          <w:p w14:paraId="3713947B">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税  号: 1261000043523106XB</w:t>
            </w:r>
          </w:p>
        </w:tc>
        <w:tc>
          <w:tcPr>
            <w:tcW w:w="4503" w:type="dxa"/>
            <w:noWrap w:val="0"/>
            <w:vAlign w:val="center"/>
          </w:tcPr>
          <w:p w14:paraId="6AE571C5">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开户行：</w:t>
            </w:r>
          </w:p>
        </w:tc>
      </w:tr>
      <w:tr w14:paraId="296B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141953F">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帐  号：3700023009026400639</w:t>
            </w:r>
          </w:p>
        </w:tc>
        <w:tc>
          <w:tcPr>
            <w:tcW w:w="4503" w:type="dxa"/>
            <w:noWrap w:val="0"/>
            <w:vAlign w:val="center"/>
          </w:tcPr>
          <w:p w14:paraId="7580E020">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帐  号：</w:t>
            </w:r>
          </w:p>
        </w:tc>
      </w:tr>
      <w:tr w14:paraId="10ED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BF0123E">
            <w:pPr>
              <w:outlineLvl w:val="9"/>
              <w:rPr>
                <w:rFonts w:hint="eastAsia" w:eastAsia="宋体"/>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联系人：</w:t>
            </w:r>
            <w:r>
              <w:rPr>
                <w:color w:val="000000" w:themeColor="text1"/>
                <w:szCs w:val="21"/>
                <w14:textFill>
                  <w14:solidFill>
                    <w14:schemeClr w14:val="tx1"/>
                  </w14:solidFill>
                </w14:textFill>
              </w:rPr>
              <w:t xml:space="preserve"> </w:t>
            </w:r>
          </w:p>
        </w:tc>
        <w:tc>
          <w:tcPr>
            <w:tcW w:w="4503" w:type="dxa"/>
            <w:noWrap w:val="0"/>
            <w:vAlign w:val="center"/>
          </w:tcPr>
          <w:p w14:paraId="194826CA">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联系人：</w:t>
            </w:r>
          </w:p>
        </w:tc>
      </w:tr>
      <w:tr w14:paraId="3906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FF3044C">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联系电话：</w:t>
            </w:r>
          </w:p>
        </w:tc>
        <w:tc>
          <w:tcPr>
            <w:tcW w:w="4503" w:type="dxa"/>
            <w:noWrap w:val="0"/>
            <w:vAlign w:val="center"/>
          </w:tcPr>
          <w:p w14:paraId="01F65FCE">
            <w:pPr>
              <w:outlineLvl w:val="9"/>
              <w:rPr>
                <w:color w:val="000000" w:themeColor="text1"/>
                <w:szCs w:val="21"/>
                <w14:textFill>
                  <w14:solidFill>
                    <w14:schemeClr w14:val="tx1"/>
                  </w14:solidFill>
                </w14:textFill>
              </w:rPr>
            </w:pPr>
            <w:r>
              <w:rPr>
                <w:b/>
                <w:color w:val="000000" w:themeColor="text1"/>
                <w:szCs w:val="21"/>
                <w14:textFill>
                  <w14:solidFill>
                    <w14:schemeClr w14:val="tx1"/>
                  </w14:solidFill>
                </w14:textFill>
              </w:rPr>
              <w:t>联系电话：</w:t>
            </w:r>
          </w:p>
        </w:tc>
      </w:tr>
    </w:tbl>
    <w:p w14:paraId="39C1A11F">
      <w:pPr>
        <w:ind w:firstLine="235" w:firstLineChars="98"/>
        <w:outlineLvl w:val="9"/>
        <w:rPr>
          <w:b/>
          <w:color w:val="000000" w:themeColor="text1"/>
          <w:sz w:val="32"/>
          <w:szCs w:val="32"/>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br w:type="page"/>
      </w:r>
      <w:r>
        <w:rPr>
          <w:b/>
          <w:color w:val="000000" w:themeColor="text1"/>
          <w:sz w:val="32"/>
          <w:szCs w:val="32"/>
          <w14:textFill>
            <w14:solidFill>
              <w14:schemeClr w14:val="tx1"/>
            </w14:solidFill>
          </w14:textFill>
        </w:rPr>
        <w:t>附件：技术协议</w:t>
      </w:r>
    </w:p>
    <w:p w14:paraId="7868BEAE">
      <w:pPr>
        <w:spacing w:line="440" w:lineRule="exact"/>
        <w:outlineLvl w:val="9"/>
        <w:rPr>
          <w:b/>
          <w:color w:val="000000" w:themeColor="text1"/>
          <w:sz w:val="30"/>
          <w:szCs w:val="30"/>
          <w14:textFill>
            <w14:solidFill>
              <w14:schemeClr w14:val="tx1"/>
            </w14:solidFill>
          </w14:textFill>
        </w:rPr>
      </w:pPr>
      <w:bookmarkStart w:id="7" w:name="_Toc390373038"/>
      <w:bookmarkStart w:id="8" w:name="_Toc390360542"/>
      <w:r>
        <w:rPr>
          <w:b/>
          <w:color w:val="000000" w:themeColor="text1"/>
          <w:sz w:val="32"/>
          <w:szCs w:val="32"/>
          <w14:textFill>
            <w14:solidFill>
              <w14:schemeClr w14:val="tx1"/>
            </w14:solidFill>
          </w14:textFill>
        </w:rPr>
        <w:t>1.</w:t>
      </w:r>
      <w:r>
        <w:rPr>
          <w:b/>
          <w:color w:val="000000" w:themeColor="text1"/>
          <w:sz w:val="30"/>
          <w:szCs w:val="30"/>
          <w14:textFill>
            <w14:solidFill>
              <w14:schemeClr w14:val="tx1"/>
            </w14:solidFill>
          </w14:textFill>
        </w:rPr>
        <w:t>中标产品技术参数明细</w:t>
      </w:r>
    </w:p>
    <w:p w14:paraId="3EEA1977">
      <w:pPr>
        <w:spacing w:line="440" w:lineRule="exact"/>
        <w:outlineLvl w:val="9"/>
        <w:rPr>
          <w:b/>
          <w:color w:val="000000" w:themeColor="text1"/>
          <w:sz w:val="32"/>
          <w:szCs w:val="32"/>
          <w14:textFill>
            <w14:solidFill>
              <w14:schemeClr w14:val="tx1"/>
            </w14:solidFill>
          </w14:textFill>
        </w:rPr>
      </w:pPr>
      <w:r>
        <w:rPr>
          <w:color w:val="000000" w:themeColor="text1"/>
          <w:kern w:val="0"/>
          <w:szCs w:val="21"/>
          <w14:textFill>
            <w14:solidFill>
              <w14:schemeClr w14:val="tx1"/>
            </w14:solidFill>
          </w14:textFill>
        </w:rPr>
        <w:t>我公司承诺：合同中数列产品均满足标书及使用要求，无任何负偏离。并与所供产品完全一致。</w:t>
      </w:r>
    </w:p>
    <w:bookmarkEnd w:id="7"/>
    <w:bookmarkEnd w:id="8"/>
    <w:p w14:paraId="388045BC">
      <w:pPr>
        <w:spacing w:line="440" w:lineRule="exact"/>
        <w:outlineLvl w:val="9"/>
        <w:rPr>
          <w:rStyle w:val="6"/>
          <w:color w:val="000000" w:themeColor="text1"/>
          <w:szCs w:val="21"/>
          <w14:textFill>
            <w14:solidFill>
              <w14:schemeClr w14:val="tx1"/>
            </w14:solidFill>
          </w14:textFill>
        </w:rPr>
      </w:pPr>
      <w:r>
        <w:rPr>
          <w:rStyle w:val="6"/>
          <w:color w:val="000000" w:themeColor="text1"/>
          <w:szCs w:val="21"/>
          <w14:textFill>
            <w14:solidFill>
              <w14:schemeClr w14:val="tx1"/>
            </w14:solidFill>
          </w14:textFill>
        </w:rPr>
        <w:t>1.1设备特性</w:t>
      </w:r>
    </w:p>
    <w:p w14:paraId="4F539B4F">
      <w:pPr>
        <w:spacing w:line="440" w:lineRule="exact"/>
        <w:outlineLvl w:val="9"/>
        <w:rPr>
          <w:rStyle w:val="6"/>
          <w:color w:val="000000" w:themeColor="text1"/>
          <w:szCs w:val="21"/>
          <w14:textFill>
            <w14:solidFill>
              <w14:schemeClr w14:val="tx1"/>
            </w14:solidFill>
          </w14:textFill>
        </w:rPr>
      </w:pPr>
      <w:r>
        <w:rPr>
          <w:rStyle w:val="6"/>
          <w:color w:val="000000" w:themeColor="text1"/>
          <w:szCs w:val="21"/>
          <w14:textFill>
            <w14:solidFill>
              <w14:schemeClr w14:val="tx1"/>
            </w14:solidFill>
          </w14:textFill>
        </w:rPr>
        <w:t>1.2</w:t>
      </w:r>
      <w:r>
        <w:rPr>
          <w:b/>
          <w:color w:val="000000" w:themeColor="text1"/>
          <w:szCs w:val="21"/>
          <w14:textFill>
            <w14:solidFill>
              <w14:schemeClr w14:val="tx1"/>
            </w14:solidFill>
          </w14:textFill>
        </w:rPr>
        <w:t>设备用途</w:t>
      </w:r>
    </w:p>
    <w:p w14:paraId="460E4E4A">
      <w:pPr>
        <w:spacing w:line="440" w:lineRule="exac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1.3设备主要参数指标</w:t>
      </w:r>
    </w:p>
    <w:p w14:paraId="6C5ED0BB">
      <w:pPr>
        <w:spacing w:line="440" w:lineRule="exac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1.4质量要求与安全要求</w:t>
      </w:r>
    </w:p>
    <w:p w14:paraId="3309DB17">
      <w:pPr>
        <w:spacing w:line="440" w:lineRule="exac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1.5设备运行一般流程图</w:t>
      </w:r>
    </w:p>
    <w:p w14:paraId="033F6C4C">
      <w:pPr>
        <w:spacing w:line="440" w:lineRule="exact"/>
        <w:outlineLvl w:val="9"/>
        <w:rPr>
          <w:rStyle w:val="6"/>
          <w:bCs w:val="0"/>
          <w:color w:val="000000" w:themeColor="text1"/>
          <w:szCs w:val="21"/>
          <w14:textFill>
            <w14:solidFill>
              <w14:schemeClr w14:val="tx1"/>
            </w14:solidFill>
          </w14:textFill>
        </w:rPr>
      </w:pPr>
    </w:p>
    <w:p w14:paraId="3078DFE3">
      <w:pPr>
        <w:spacing w:line="440" w:lineRule="exact"/>
        <w:outlineLvl w:val="9"/>
        <w:rPr>
          <w:b/>
          <w:color w:val="000000" w:themeColor="text1"/>
          <w:sz w:val="30"/>
          <w:szCs w:val="30"/>
          <w14:textFill>
            <w14:solidFill>
              <w14:schemeClr w14:val="tx1"/>
            </w14:solidFill>
          </w14:textFill>
        </w:rPr>
      </w:pPr>
      <w:r>
        <w:rPr>
          <w:b/>
          <w:color w:val="000000" w:themeColor="text1"/>
          <w:sz w:val="30"/>
          <w:szCs w:val="30"/>
          <w14:textFill>
            <w14:solidFill>
              <w14:schemeClr w14:val="tx1"/>
            </w14:solidFill>
          </w14:textFill>
        </w:rPr>
        <w:t>2.售后服务内容</w:t>
      </w:r>
      <w:bookmarkStart w:id="9" w:name="_Toc390360557"/>
      <w:bookmarkStart w:id="10" w:name="_Toc373263358"/>
      <w:bookmarkStart w:id="11" w:name="_Toc390373053"/>
    </w:p>
    <w:bookmarkEnd w:id="9"/>
    <w:bookmarkEnd w:id="10"/>
    <w:bookmarkEnd w:id="11"/>
    <w:p w14:paraId="0A5E0A0D">
      <w:pPr>
        <w:spacing w:line="440" w:lineRule="exact"/>
        <w:outlineLvl w:val="9"/>
        <w:rPr>
          <w:b/>
          <w:color w:val="000000" w:themeColor="text1"/>
          <w:szCs w:val="21"/>
          <w14:textFill>
            <w14:solidFill>
              <w14:schemeClr w14:val="tx1"/>
            </w14:solidFill>
          </w14:textFill>
        </w:rPr>
      </w:pPr>
      <w:bookmarkStart w:id="12" w:name="_Toc390360558"/>
      <w:bookmarkStart w:id="13" w:name="_Toc390373054"/>
      <w:bookmarkStart w:id="14" w:name="_Toc373263359"/>
      <w:r>
        <w:rPr>
          <w:b/>
          <w:color w:val="000000" w:themeColor="text1"/>
          <w:szCs w:val="21"/>
          <w14:textFill>
            <w14:solidFill>
              <w14:schemeClr w14:val="tx1"/>
            </w14:solidFill>
          </w14:textFill>
        </w:rPr>
        <w:t>2.1技术服务、售后服务体系、故障响应时间、应急维修措施</w:t>
      </w:r>
      <w:bookmarkEnd w:id="12"/>
      <w:bookmarkEnd w:id="13"/>
      <w:bookmarkEnd w:id="14"/>
    </w:p>
    <w:p w14:paraId="558912A0">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2.1.1技术服务措施</w:t>
      </w:r>
    </w:p>
    <w:p w14:paraId="1C5DC912">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2.1.2售后服务体系</w:t>
      </w:r>
    </w:p>
    <w:p w14:paraId="6DA2D01E">
      <w:pPr>
        <w:spacing w:line="440" w:lineRule="exact"/>
        <w:ind w:firstLine="420" w:firstLineChars="200"/>
        <w:jc w:val="left"/>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质保期内服务</w:t>
      </w:r>
    </w:p>
    <w:p w14:paraId="0D232E4B">
      <w:pPr>
        <w:spacing w:line="440" w:lineRule="exact"/>
        <w:ind w:firstLine="420" w:firstLineChars="200"/>
        <w:jc w:val="left"/>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质保期外服务</w:t>
      </w:r>
    </w:p>
    <w:p w14:paraId="1A1618AD">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2.1.3故障响应时间</w:t>
      </w:r>
    </w:p>
    <w:p w14:paraId="02A21F45">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2.1.4应急维修措施</w:t>
      </w:r>
      <w:bookmarkStart w:id="15" w:name="_Toc373263360"/>
      <w:bookmarkStart w:id="16" w:name="_Toc390373055"/>
      <w:bookmarkStart w:id="17" w:name="_Toc390360559"/>
    </w:p>
    <w:p w14:paraId="62186A0F">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2.1.5易损件、备件的供应</w:t>
      </w:r>
    </w:p>
    <w:p w14:paraId="4C349F38">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2.1.6质保期以外技术支持或技术服务</w:t>
      </w:r>
    </w:p>
    <w:p w14:paraId="59026C46">
      <w:pPr>
        <w:spacing w:line="440" w:lineRule="exact"/>
        <w:ind w:right="210" w:rightChars="100"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2.1.7制定切实可行的操作规程和使用指南</w:t>
      </w:r>
    </w:p>
    <w:p w14:paraId="06F0E10B">
      <w:pPr>
        <w:spacing w:line="440" w:lineRule="exact"/>
        <w:ind w:right="210" w:rightChars="100" w:firstLine="420" w:firstLineChars="200"/>
        <w:outlineLvl w:val="9"/>
        <w:rPr>
          <w:color w:val="000000" w:themeColor="text1"/>
          <w:szCs w:val="21"/>
          <w14:textFill>
            <w14:solidFill>
              <w14:schemeClr w14:val="tx1"/>
            </w14:solidFill>
          </w14:textFill>
        </w:rPr>
      </w:pPr>
    </w:p>
    <w:p w14:paraId="4155740F">
      <w:pPr>
        <w:spacing w:line="440" w:lineRule="exact"/>
        <w:outlineLvl w:val="9"/>
        <w:rPr>
          <w:b/>
          <w:color w:val="000000" w:themeColor="text1"/>
          <w:sz w:val="30"/>
          <w:szCs w:val="30"/>
          <w14:textFill>
            <w14:solidFill>
              <w14:schemeClr w14:val="tx1"/>
            </w14:solidFill>
          </w14:textFill>
        </w:rPr>
      </w:pPr>
      <w:r>
        <w:rPr>
          <w:b/>
          <w:color w:val="000000" w:themeColor="text1"/>
          <w:sz w:val="30"/>
          <w:szCs w:val="30"/>
          <w14:textFill>
            <w14:solidFill>
              <w14:schemeClr w14:val="tx1"/>
            </w14:solidFill>
          </w14:textFill>
        </w:rPr>
        <w:t>3.培训服务内容</w:t>
      </w:r>
    </w:p>
    <w:p w14:paraId="65D7BB86">
      <w:pPr>
        <w:spacing w:line="440" w:lineRule="exact"/>
        <w:ind w:right="210" w:rightChars="100"/>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3.1培训方案</w:t>
      </w:r>
    </w:p>
    <w:p w14:paraId="397AA418">
      <w:pPr>
        <w:spacing w:line="440" w:lineRule="exact"/>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培训目标和要求</w:t>
      </w:r>
    </w:p>
    <w:p w14:paraId="76F21948">
      <w:pPr>
        <w:spacing w:line="440" w:lineRule="exact"/>
        <w:jc w:val="lef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3.2培训对象</w:t>
      </w:r>
    </w:p>
    <w:p w14:paraId="18CFB351">
      <w:pPr>
        <w:spacing w:line="440" w:lineRule="exact"/>
        <w:outlineLvl w:val="9"/>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3.3培训方式</w:t>
      </w:r>
    </w:p>
    <w:p w14:paraId="7D1BFCA6">
      <w:pPr>
        <w:spacing w:line="440" w:lineRule="exact"/>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3.3.1系统使用培训：</w:t>
      </w:r>
    </w:p>
    <w:p w14:paraId="1EB5189E">
      <w:pPr>
        <w:spacing w:line="440" w:lineRule="exact"/>
        <w:ind w:firstLine="420" w:firstLineChars="200"/>
        <w:outlineLvl w:val="9"/>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3.3.2培训课程及培训人数：</w:t>
      </w:r>
    </w:p>
    <w:p w14:paraId="4900772E">
      <w:pPr>
        <w:spacing w:line="440" w:lineRule="exact"/>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3.3.3培训教师安排</w:t>
      </w:r>
    </w:p>
    <w:p w14:paraId="108125B6">
      <w:pPr>
        <w:spacing w:line="440" w:lineRule="exact"/>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3.3.4培训时间安排</w:t>
      </w:r>
    </w:p>
    <w:p w14:paraId="4AE77ADB">
      <w:pPr>
        <w:spacing w:line="440" w:lineRule="exact"/>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3.3.5培训及安全保证</w:t>
      </w:r>
    </w:p>
    <w:p w14:paraId="5E136AD5">
      <w:pPr>
        <w:pStyle w:val="3"/>
        <w:spacing w:after="0" w:line="440" w:lineRule="exact"/>
        <w:ind w:left="0" w:leftChars="0"/>
        <w:outlineLvl w:val="9"/>
        <w:rPr>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①</w:t>
      </w:r>
      <w:r>
        <w:rPr>
          <w:snapToGrid w:val="0"/>
          <w:color w:val="000000" w:themeColor="text1"/>
          <w:szCs w:val="21"/>
          <w14:textFill>
            <w14:solidFill>
              <w14:schemeClr w14:val="tx1"/>
            </w14:solidFill>
          </w14:textFill>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907D89B">
      <w:pPr>
        <w:spacing w:line="440" w:lineRule="exact"/>
        <w:ind w:firstLine="420" w:firstLineChars="200"/>
        <w:outlineLvl w:val="9"/>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②</w:t>
      </w:r>
      <w:r>
        <w:rPr>
          <w:color w:val="000000" w:themeColor="text1"/>
          <w:szCs w:val="21"/>
          <w14:textFill>
            <w14:solidFill>
              <w14:schemeClr w14:val="tx1"/>
            </w14:solidFill>
          </w14:textFill>
        </w:rPr>
        <w:t xml:space="preserve"> 设备本体对可能造成伤害的部位均应采用防护板或防护网隔离并有醒目警示。</w:t>
      </w:r>
    </w:p>
    <w:p w14:paraId="21B15AF4">
      <w:pPr>
        <w:spacing w:line="440" w:lineRule="exact"/>
        <w:ind w:firstLine="420" w:firstLineChars="200"/>
        <w:outlineLvl w:val="9"/>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③</w:t>
      </w:r>
      <w:r>
        <w:rPr>
          <w:color w:val="000000" w:themeColor="text1"/>
          <w:szCs w:val="21"/>
          <w14:textFill>
            <w14:solidFill>
              <w14:schemeClr w14:val="tx1"/>
            </w14:solidFill>
          </w14:textFill>
        </w:rPr>
        <w:t xml:space="preserve"> 所用电气元件均按照国标选配，确保稳定安全，符合三防要求。</w:t>
      </w:r>
    </w:p>
    <w:bookmarkEnd w:id="15"/>
    <w:bookmarkEnd w:id="16"/>
    <w:bookmarkEnd w:id="17"/>
    <w:p w14:paraId="2D94E8AA">
      <w:pPr>
        <w:spacing w:line="440" w:lineRule="exact"/>
        <w:ind w:right="210" w:rightChars="100" w:firstLine="420" w:firstLineChars="200"/>
        <w:outlineLvl w:val="9"/>
        <w:rPr>
          <w:color w:val="000000" w:themeColor="text1"/>
          <w:szCs w:val="21"/>
          <w14:textFill>
            <w14:solidFill>
              <w14:schemeClr w14:val="tx1"/>
            </w14:solidFill>
          </w14:textFill>
        </w:rPr>
      </w:pPr>
    </w:p>
    <w:p w14:paraId="727C6078">
      <w:pPr>
        <w:spacing w:line="440" w:lineRule="exact"/>
        <w:jc w:val="left"/>
        <w:outlineLvl w:val="9"/>
        <w:rPr>
          <w:color w:val="000000" w:themeColor="text1"/>
          <w:szCs w:val="21"/>
          <w14:textFill>
            <w14:solidFill>
              <w14:schemeClr w14:val="tx1"/>
            </w14:solidFill>
          </w14:textFill>
        </w:rPr>
      </w:pPr>
    </w:p>
    <w:p w14:paraId="7B244641">
      <w:pPr>
        <w:spacing w:line="440" w:lineRule="exact"/>
        <w:outlineLvl w:val="9"/>
        <w:rPr>
          <w:b/>
          <w:color w:val="000000" w:themeColor="text1"/>
          <w:szCs w:val="21"/>
          <w14:textFill>
            <w14:solidFill>
              <w14:schemeClr w14:val="tx1"/>
            </w14:solidFill>
          </w14:textFill>
        </w:rPr>
      </w:pPr>
    </w:p>
    <w:p w14:paraId="0E2B906C">
      <w:pPr>
        <w:spacing w:line="440" w:lineRule="exact"/>
        <w:outlineLvl w:val="9"/>
        <w:rPr>
          <w:b/>
          <w:color w:val="000000" w:themeColor="text1"/>
          <w:szCs w:val="21"/>
          <w14:textFill>
            <w14:solidFill>
              <w14:schemeClr w14:val="tx1"/>
            </w14:solidFill>
          </w14:textFill>
        </w:rPr>
      </w:pPr>
      <w:bookmarkStart w:id="18" w:name="_Toc345966825"/>
      <w:bookmarkStart w:id="19" w:name="_Toc346025578"/>
      <w:bookmarkStart w:id="20" w:name="_Toc345966650"/>
    </w:p>
    <w:p w14:paraId="52EB16B2">
      <w:pPr>
        <w:pStyle w:val="9"/>
        <w:numPr>
          <w:ilvl w:val="1"/>
          <w:numId w:val="1"/>
        </w:numPr>
        <w:spacing w:line="440" w:lineRule="exact"/>
        <w:ind w:left="0" w:firstLine="0" w:firstLineChars="0"/>
        <w:outlineLvl w:val="9"/>
        <w:rPr>
          <w:b/>
          <w:vanish/>
          <w:color w:val="000000" w:themeColor="text1"/>
          <w:szCs w:val="21"/>
          <w14:textFill>
            <w14:solidFill>
              <w14:schemeClr w14:val="tx1"/>
            </w14:solidFill>
          </w14:textFill>
        </w:rPr>
      </w:pPr>
    </w:p>
    <w:p w14:paraId="4366DAD6">
      <w:pPr>
        <w:pStyle w:val="9"/>
        <w:numPr>
          <w:ilvl w:val="1"/>
          <w:numId w:val="1"/>
        </w:numPr>
        <w:spacing w:line="440" w:lineRule="exact"/>
        <w:ind w:left="0" w:firstLine="0" w:firstLineChars="0"/>
        <w:outlineLvl w:val="9"/>
        <w:rPr>
          <w:b/>
          <w:vanish/>
          <w:color w:val="000000" w:themeColor="text1"/>
          <w:szCs w:val="21"/>
          <w14:textFill>
            <w14:solidFill>
              <w14:schemeClr w14:val="tx1"/>
            </w14:solidFill>
          </w14:textFill>
        </w:rPr>
      </w:pPr>
    </w:p>
    <w:p w14:paraId="710C44F5">
      <w:pPr>
        <w:pStyle w:val="9"/>
        <w:numPr>
          <w:ilvl w:val="1"/>
          <w:numId w:val="1"/>
        </w:numPr>
        <w:spacing w:line="440" w:lineRule="exact"/>
        <w:ind w:left="0" w:firstLine="0" w:firstLineChars="0"/>
        <w:outlineLvl w:val="9"/>
        <w:rPr>
          <w:b/>
          <w:vanish/>
          <w:color w:val="000000" w:themeColor="text1"/>
          <w:szCs w:val="21"/>
          <w14:textFill>
            <w14:solidFill>
              <w14:schemeClr w14:val="tx1"/>
            </w14:solidFill>
          </w14:textFill>
        </w:rPr>
      </w:pPr>
    </w:p>
    <w:p w14:paraId="0E4265A7">
      <w:pPr>
        <w:pStyle w:val="9"/>
        <w:numPr>
          <w:ilvl w:val="1"/>
          <w:numId w:val="1"/>
        </w:numPr>
        <w:spacing w:line="440" w:lineRule="exact"/>
        <w:ind w:left="0" w:firstLine="0" w:firstLineChars="0"/>
        <w:outlineLvl w:val="9"/>
        <w:rPr>
          <w:b/>
          <w:vanish/>
          <w:color w:val="000000" w:themeColor="text1"/>
          <w:szCs w:val="21"/>
          <w14:textFill>
            <w14:solidFill>
              <w14:schemeClr w14:val="tx1"/>
            </w14:solidFill>
          </w14:textFill>
        </w:rPr>
      </w:pPr>
    </w:p>
    <w:bookmarkEnd w:id="18"/>
    <w:bookmarkEnd w:id="19"/>
    <w:bookmarkEnd w:id="20"/>
    <w:p w14:paraId="0A45CA8E">
      <w:pPr>
        <w:spacing w:line="440" w:lineRule="exact"/>
        <w:outlineLvl w:val="9"/>
        <w:rPr>
          <w:color w:val="000000" w:themeColor="text1"/>
          <w:szCs w:val="21"/>
          <w14:textFill>
            <w14:solidFill>
              <w14:schemeClr w14:val="tx1"/>
            </w14:solidFill>
          </w14:textFill>
        </w:rPr>
      </w:pPr>
    </w:p>
    <w:p w14:paraId="0494979B">
      <w:pPr>
        <w:spacing w:line="440" w:lineRule="exact"/>
        <w:ind w:firstLine="420" w:firstLineChars="200"/>
        <w:outlineLvl w:val="9"/>
        <w:rPr>
          <w:color w:val="000000" w:themeColor="text1"/>
          <w:szCs w:val="21"/>
          <w14:textFill>
            <w14:solidFill>
              <w14:schemeClr w14:val="tx1"/>
            </w14:solidFill>
          </w14:textFill>
        </w:rPr>
      </w:pPr>
    </w:p>
    <w:p w14:paraId="3B7802F3">
      <w:pPr>
        <w:widowControl/>
        <w:spacing w:before="100" w:beforeAutospacing="1" w:after="100" w:afterAutospacing="1" w:line="320" w:lineRule="exact"/>
        <w:outlineLvl w:val="9"/>
        <w:rPr>
          <w:b/>
          <w:color w:val="000000" w:themeColor="text1"/>
          <w:sz w:val="24"/>
          <w14:textFill>
            <w14:solidFill>
              <w14:schemeClr w14:val="tx1"/>
            </w14:solidFill>
          </w14:textFill>
        </w:rPr>
      </w:pPr>
      <w:r>
        <w:rPr>
          <w:b/>
          <w:color w:val="000000" w:themeColor="text1"/>
          <w:sz w:val="24"/>
          <w14:textFill>
            <w14:solidFill>
              <w14:schemeClr w14:val="tx1"/>
            </w14:solidFill>
          </w14:textFill>
        </w:rPr>
        <w:t>甲方使用单位：西安建筑科技大学</w:t>
      </w:r>
      <w:r>
        <w:rPr>
          <w:b/>
          <w:color w:val="000000" w:themeColor="text1"/>
          <w:sz w:val="24"/>
          <w14:textFill>
            <w14:solidFill>
              <w14:schemeClr w14:val="tx1"/>
            </w14:solidFill>
          </w14:textFill>
        </w:rPr>
        <w:t>XX学院</w:t>
      </w:r>
      <w:r>
        <w:rPr>
          <w:b/>
          <w:color w:val="000000" w:themeColor="text1"/>
          <w:sz w:val="24"/>
          <w14:textFill>
            <w14:solidFill>
              <w14:schemeClr w14:val="tx1"/>
            </w14:solidFill>
          </w14:textFill>
        </w:rPr>
        <w:tab/>
      </w:r>
      <w:r>
        <w:rPr>
          <w:b/>
          <w:color w:val="000000" w:themeColor="text1"/>
          <w:sz w:val="24"/>
          <w14:textFill>
            <w14:solidFill>
              <w14:schemeClr w14:val="tx1"/>
            </w14:solidFill>
          </w14:textFill>
        </w:rPr>
        <w:t xml:space="preserve">       </w:t>
      </w:r>
      <w:r>
        <w:rPr>
          <w:b/>
          <w:color w:val="000000" w:themeColor="text1"/>
          <w:sz w:val="24"/>
          <w14:textFill>
            <w14:solidFill>
              <w14:schemeClr w14:val="tx1"/>
            </w14:solidFill>
          </w14:textFill>
        </w:rPr>
        <w:t xml:space="preserve">   乙方： </w:t>
      </w:r>
    </w:p>
    <w:p w14:paraId="0CA0C4F3">
      <w:pPr>
        <w:outlineLvl w:val="9"/>
        <w:rPr>
          <w:b/>
          <w:color w:val="000000" w:themeColor="text1"/>
          <w:sz w:val="24"/>
          <w14:textFill>
            <w14:solidFill>
              <w14:schemeClr w14:val="tx1"/>
            </w14:solidFill>
          </w14:textFill>
        </w:rPr>
      </w:pPr>
    </w:p>
    <w:p w14:paraId="1CBCFE35">
      <w:pPr>
        <w:outlineLvl w:val="9"/>
        <w:rPr>
          <w:b/>
          <w:color w:val="000000" w:themeColor="text1"/>
          <w:sz w:val="24"/>
          <w14:textFill>
            <w14:solidFill>
              <w14:schemeClr w14:val="tx1"/>
            </w14:solidFill>
          </w14:textFill>
        </w:rPr>
      </w:pPr>
      <w:r>
        <w:rPr>
          <w:b/>
          <w:color w:val="000000" w:themeColor="text1"/>
          <w:sz w:val="24"/>
          <w14:textFill>
            <w14:solidFill>
              <w14:schemeClr w14:val="tx1"/>
            </w14:solidFill>
          </w14:textFill>
        </w:rPr>
        <w:t>负责人：                                        负责人：</w:t>
      </w:r>
    </w:p>
    <w:p w14:paraId="0B7EEABF">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27441"/>
    <w:rsid w:val="127E14C8"/>
    <w:rsid w:val="13710699"/>
    <w:rsid w:val="181F6915"/>
    <w:rsid w:val="18B51028"/>
    <w:rsid w:val="25E90563"/>
    <w:rsid w:val="378D51F2"/>
    <w:rsid w:val="3B044F66"/>
    <w:rsid w:val="4F820F5D"/>
    <w:rsid w:val="785250C1"/>
    <w:rsid w:val="7F0F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0"/>
    <w:pPr>
      <w:ind w:firstLine="420" w:firstLineChars="200"/>
    </w:pPr>
    <w:rPr>
      <w:szCs w:val="20"/>
    </w:rPr>
  </w:style>
  <w:style w:type="character" w:styleId="6">
    <w:name w:val="Strong"/>
    <w:qFormat/>
    <w:uiPriority w:val="22"/>
    <w:rPr>
      <w:b/>
      <w:bCs/>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2024-11-23T02:06:59Z</dcterms:created>
  <dc:creator>Administrator</dc:creator>
  <cp:lastModifiedBy>important</cp:lastModifiedBy>
  <dcterms:modified xsi:type="dcterms:W3CDTF">2024-11-23T02:07:40Z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A9ABABD8EC724627AB5BA55EEE3BC356_12</vt:lpwstr>
  </property>
</Properties>
</file>