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版本号：250108001</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矢量网络分析仪(二次)</w:t>
      </w:r>
    </w:p>
    <w:p>
      <w:pPr>
        <w:pStyle w:val="null3"/>
        <w:jc w:val="center"/>
        <w:outlineLvl w:val="2"/>
      </w:pPr>
      <w:r>
        <w:rPr>
          <w:sz w:val="28"/>
          <w:b/>
        </w:rPr>
        <w:t>采购项目编号：</w:t>
      </w:r>
      <w:r>
        <w:rPr>
          <w:sz w:val="28"/>
          <w:b/>
        </w:rPr>
        <w:t>DFA-GSYY-GP-20242152.1B1</w:t>
      </w:r>
      <w:r>
        <w:br/>
      </w:r>
      <w:r>
        <w:br/>
      </w:r>
      <w:r>
        <w:br/>
      </w:r>
    </w:p>
    <w:p>
      <w:pPr>
        <w:pStyle w:val="null3"/>
        <w:jc w:val="center"/>
        <w:outlineLvl w:val="2"/>
      </w:pPr>
      <w:r>
        <w:rPr>
          <w:sz w:val="28"/>
          <w:b/>
        </w:rPr>
        <w:t>西安建筑科技大学</w:t>
      </w:r>
    </w:p>
    <w:p>
      <w:pPr>
        <w:pStyle w:val="null3"/>
        <w:jc w:val="center"/>
        <w:outlineLvl w:val="2"/>
      </w:pPr>
      <w:r>
        <w:rPr>
          <w:sz w:val="28"/>
          <w:b/>
        </w:rPr>
        <w:t>北京典方建设工程咨询有限公司</w:t>
      </w:r>
      <w:r>
        <w:rPr>
          <w:sz w:val="28"/>
          <w:b/>
        </w:rPr>
        <w:t>共同编制</w:t>
      </w:r>
    </w:p>
    <w:p>
      <w:pPr>
        <w:pStyle w:val="null3"/>
        <w:jc w:val="center"/>
        <w:outlineLvl w:val="2"/>
      </w:pPr>
      <w:r>
        <w:rPr>
          <w:sz w:val="28"/>
          <w:b/>
        </w:rPr>
        <w:t>2025年01月08日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北京典方建设工程咨询有限公司</w:t>
      </w:r>
      <w:r>
        <w:rPr/>
        <w:t>（以下简称“代理机构”）受</w:t>
      </w:r>
      <w:r>
        <w:rPr/>
        <w:t>西安建筑科技大学</w:t>
      </w:r>
      <w:r>
        <w:rPr/>
        <w:t>委托，拟对</w:t>
      </w:r>
      <w:r>
        <w:rPr/>
        <w:t>矢量网络分析仪(二次)</w:t>
      </w:r>
      <w:r>
        <w:rPr/>
        <w:t>采用竞争性谈判采购方式进行采购，兹邀请供应商参加本项目的竞争性谈判。</w:t>
      </w:r>
    </w:p>
    <w:p>
      <w:pPr>
        <w:pStyle w:val="null3"/>
        <w:outlineLvl w:val="2"/>
      </w:pPr>
      <w:r>
        <w:rPr>
          <w:sz w:val="28"/>
          <w:b/>
        </w:rPr>
        <w:t>一、项目编号：</w:t>
      </w:r>
      <w:r>
        <w:rPr>
          <w:sz w:val="28"/>
          <w:b/>
        </w:rPr>
        <w:t>DFA-GSYY-GP-20242152.1B1</w:t>
      </w:r>
    </w:p>
    <w:p>
      <w:pPr>
        <w:pStyle w:val="null3"/>
        <w:outlineLvl w:val="2"/>
      </w:pPr>
      <w:r>
        <w:rPr>
          <w:sz w:val="28"/>
          <w:b/>
        </w:rPr>
        <w:t>二、项目名称：</w:t>
      </w:r>
      <w:r>
        <w:rPr>
          <w:sz w:val="28"/>
          <w:b/>
        </w:rPr>
        <w:t>矢量网络分析仪(二次)</w:t>
      </w:r>
    </w:p>
    <w:p>
      <w:pPr>
        <w:pStyle w:val="null3"/>
        <w:outlineLvl w:val="2"/>
      </w:pPr>
      <w:r>
        <w:rPr>
          <w:sz w:val="28"/>
          <w:b/>
        </w:rPr>
        <w:t>三、谈判项目简介：</w:t>
      </w:r>
    </w:p>
    <w:p>
      <w:pPr>
        <w:pStyle w:val="null3"/>
        <w:ind w:firstLine="480"/>
      </w:pPr>
      <w:r>
        <w:rPr/>
        <w:t>矢量网络分析仪</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1、法定代表人授权委托书：法定代表人参加谈判的，须提供身份证复印件；法定代表人授权本单位他人参加谈判的，须提供法定代表人授权委托书。</w:t>
      </w:r>
    </w:p>
    <w:p>
      <w:pPr>
        <w:pStyle w:val="null3"/>
      </w:pPr>
      <w:r>
        <w:rPr/>
        <w:t>2、进口授权：本项目矢量网络分析仪已做进口论证，接受进口产品的投标。供应商所投产品为进口产品的，供应商需提供所投产品授权书。国产产品不需要提供，供应商需在项目电子化交易系统中按要求上传相应证明文件并进行电子签章。</w:t>
      </w:r>
    </w:p>
    <w:p>
      <w:pPr>
        <w:pStyle w:val="null3"/>
      </w:pPr>
      <w:r>
        <w:rPr/>
        <w:t>3、是否接受联合体投标：本项目不接受联合体投标。</w:t>
      </w:r>
    </w:p>
    <w:p>
      <w:pPr>
        <w:pStyle w:val="null3"/>
      </w:pPr>
      <w:r>
        <w:rPr/>
        <w:t>4、是否面向中小企业采购：本项目非专门面向中小企业采购。</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西安建筑科技大学</w:t>
      </w:r>
    </w:p>
    <w:p>
      <w:pPr>
        <w:pStyle w:val="null3"/>
      </w:pPr>
      <w:r>
        <w:rPr/>
        <w:t xml:space="preserve"> 地址： </w:t>
      </w:r>
      <w:r>
        <w:rPr/>
        <w:t>西安市雁塔路中段13号</w:t>
      </w:r>
    </w:p>
    <w:p>
      <w:pPr>
        <w:pStyle w:val="null3"/>
      </w:pPr>
      <w:r>
        <w:rPr/>
        <w:t xml:space="preserve"> 邮编： </w:t>
      </w:r>
      <w:r>
        <w:rPr/>
        <w:t>710055</w:t>
      </w:r>
    </w:p>
    <w:p>
      <w:pPr>
        <w:pStyle w:val="null3"/>
      </w:pPr>
      <w:r>
        <w:rPr/>
        <w:t xml:space="preserve"> 联系人： </w:t>
      </w:r>
      <w:r>
        <w:rPr/>
        <w:t>李老师</w:t>
      </w:r>
    </w:p>
    <w:p>
      <w:pPr>
        <w:pStyle w:val="null3"/>
      </w:pPr>
      <w:r>
        <w:rPr/>
        <w:t xml:space="preserve"> 联系电话： </w:t>
      </w:r>
      <w:r>
        <w:rPr/>
        <w:t>029-82201427</w:t>
      </w:r>
    </w:p>
    <w:p>
      <w:pPr>
        <w:pStyle w:val="null3"/>
        <w:outlineLvl w:val="3"/>
      </w:pPr>
      <w:r>
        <w:rPr>
          <w:sz w:val="24"/>
          <w:b/>
        </w:rPr>
        <w:t>代理机构：</w:t>
      </w:r>
      <w:r>
        <w:rPr>
          <w:sz w:val="24"/>
          <w:b/>
        </w:rPr>
        <w:t>北京典方建设工程咨询有限公司</w:t>
      </w:r>
    </w:p>
    <w:p>
      <w:pPr>
        <w:pStyle w:val="null3"/>
      </w:pPr>
      <w:r>
        <w:rPr/>
        <w:t xml:space="preserve"> 地址： </w:t>
      </w:r>
      <w:r>
        <w:rPr/>
        <w:t xml:space="preserve"> 西安市曲江新区南三环辅路以南曲江文创中心7幢1单元1701号</w:t>
      </w:r>
    </w:p>
    <w:p>
      <w:pPr>
        <w:pStyle w:val="null3"/>
      </w:pPr>
      <w:r>
        <w:rPr/>
        <w:t xml:space="preserve"> 邮编： </w:t>
      </w:r>
      <w:r>
        <w:rPr/>
        <w:t>710000</w:t>
      </w:r>
    </w:p>
    <w:p>
      <w:pPr>
        <w:pStyle w:val="null3"/>
      </w:pPr>
      <w:r>
        <w:rPr/>
        <w:t xml:space="preserve"> 联系人： </w:t>
      </w:r>
      <w:r>
        <w:rPr/>
        <w:t>张贝贝</w:t>
      </w:r>
    </w:p>
    <w:p>
      <w:pPr>
        <w:pStyle w:val="null3"/>
      </w:pPr>
      <w:r>
        <w:rPr/>
        <w:t xml:space="preserve"> 联系电话： </w:t>
      </w:r>
      <w:r>
        <w:rPr/>
        <w:t>13279453712</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采购包1：710,000.00元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采购包1保证金金额：6,500.10元</w:t>
            </w:r>
          </w:p>
          <w:p>
            <w:pPr>
              <w:pStyle w:val="null3"/>
            </w:pPr>
            <w:r>
              <w:rPr/>
              <w:t>缴交渠道：电子保函,转账、支票、汇票等（需通过实体账户、户名及开户行信息）</w:t>
            </w:r>
          </w:p>
          <w:p>
            <w:pPr>
              <w:pStyle w:val="null3"/>
            </w:pPr>
            <w:r>
              <w:rPr/>
              <w:t>开户名称：北京典方建设工程咨询有限公司</w:t>
            </w:r>
          </w:p>
          <w:p>
            <w:pPr>
              <w:pStyle w:val="null3"/>
            </w:pPr>
            <w:r>
              <w:rPr/>
              <w:t>开户银行：交通银行北京丰台支行</w:t>
            </w:r>
          </w:p>
          <w:p>
            <w:pPr>
              <w:pStyle w:val="null3"/>
            </w:pPr>
            <w:r>
              <w:rPr/>
              <w:t>银行账号：110061242013006366579</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本采购包履约保证金为合同金额的10.0%</w:t>
            </w:r>
          </w:p>
          <w:p>
            <w:pPr>
              <w:pStyle w:val="null3"/>
            </w:pPr>
            <w:r>
              <w:rPr/>
              <w:t>说明：供应商成交后凭成交通知书向采购人缴纳成交金额的10%作为履约保证金，待合同履约完毕后采购人向成交供应商无息退还</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采购代理服务费的收取参见国家计委颁布的《招标代理服务收费管理暂行办法》（计价格〔2002〕1980号）和（发改办价格〔2003〕857号）收费标准，按照成交金额100万（不含）以下，按照文件标准计费正常收取；100万（含）以上，按照文件标准计费下浮25%收取。此采购代理服务费应计入投标中，但不需要单独开列。此采购代理服务费应计入投标中，但不需要单独开列。2、收款账户如下： 收款单位：北京典方建设工程咨询有限公司； 开户银行：招商银行股份有限公司北京丰台科技园支行；银行账号：532907032510706</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允许。本项目允许采购进口产品，进口产品的清单详见第3章。</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西安建筑科技大学</w:t>
      </w:r>
      <w:r>
        <w:rPr/>
        <w:t>和</w:t>
      </w:r>
      <w:r>
        <w:rPr/>
        <w:t>北京典方建设工程咨询有限公司</w:t>
      </w:r>
      <w:r>
        <w:rPr/>
        <w:t>享有。竞争性谈判文件中供应商参加本次政府采购活动应当具备的条件、技术清单、参数、商务及其他要求由</w:t>
      </w:r>
      <w:r>
        <w:rPr/>
        <w:t>西安建筑科技大学</w:t>
      </w:r>
      <w:r>
        <w:rPr/>
        <w:t>负责解释。除上述竞争性谈判文件内容，其他内容由</w:t>
      </w:r>
      <w:r>
        <w:rPr/>
        <w:t>北京典方建设工程咨询有限公司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西安建筑科技大学</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北京典方建设工程咨询有限公司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根据采购文件及合同约定执行</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北京典方建设工程咨询有限公司</w:t>
      </w:r>
      <w:r>
        <w:rPr/>
        <w:t xml:space="preserve"> 负责答复；供应商对除采购需求外的采购文件的询问、质疑由</w:t>
      </w:r>
      <w:r>
        <w:rPr/>
        <w:t>北京典方建设工程咨询有限公司</w:t>
      </w:r>
      <w:r>
        <w:rPr/>
        <w:t xml:space="preserve"> 负责答复；供应商对采购过程、采购结果的询问、质疑由 </w:t>
      </w:r>
      <w:r>
        <w:rPr/>
        <w:t>北京典方建设工程咨询有限公司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联系人：张贝贝</w:t>
      </w:r>
    </w:p>
    <w:p>
      <w:pPr>
        <w:pStyle w:val="null3"/>
      </w:pPr>
      <w:r>
        <w:rPr/>
        <w:t>联系电话：13279453712</w:t>
      </w:r>
    </w:p>
    <w:p>
      <w:pPr>
        <w:pStyle w:val="null3"/>
      </w:pPr>
      <w:r>
        <w:rPr/>
        <w:t>地址：西安市曲江新区南三环辅路以南曲江文创中心7幢1单元1701号</w:t>
      </w:r>
    </w:p>
    <w:p>
      <w:pPr>
        <w:pStyle w:val="null3"/>
      </w:pPr>
      <w:r>
        <w:rPr/>
        <w:t>邮编：710000</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本项目为 矢量网络分析仪采购项目，共分为1个包，具体内容详见采购文件</w:t>
      </w:r>
    </w:p>
    <w:p>
      <w:pPr>
        <w:pStyle w:val="null3"/>
        <w:outlineLvl w:val="2"/>
      </w:pPr>
      <w:r>
        <w:rPr>
          <w:sz w:val="28"/>
          <w:b/>
        </w:rPr>
        <w:t>3.2采购内容</w:t>
      </w:r>
    </w:p>
    <w:p>
      <w:pPr>
        <w:pStyle w:val="null3"/>
      </w:pPr>
      <w:r>
        <w:rPr/>
        <w:t>采购包1：</w:t>
      </w:r>
    </w:p>
    <w:p>
      <w:pPr>
        <w:pStyle w:val="null3"/>
      </w:pPr>
      <w:r>
        <w:rPr/>
        <w:t>采购包预算金额（元）: 710,000.00</w:t>
      </w:r>
    </w:p>
    <w:p>
      <w:pPr>
        <w:pStyle w:val="null3"/>
      </w:pPr>
      <w:r>
        <w:rPr/>
        <w:t>采购包最高限价（元）: 674,500.00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矢量网络分析仪</w:t>
            </w:r>
          </w:p>
        </w:tc>
        <w:tc>
          <w:tcPr>
            <w:tcW w:type="dxa" w:w="831"/>
          </w:tcPr>
          <w:p>
            <w:pPr>
              <w:pStyle w:val="null3"/>
              <w:jc w:val="right"/>
            </w:pPr>
            <w:r>
              <w:rPr/>
              <w:t>1.00</w:t>
            </w:r>
          </w:p>
        </w:tc>
        <w:tc>
          <w:tcPr>
            <w:tcW w:type="dxa" w:w="831"/>
          </w:tcPr>
          <w:p>
            <w:pPr>
              <w:pStyle w:val="null3"/>
              <w:jc w:val="right"/>
            </w:pPr>
            <w:r>
              <w:rPr/>
              <w:t>710,000.00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是</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标的名称：矢量网络分析仪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2"/>
              <w:gridCol w:w="802"/>
              <w:gridCol w:w="1969"/>
              <w:gridCol w:w="1470"/>
            </w:tblGrid>
            <w:tr>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8"/>
                      <w:b/>
                    </w:rPr>
                    <w:t>序号</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8"/>
                      <w:b/>
                    </w:rPr>
                    <w:t>产品名称</w:t>
                  </w:r>
                </w:p>
              </w:tc>
              <w:tc>
                <w:tcPr>
                  <w:tcW w:type="dxa" w:w="1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8"/>
                      <w:b/>
                    </w:rPr>
                    <w:t>技术标准</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8"/>
                      <w:b/>
                    </w:rPr>
                    <w:t>配置要求</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矢量网络分析仪</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w:t>
                  </w:r>
                  <w:r>
                    <w:rPr>
                      <w:rFonts w:ascii="宋体" w:hAnsi="宋体" w:cs="宋体" w:eastAsia="宋体"/>
                      <w:sz w:val="21"/>
                      <w:color w:val="000000"/>
                    </w:rPr>
                    <w:t>、台式矢量网络分析仪，</w:t>
                  </w:r>
                  <w:r>
                    <w:rPr>
                      <w:rFonts w:ascii="times new roman, times, serif" w:hAnsi="times new roman, times, serif" w:cs="times new roman, times, serif" w:eastAsia="times new roman, times, serif"/>
                      <w:sz w:val="21"/>
                      <w:color w:val="000000"/>
                    </w:rPr>
                    <w:t>2-port</w:t>
                  </w:r>
                  <w:r>
                    <w:rPr>
                      <w:rFonts w:ascii="宋体" w:hAnsi="宋体" w:cs="宋体" w:eastAsia="宋体"/>
                      <w:sz w:val="21"/>
                      <w:color w:val="000000"/>
                    </w:rPr>
                    <w:t>，四个</w:t>
                  </w:r>
                  <w:r>
                    <w:rPr>
                      <w:rFonts w:ascii="times new roman, times, serif" w:hAnsi="times new roman, times, serif" w:cs="times new roman, times, serif" w:eastAsia="times new roman, times, serif"/>
                      <w:sz w:val="21"/>
                      <w:color w:val="000000"/>
                    </w:rPr>
                    <w:t>S</w:t>
                  </w:r>
                  <w:r>
                    <w:rPr>
                      <w:rFonts w:ascii="宋体" w:hAnsi="宋体" w:cs="宋体" w:eastAsia="宋体"/>
                      <w:sz w:val="21"/>
                      <w:color w:val="000000"/>
                    </w:rPr>
                    <w:t>参数同时测试，频率范围</w:t>
                  </w:r>
                  <w:r>
                    <w:rPr>
                      <w:rFonts w:ascii="times new roman, times, serif" w:hAnsi="times new roman, times, serif" w:cs="times new roman, times, serif" w:eastAsia="times new roman, times, serif"/>
                      <w:sz w:val="21"/>
                      <w:color w:val="000000"/>
                    </w:rPr>
                    <w:t>5kHz</w:t>
                  </w:r>
                  <w:r>
                    <w:rPr>
                      <w:rFonts w:ascii="宋体" w:hAnsi="宋体" w:cs="宋体" w:eastAsia="宋体"/>
                      <w:sz w:val="21"/>
                      <w:color w:val="000000"/>
                    </w:rPr>
                    <w:t>至</w:t>
                  </w:r>
                  <w:r>
                    <w:rPr>
                      <w:rFonts w:ascii="times new roman, times, serif" w:hAnsi="times new roman, times, serif" w:cs="times new roman, times, serif" w:eastAsia="times new roman, times, serif"/>
                      <w:sz w:val="21"/>
                      <w:color w:val="000000"/>
                    </w:rPr>
                    <w:t>20GHz</w:t>
                  </w:r>
                  <w:r>
                    <w:rPr>
                      <w:rFonts w:ascii="宋体" w:hAnsi="宋体" w:cs="宋体" w:eastAsia="宋体"/>
                      <w:sz w:val="21"/>
                      <w:color w:val="000000"/>
                    </w:rPr>
                    <w:t>；</w:t>
                  </w:r>
                </w:p>
                <w:p>
                  <w:pPr>
                    <w:pStyle w:val="null3"/>
                    <w:jc w:val="left"/>
                  </w:pPr>
                  <w:r>
                    <w:rPr>
                      <w:rFonts w:ascii="times new roman, times, serif" w:hAnsi="times new roman, times, serif" w:cs="times new roman, times, serif" w:eastAsia="times new roman, times, serif"/>
                      <w:sz w:val="21"/>
                      <w:color w:val="000000"/>
                    </w:rPr>
                    <w:t>2</w:t>
                  </w:r>
                  <w:r>
                    <w:rPr>
                      <w:rFonts w:ascii="宋体" w:hAnsi="宋体" w:cs="宋体" w:eastAsia="宋体"/>
                      <w:sz w:val="21"/>
                      <w:color w:val="000000"/>
                    </w:rPr>
                    <w:t>、轨迹线测量点数≥</w:t>
                  </w:r>
                  <w:r>
                    <w:rPr>
                      <w:rFonts w:ascii="times new roman, times, serif" w:hAnsi="times new roman, times, serif" w:cs="times new roman, times, serif" w:eastAsia="times new roman, times, serif"/>
                      <w:sz w:val="21"/>
                      <w:color w:val="000000"/>
                    </w:rPr>
                    <w:t>100000</w:t>
                  </w:r>
                  <w:r>
                    <w:rPr>
                      <w:rFonts w:ascii="宋体" w:hAnsi="宋体" w:cs="宋体" w:eastAsia="宋体"/>
                      <w:sz w:val="21"/>
                      <w:color w:val="000000"/>
                    </w:rPr>
                    <w:t>个数据点；</w:t>
                  </w:r>
                </w:p>
                <w:p>
                  <w:pPr>
                    <w:pStyle w:val="null3"/>
                    <w:jc w:val="left"/>
                  </w:pPr>
                  <w:r>
                    <w:rPr>
                      <w:rFonts w:ascii="times new roman, times, serif" w:hAnsi="times new roman, times, serif" w:cs="times new roman, times, serif" w:eastAsia="times new roman, times, serif"/>
                      <w:sz w:val="21"/>
                      <w:color w:val="000000"/>
                    </w:rPr>
                    <w:t>3</w:t>
                  </w:r>
                  <w:r>
                    <w:rPr>
                      <w:rFonts w:ascii="宋体" w:hAnsi="宋体" w:cs="宋体" w:eastAsia="宋体"/>
                      <w:sz w:val="21"/>
                      <w:color w:val="000000"/>
                    </w:rPr>
                    <w:t>、中频测量带宽范围</w:t>
                  </w:r>
                  <w:r>
                    <w:rPr>
                      <w:rFonts w:ascii="times new roman, times, serif" w:hAnsi="times new roman, times, serif" w:cs="times new roman, times, serif" w:eastAsia="times new roman, times, serif"/>
                      <w:sz w:val="21"/>
                      <w:color w:val="000000"/>
                    </w:rPr>
                    <w:t>1Hz-500kHz</w:t>
                  </w:r>
                  <w:r>
                    <w:rPr>
                      <w:rFonts w:ascii="宋体" w:hAnsi="宋体" w:cs="宋体" w:eastAsia="宋体"/>
                      <w:sz w:val="21"/>
                      <w:color w:val="000000"/>
                    </w:rPr>
                    <w:t>；</w:t>
                  </w:r>
                </w:p>
                <w:p>
                  <w:pPr>
                    <w:pStyle w:val="null3"/>
                    <w:jc w:val="left"/>
                  </w:pPr>
                  <w:r>
                    <w:rPr>
                      <w:rFonts w:ascii="times new roman, times, serif" w:hAnsi="times new roman, times, serif" w:cs="times new roman, times, serif" w:eastAsia="times new roman, times, serif"/>
                      <w:sz w:val="21"/>
                      <w:color w:val="000000"/>
                    </w:rPr>
                    <w:t>4</w:t>
                  </w:r>
                  <w:r>
                    <w:rPr>
                      <w:rFonts w:ascii="宋体" w:hAnsi="宋体" w:cs="宋体" w:eastAsia="宋体"/>
                      <w:sz w:val="21"/>
                      <w:color w:val="000000"/>
                    </w:rPr>
                    <w:t>、系统动态范围（测量带宽</w:t>
                  </w:r>
                  <w:r>
                    <w:rPr>
                      <w:rFonts w:ascii="times new roman, times, serif" w:hAnsi="times new roman, times, serif" w:cs="times new roman, times, serif" w:eastAsia="times new roman, times, serif"/>
                      <w:sz w:val="21"/>
                      <w:color w:val="000000"/>
                    </w:rPr>
                    <w:t>10 Hz</w:t>
                  </w:r>
                  <w:r>
                    <w:rPr>
                      <w:rFonts w:ascii="宋体" w:hAnsi="宋体" w:cs="宋体" w:eastAsia="宋体"/>
                      <w:sz w:val="21"/>
                      <w:color w:val="000000"/>
                    </w:rPr>
                    <w:t>时）：</w:t>
                  </w:r>
                  <w:r>
                    <w:rPr>
                      <w:rFonts w:ascii="times new roman, times, serif" w:hAnsi="times new roman, times, serif" w:cs="times new roman, times, serif" w:eastAsia="times new roman, times, serif"/>
                      <w:sz w:val="21"/>
                      <w:color w:val="000000"/>
                    </w:rPr>
                    <w:t>5kHz</w:t>
                  </w:r>
                  <w:r>
                    <w:rPr>
                      <w:rFonts w:ascii="宋体" w:hAnsi="宋体" w:cs="宋体" w:eastAsia="宋体"/>
                      <w:sz w:val="21"/>
                      <w:color w:val="000000"/>
                    </w:rPr>
                    <w:t>至</w:t>
                  </w:r>
                  <w:r>
                    <w:rPr>
                      <w:rFonts w:ascii="times new roman, times, serif" w:hAnsi="times new roman, times, serif" w:cs="times new roman, times, serif" w:eastAsia="times new roman, times, serif"/>
                      <w:sz w:val="21"/>
                      <w:color w:val="000000"/>
                    </w:rPr>
                    <w:t>100kHz</w:t>
                  </w:r>
                  <w:r>
                    <w:rPr>
                      <w:rFonts w:ascii="宋体" w:hAnsi="宋体" w:cs="宋体" w:eastAsia="宋体"/>
                      <w:sz w:val="21"/>
                      <w:color w:val="000000"/>
                    </w:rPr>
                    <w:t>时≥</w:t>
                  </w:r>
                  <w:r>
                    <w:rPr>
                      <w:rFonts w:ascii="times new roman, times, serif" w:hAnsi="times new roman, times, serif" w:cs="times new roman, times, serif" w:eastAsia="times new roman, times, serif"/>
                      <w:sz w:val="21"/>
                      <w:color w:val="000000"/>
                    </w:rPr>
                    <w:t>108dB</w:t>
                  </w: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100kHz</w:t>
                  </w:r>
                  <w:r>
                    <w:rPr>
                      <w:rFonts w:ascii="宋体" w:hAnsi="宋体" w:cs="宋体" w:eastAsia="宋体"/>
                      <w:sz w:val="21"/>
                      <w:color w:val="000000"/>
                    </w:rPr>
                    <w:t>至</w:t>
                  </w:r>
                  <w:r>
                    <w:rPr>
                      <w:rFonts w:ascii="times new roman, times, serif" w:hAnsi="times new roman, times, serif" w:cs="times new roman, times, serif" w:eastAsia="times new roman, times, serif"/>
                      <w:sz w:val="21"/>
                      <w:color w:val="000000"/>
                    </w:rPr>
                    <w:t>15GHz</w:t>
                  </w:r>
                  <w:r>
                    <w:rPr>
                      <w:rFonts w:ascii="宋体" w:hAnsi="宋体" w:cs="宋体" w:eastAsia="宋体"/>
                      <w:sz w:val="21"/>
                      <w:color w:val="000000"/>
                    </w:rPr>
                    <w:t>时≥</w:t>
                  </w:r>
                  <w:r>
                    <w:rPr>
                      <w:rFonts w:ascii="times new roman, times, serif" w:hAnsi="times new roman, times, serif" w:cs="times new roman, times, serif" w:eastAsia="times new roman, times, serif"/>
                      <w:sz w:val="21"/>
                      <w:color w:val="000000"/>
                    </w:rPr>
                    <w:t>118dB</w:t>
                  </w: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15GHz</w:t>
                  </w:r>
                  <w:r>
                    <w:rPr>
                      <w:rFonts w:ascii="宋体" w:hAnsi="宋体" w:cs="宋体" w:eastAsia="宋体"/>
                      <w:sz w:val="21"/>
                      <w:color w:val="000000"/>
                    </w:rPr>
                    <w:t>至</w:t>
                  </w:r>
                  <w:r>
                    <w:rPr>
                      <w:rFonts w:ascii="times new roman, times, serif" w:hAnsi="times new roman, times, serif" w:cs="times new roman, times, serif" w:eastAsia="times new roman, times, serif"/>
                      <w:sz w:val="21"/>
                      <w:color w:val="000000"/>
                    </w:rPr>
                    <w:t>20GHz</w:t>
                  </w:r>
                  <w:r>
                    <w:rPr>
                      <w:rFonts w:ascii="宋体" w:hAnsi="宋体" w:cs="宋体" w:eastAsia="宋体"/>
                      <w:sz w:val="21"/>
                      <w:color w:val="000000"/>
                    </w:rPr>
                    <w:t>时≥</w:t>
                  </w:r>
                  <w:r>
                    <w:rPr>
                      <w:rFonts w:ascii="times new roman, times, serif" w:hAnsi="times new roman, times, serif" w:cs="times new roman, times, serif" w:eastAsia="times new roman, times, serif"/>
                      <w:sz w:val="21"/>
                      <w:color w:val="000000"/>
                    </w:rPr>
                    <w:t>115dB</w:t>
                  </w:r>
                  <w:r>
                    <w:rPr>
                      <w:rFonts w:ascii="宋体" w:hAnsi="宋体" w:cs="宋体" w:eastAsia="宋体"/>
                      <w:sz w:val="21"/>
                      <w:color w:val="000000"/>
                    </w:rPr>
                    <w:t>；</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5</w:t>
                  </w:r>
                  <w:r>
                    <w:rPr>
                      <w:rFonts w:ascii="宋体" w:hAnsi="宋体" w:cs="宋体" w:eastAsia="宋体"/>
                      <w:sz w:val="21"/>
                      <w:color w:val="000000"/>
                    </w:rPr>
                    <w:t>、轨迹线噪声优于（频率</w:t>
                  </w:r>
                  <w:r>
                    <w:rPr>
                      <w:rFonts w:ascii="times new roman, times, serif" w:hAnsi="times new roman, times, serif" w:cs="times new roman, times, serif" w:eastAsia="times new roman, times, serif"/>
                      <w:sz w:val="21"/>
                      <w:color w:val="000000"/>
                    </w:rPr>
                    <w:t>1GHz</w:t>
                  </w:r>
                  <w:r>
                    <w:rPr>
                      <w:rFonts w:ascii="宋体" w:hAnsi="宋体" w:cs="宋体" w:eastAsia="宋体"/>
                      <w:sz w:val="21"/>
                      <w:color w:val="000000"/>
                    </w:rPr>
                    <w:t>时）：</w:t>
                  </w:r>
                  <w:r>
                    <w:rPr>
                      <w:rFonts w:ascii="times new roman, times, serif" w:hAnsi="times new roman, times, serif" w:cs="times new roman, times, serif" w:eastAsia="times new roman, times, serif"/>
                      <w:sz w:val="21"/>
                      <w:color w:val="000000"/>
                    </w:rPr>
                    <w:t>0.0005dB@</w:t>
                  </w:r>
                  <w:r>
                    <w:rPr>
                      <w:rFonts w:ascii="宋体" w:hAnsi="宋体" w:cs="宋体" w:eastAsia="宋体"/>
                      <w:sz w:val="21"/>
                      <w:color w:val="000000"/>
                    </w:rPr>
                    <w:t>幅度，</w:t>
                  </w:r>
                  <w:r>
                    <w:rPr>
                      <w:rFonts w:ascii="times new roman, times, serif" w:hAnsi="times new roman, times, serif" w:cs="times new roman, times, serif" w:eastAsia="times new roman, times, serif"/>
                      <w:sz w:val="21"/>
                      <w:color w:val="000000"/>
                    </w:rPr>
                    <w:t>0.005</w:t>
                  </w:r>
                  <w:r>
                    <w:rPr>
                      <w:rFonts w:ascii="宋体" w:hAnsi="宋体" w:cs="宋体" w:eastAsia="宋体"/>
                      <w:sz w:val="21"/>
                      <w:color w:val="000000"/>
                    </w:rPr>
                    <w:t>度</w:t>
                  </w:r>
                  <w:r>
                    <w:rPr>
                      <w:rFonts w:ascii="times new roman, times, serif" w:hAnsi="times new roman, times, serif" w:cs="times new roman, times, serif" w:eastAsia="times new roman, times, serif"/>
                      <w:sz w:val="21"/>
                      <w:color w:val="000000"/>
                    </w:rPr>
                    <w:t>@</w:t>
                  </w:r>
                  <w:r>
                    <w:rPr>
                      <w:rFonts w:ascii="宋体" w:hAnsi="宋体" w:cs="宋体" w:eastAsia="宋体"/>
                      <w:sz w:val="21"/>
                      <w:color w:val="000000"/>
                    </w:rPr>
                    <w:t>相位；</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6</w:t>
                  </w:r>
                  <w:r>
                    <w:rPr>
                      <w:rFonts w:ascii="宋体" w:hAnsi="宋体" w:cs="宋体" w:eastAsia="宋体"/>
                      <w:sz w:val="21"/>
                      <w:color w:val="000000"/>
                    </w:rPr>
                    <w:t>、校准后的有效系统数据</w:t>
                  </w:r>
                  <w:r>
                    <w:rPr>
                      <w:rFonts w:ascii="times new roman, times, serif" w:hAnsi="times new roman, times, serif" w:cs="times new roman, times, serif" w:eastAsia="times new roman, times, serif"/>
                      <w:sz w:val="21"/>
                      <w:color w:val="000000"/>
                    </w:rPr>
                    <w:t>(</w:t>
                  </w:r>
                  <w:r>
                    <w:rPr>
                      <w:rFonts w:ascii="宋体" w:hAnsi="宋体" w:cs="宋体" w:eastAsia="宋体"/>
                      <w:sz w:val="21"/>
                      <w:color w:val="000000"/>
                    </w:rPr>
                    <w:t>全频段</w:t>
                  </w:r>
                  <w:r>
                    <w:rPr>
                      <w:rFonts w:ascii="times new roman, times, serif" w:hAnsi="times new roman, times, serif" w:cs="times new roman, times, serif" w:eastAsia="times new roman, times, serif"/>
                      <w:sz w:val="21"/>
                      <w:color w:val="000000"/>
                    </w:rPr>
                    <w:t>)</w:t>
                  </w:r>
                  <w:r>
                    <w:rPr>
                      <w:rFonts w:ascii="宋体" w:hAnsi="宋体" w:cs="宋体" w:eastAsia="宋体"/>
                      <w:sz w:val="21"/>
                      <w:color w:val="000000"/>
                    </w:rPr>
                    <w:t>：有效方向性≥</w:t>
                  </w:r>
                  <w:r>
                    <w:rPr>
                      <w:rFonts w:ascii="times new roman, times, serif" w:hAnsi="times new roman, times, serif" w:cs="times new roman, times, serif" w:eastAsia="times new roman, times, serif"/>
                      <w:sz w:val="21"/>
                      <w:color w:val="000000"/>
                    </w:rPr>
                    <w:t>40dB</w:t>
                  </w:r>
                  <w:r>
                    <w:rPr>
                      <w:rFonts w:ascii="宋体" w:hAnsi="宋体" w:cs="宋体" w:eastAsia="宋体"/>
                      <w:sz w:val="21"/>
                      <w:color w:val="000000"/>
                    </w:rPr>
                    <w:t>，有效源匹配≥</w:t>
                  </w:r>
                  <w:r>
                    <w:rPr>
                      <w:rFonts w:ascii="times new roman, times, serif" w:hAnsi="times new roman, times, serif" w:cs="times new roman, times, serif" w:eastAsia="times new roman, times, serif"/>
                      <w:sz w:val="21"/>
                      <w:color w:val="000000"/>
                    </w:rPr>
                    <w:t>35dB</w:t>
                  </w:r>
                  <w:r>
                    <w:rPr>
                      <w:rFonts w:ascii="宋体" w:hAnsi="宋体" w:cs="宋体" w:eastAsia="宋体"/>
                      <w:sz w:val="21"/>
                      <w:color w:val="000000"/>
                    </w:rPr>
                    <w:t>，有效负载匹配≥</w:t>
                  </w:r>
                  <w:r>
                    <w:rPr>
                      <w:rFonts w:ascii="times new roman, times, serif" w:hAnsi="times new roman, times, serif" w:cs="times new roman, times, serif" w:eastAsia="times new roman, times, serif"/>
                      <w:sz w:val="21"/>
                      <w:color w:val="000000"/>
                    </w:rPr>
                    <w:t>36dB</w:t>
                  </w:r>
                  <w:r>
                    <w:rPr>
                      <w:rFonts w:ascii="宋体" w:hAnsi="宋体" w:cs="宋体" w:eastAsia="宋体"/>
                      <w:sz w:val="21"/>
                      <w:color w:val="000000"/>
                    </w:rPr>
                    <w:t>；</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7</w:t>
                  </w:r>
                  <w:r>
                    <w:rPr>
                      <w:rFonts w:ascii="宋体" w:hAnsi="宋体" w:cs="宋体" w:eastAsia="宋体"/>
                      <w:sz w:val="21"/>
                      <w:color w:val="000000"/>
                    </w:rPr>
                    <w:t>、初始系统误差</w:t>
                  </w:r>
                  <w:r>
                    <w:rPr>
                      <w:rFonts w:ascii="times new roman, times, serif" w:hAnsi="times new roman, times, serif" w:cs="times new roman, times, serif" w:eastAsia="times new roman, times, serif"/>
                      <w:sz w:val="21"/>
                      <w:color w:val="000000"/>
                    </w:rPr>
                    <w:t>(</w:t>
                  </w:r>
                  <w:r>
                    <w:rPr>
                      <w:rFonts w:ascii="宋体" w:hAnsi="宋体" w:cs="宋体" w:eastAsia="宋体"/>
                      <w:sz w:val="21"/>
                      <w:color w:val="000000"/>
                    </w:rPr>
                    <w:t>全频段</w:t>
                  </w:r>
                  <w:r>
                    <w:rPr>
                      <w:rFonts w:ascii="times new roman, times, serif" w:hAnsi="times new roman, times, serif" w:cs="times new roman, times, serif" w:eastAsia="times new roman, times, serif"/>
                      <w:sz w:val="21"/>
                      <w:color w:val="000000"/>
                    </w:rPr>
                    <w:t>100MHz</w:t>
                  </w:r>
                  <w:r>
                    <w:rPr>
                      <w:rFonts w:ascii="宋体" w:hAnsi="宋体" w:cs="宋体" w:eastAsia="宋体"/>
                      <w:sz w:val="21"/>
                      <w:color w:val="000000"/>
                    </w:rPr>
                    <w:t>至</w:t>
                  </w:r>
                  <w:r>
                    <w:rPr>
                      <w:rFonts w:ascii="times new roman, times, serif" w:hAnsi="times new roman, times, serif" w:cs="times new roman, times, serif" w:eastAsia="times new roman, times, serif"/>
                      <w:sz w:val="21"/>
                      <w:color w:val="000000"/>
                    </w:rPr>
                    <w:t>20GHz)</w:t>
                  </w:r>
                  <w:r>
                    <w:rPr>
                      <w:rFonts w:ascii="宋体" w:hAnsi="宋体" w:cs="宋体" w:eastAsia="宋体"/>
                      <w:sz w:val="21"/>
                      <w:color w:val="000000"/>
                    </w:rPr>
                    <w:t>：方向性≥</w:t>
                  </w:r>
                  <w:r>
                    <w:rPr>
                      <w:rFonts w:ascii="times new roman, times, serif" w:hAnsi="times new roman, times, serif" w:cs="times new roman, times, serif" w:eastAsia="times new roman, times, serif"/>
                      <w:sz w:val="21"/>
                      <w:color w:val="000000"/>
                    </w:rPr>
                    <w:t>30dB</w:t>
                  </w:r>
                  <w:r>
                    <w:rPr>
                      <w:rFonts w:ascii="宋体" w:hAnsi="宋体" w:cs="宋体" w:eastAsia="宋体"/>
                      <w:sz w:val="21"/>
                      <w:color w:val="000000"/>
                    </w:rPr>
                    <w:t>，源匹配≥</w:t>
                  </w:r>
                  <w:r>
                    <w:rPr>
                      <w:rFonts w:ascii="times new roman, times, serif" w:hAnsi="times new roman, times, serif" w:cs="times new roman, times, serif" w:eastAsia="times new roman, times, serif"/>
                      <w:sz w:val="21"/>
                      <w:color w:val="000000"/>
                    </w:rPr>
                    <w:t>30dB</w:t>
                  </w:r>
                  <w:r>
                    <w:rPr>
                      <w:rFonts w:ascii="宋体" w:hAnsi="宋体" w:cs="宋体" w:eastAsia="宋体"/>
                      <w:sz w:val="21"/>
                      <w:color w:val="000000"/>
                    </w:rPr>
                    <w:t>，负载匹配≥</w:t>
                  </w:r>
                  <w:r>
                    <w:rPr>
                      <w:rFonts w:ascii="times new roman, times, serif" w:hAnsi="times new roman, times, serif" w:cs="times new roman, times, serif" w:eastAsia="times new roman, times, serif"/>
                      <w:sz w:val="21"/>
                      <w:color w:val="000000"/>
                    </w:rPr>
                    <w:t>15dB</w:t>
                  </w:r>
                  <w:r>
                    <w:rPr>
                      <w:rFonts w:ascii="宋体" w:hAnsi="宋体" w:cs="宋体" w:eastAsia="宋体"/>
                      <w:sz w:val="21"/>
                      <w:color w:val="000000"/>
                    </w:rPr>
                    <w:t>；</w:t>
                  </w:r>
                </w:p>
                <w:p>
                  <w:pPr>
                    <w:pStyle w:val="null3"/>
                    <w:jc w:val="left"/>
                  </w:pPr>
                  <w:r>
                    <w:rPr>
                      <w:rFonts w:ascii="times new roman, times, serif" w:hAnsi="times new roman, times, serif" w:cs="times new roman, times, serif" w:eastAsia="times new roman, times, serif"/>
                      <w:sz w:val="21"/>
                      <w:color w:val="000000"/>
                    </w:rPr>
                    <w:t>8</w:t>
                  </w:r>
                  <w:r>
                    <w:rPr>
                      <w:rFonts w:ascii="宋体" w:hAnsi="宋体" w:cs="宋体" w:eastAsia="宋体"/>
                      <w:sz w:val="21"/>
                      <w:color w:val="000000"/>
                    </w:rPr>
                    <w:t>、输出功率范围</w:t>
                  </w:r>
                  <w:r>
                    <w:rPr>
                      <w:rFonts w:ascii="times new roman, times, serif" w:hAnsi="times new roman, times, serif" w:cs="times new roman, times, serif" w:eastAsia="times new roman, times, serif"/>
                      <w:sz w:val="21"/>
                      <w:color w:val="000000"/>
                    </w:rPr>
                    <w:t>-10 dBm</w:t>
                  </w:r>
                  <w:r>
                    <w:rPr>
                      <w:rFonts w:ascii="宋体" w:hAnsi="宋体" w:cs="宋体" w:eastAsia="宋体"/>
                      <w:sz w:val="21"/>
                      <w:color w:val="000000"/>
                    </w:rPr>
                    <w:t>至</w:t>
                  </w:r>
                  <w:r>
                    <w:rPr>
                      <w:rFonts w:ascii="times new roman, times, serif" w:hAnsi="times new roman, times, serif" w:cs="times new roman, times, serif" w:eastAsia="times new roman, times, serif"/>
                      <w:sz w:val="21"/>
                      <w:color w:val="000000"/>
                    </w:rPr>
                    <w:t>+3 dBm</w:t>
                  </w:r>
                  <w:r>
                    <w:rPr>
                      <w:rFonts w:ascii="宋体" w:hAnsi="宋体" w:cs="宋体" w:eastAsia="宋体"/>
                      <w:sz w:val="21"/>
                      <w:color w:val="000000"/>
                    </w:rPr>
                    <w:t>可调，接收机本底噪声≤</w:t>
                  </w:r>
                  <w:r>
                    <w:rPr>
                      <w:rFonts w:ascii="times new roman, times, serif" w:hAnsi="times new roman, times, serif" w:cs="times new roman, times, serif" w:eastAsia="times new roman, times, serif"/>
                      <w:sz w:val="21"/>
                      <w:color w:val="000000"/>
                    </w:rPr>
                    <w:t>-135 dBm</w:t>
                  </w:r>
                  <w:r>
                    <w:rPr>
                      <w:rFonts w:ascii="宋体" w:hAnsi="宋体" w:cs="宋体" w:eastAsia="宋体"/>
                      <w:sz w:val="21"/>
                      <w:color w:val="000000"/>
                    </w:rPr>
                    <w:t>；</w:t>
                  </w:r>
                </w:p>
                <w:p>
                  <w:pPr>
                    <w:pStyle w:val="null3"/>
                    <w:jc w:val="left"/>
                  </w:pPr>
                  <w:r>
                    <w:rPr>
                      <w:rFonts w:ascii="times new roman, times, serif" w:hAnsi="times new roman, times, serif" w:cs="times new roman, times, serif" w:eastAsia="times new roman, times, serif"/>
                      <w:sz w:val="21"/>
                      <w:color w:val="000000"/>
                    </w:rPr>
                    <w:t>9</w:t>
                  </w:r>
                  <w:r>
                    <w:rPr>
                      <w:rFonts w:ascii="宋体" w:hAnsi="宋体" w:cs="宋体" w:eastAsia="宋体"/>
                      <w:sz w:val="21"/>
                      <w:color w:val="000000"/>
                    </w:rPr>
                    <w:t>、功率分辨率≤</w:t>
                  </w:r>
                  <w:r>
                    <w:rPr>
                      <w:rFonts w:ascii="times new roman, times, serif" w:hAnsi="times new roman, times, serif" w:cs="times new roman, times, serif" w:eastAsia="times new roman, times, serif"/>
                      <w:sz w:val="21"/>
                      <w:color w:val="000000"/>
                    </w:rPr>
                    <w:t>0.01dB</w:t>
                  </w:r>
                  <w:r>
                    <w:rPr>
                      <w:rFonts w:ascii="宋体" w:hAnsi="宋体" w:cs="宋体" w:eastAsia="宋体"/>
                      <w:sz w:val="21"/>
                      <w:color w:val="000000"/>
                    </w:rPr>
                    <w:t>；</w:t>
                  </w:r>
                </w:p>
                <w:p>
                  <w:pPr>
                    <w:pStyle w:val="null3"/>
                    <w:jc w:val="left"/>
                  </w:pPr>
                  <w:r>
                    <w:rPr>
                      <w:rFonts w:ascii="times new roman, times, serif" w:hAnsi="times new roman, times, serif" w:cs="times new roman, times, serif" w:eastAsia="times new roman, times, serif"/>
                      <w:sz w:val="21"/>
                      <w:color w:val="000000"/>
                    </w:rPr>
                    <w:t>10</w:t>
                  </w:r>
                  <w:r>
                    <w:rPr>
                      <w:rFonts w:ascii="宋体" w:hAnsi="宋体" w:cs="宋体" w:eastAsia="宋体"/>
                      <w:sz w:val="21"/>
                      <w:color w:val="000000"/>
                    </w:rPr>
                    <w:t>、谐波失真：≤</w:t>
                  </w:r>
                  <w:r>
                    <w:rPr>
                      <w:rFonts w:ascii="times new roman, times, serif" w:hAnsi="times new roman, times, serif" w:cs="times new roman, times, serif" w:eastAsia="times new roman, times, serif"/>
                      <w:sz w:val="21"/>
                      <w:color w:val="000000"/>
                    </w:rPr>
                    <w:t>-35dBc@</w:t>
                  </w:r>
                  <w:r>
                    <w:rPr>
                      <w:rFonts w:ascii="宋体" w:hAnsi="宋体" w:cs="宋体" w:eastAsia="宋体"/>
                      <w:sz w:val="21"/>
                      <w:color w:val="000000"/>
                    </w:rPr>
                    <w:t>二次谐波，≤</w:t>
                  </w:r>
                  <w:r>
                    <w:rPr>
                      <w:rFonts w:ascii="times new roman, times, serif" w:hAnsi="times new roman, times, serif" w:cs="times new roman, times, serif" w:eastAsia="times new roman, times, serif"/>
                      <w:sz w:val="21"/>
                      <w:color w:val="000000"/>
                    </w:rPr>
                    <w:t>-40dBc@</w:t>
                  </w:r>
                  <w:r>
                    <w:rPr>
                      <w:rFonts w:ascii="宋体" w:hAnsi="宋体" w:cs="宋体" w:eastAsia="宋体"/>
                      <w:sz w:val="21"/>
                      <w:color w:val="000000"/>
                    </w:rPr>
                    <w:t>三次谐波；</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11</w:t>
                  </w:r>
                  <w:r>
                    <w:rPr>
                      <w:rFonts w:ascii="宋体" w:hAnsi="宋体" w:cs="宋体" w:eastAsia="宋体"/>
                      <w:sz w:val="21"/>
                      <w:color w:val="000000"/>
                    </w:rPr>
                    <w:t>、支持</w:t>
                  </w:r>
                  <w:r>
                    <w:rPr>
                      <w:rFonts w:ascii="times new roman, times, serif" w:hAnsi="times new roman, times, serif" w:cs="times new roman, times, serif" w:eastAsia="times new roman, times, serif"/>
                      <w:sz w:val="21"/>
                      <w:color w:val="000000"/>
                    </w:rPr>
                    <w:t>5kHz</w:t>
                  </w:r>
                  <w:r>
                    <w:rPr>
                      <w:rFonts w:ascii="宋体" w:hAnsi="宋体" w:cs="宋体" w:eastAsia="宋体"/>
                      <w:sz w:val="21"/>
                      <w:color w:val="000000"/>
                    </w:rPr>
                    <w:t>至</w:t>
                  </w:r>
                  <w:r>
                    <w:rPr>
                      <w:rFonts w:ascii="times new roman, times, serif" w:hAnsi="times new roman, times, serif" w:cs="times new roman, times, serif" w:eastAsia="times new roman, times, serif"/>
                      <w:sz w:val="21"/>
                      <w:color w:val="000000"/>
                    </w:rPr>
                    <w:t>20GHz</w:t>
                  </w:r>
                  <w:r>
                    <w:rPr>
                      <w:rFonts w:ascii="宋体" w:hAnsi="宋体" w:cs="宋体" w:eastAsia="宋体"/>
                      <w:sz w:val="21"/>
                      <w:color w:val="000000"/>
                    </w:rPr>
                    <w:t>频段内频谱分析仪功能扩展；</w:t>
                  </w:r>
                </w:p>
                <w:p>
                  <w:pPr>
                    <w:pStyle w:val="null3"/>
                    <w:jc w:val="left"/>
                  </w:pPr>
                  <w:r>
                    <w:rPr>
                      <w:rFonts w:ascii="times new roman, times, serif" w:hAnsi="times new roman, times, serif" w:cs="times new roman, times, serif" w:eastAsia="times new roman, times, serif"/>
                      <w:sz w:val="21"/>
                      <w:color w:val="000000"/>
                    </w:rPr>
                    <w:t>12</w:t>
                  </w:r>
                  <w:r>
                    <w:rPr>
                      <w:rFonts w:ascii="宋体" w:hAnsi="宋体" w:cs="宋体" w:eastAsia="宋体"/>
                      <w:sz w:val="21"/>
                      <w:color w:val="000000"/>
                    </w:rPr>
                    <w:t>、材料测量软件</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12.1</w:t>
                  </w:r>
                  <w:r>
                    <w:rPr>
                      <w:rFonts w:ascii="宋体" w:hAnsi="宋体" w:cs="宋体" w:eastAsia="宋体"/>
                      <w:sz w:val="21"/>
                      <w:color w:val="000000"/>
                    </w:rPr>
                    <w:t>、软件基于传输反射法满足同轴和波导为传输线进行材料测试要求，获取被测材料的复介电常数、复磁导率等电磁参数，全面表征材料透波、吸波和屏蔽性能等电磁特性的评估；</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12.2</w:t>
                  </w:r>
                  <w:r>
                    <w:rPr>
                      <w:rFonts w:ascii="宋体" w:hAnsi="宋体" w:cs="宋体" w:eastAsia="宋体"/>
                      <w:sz w:val="21"/>
                      <w:color w:val="000000"/>
                    </w:rPr>
                    <w:t>、系统软件计算方法包含且不限于传输反射计算法和四参数迭代计算方法，符合国标</w:t>
                  </w:r>
                  <w:r>
                    <w:rPr>
                      <w:rFonts w:ascii="times new roman, times, serif" w:hAnsi="times new roman, times, serif" w:cs="times new roman, times, serif" w:eastAsia="times new roman, times, serif"/>
                      <w:sz w:val="21"/>
                      <w:color w:val="000000"/>
                    </w:rPr>
                    <w:t>GB/T 35679-2017</w:t>
                  </w:r>
                  <w:r>
                    <w:rPr>
                      <w:rFonts w:ascii="宋体" w:hAnsi="宋体" w:cs="宋体" w:eastAsia="宋体"/>
                      <w:sz w:val="21"/>
                      <w:color w:val="000000"/>
                    </w:rPr>
                    <w:t>；具有开放式数据处理功能，用户可直接导入</w:t>
                  </w:r>
                  <w:r>
                    <w:rPr>
                      <w:rFonts w:ascii="times new roman, times, serif" w:hAnsi="times new roman, times, serif" w:cs="times new roman, times, serif" w:eastAsia="times new roman, times, serif"/>
                      <w:sz w:val="21"/>
                      <w:color w:val="000000"/>
                    </w:rPr>
                    <w:t>S</w:t>
                  </w:r>
                  <w:r>
                    <w:rPr>
                      <w:rFonts w:ascii="宋体" w:hAnsi="宋体" w:cs="宋体" w:eastAsia="宋体"/>
                      <w:sz w:val="21"/>
                      <w:color w:val="000000"/>
                    </w:rPr>
                    <w:t>参数和自定义测量设置进行计算，测量结果包含且不限于复介电常数、复磁导率和屏蔽性能、反射损耗等电磁性能；软件具备包含且不限于固态、粉态样品测试功能；</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12.3</w:t>
                  </w:r>
                  <w:r>
                    <w:rPr>
                      <w:rFonts w:ascii="宋体" w:hAnsi="宋体" w:cs="宋体" w:eastAsia="宋体"/>
                      <w:sz w:val="21"/>
                      <w:color w:val="000000"/>
                    </w:rPr>
                    <w:t>、软件可实现测量的参数：复介电常数，复磁导率，反射损耗，导电率，屏蔽性能等；</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12.4</w:t>
                  </w:r>
                  <w:r>
                    <w:rPr>
                      <w:rFonts w:ascii="宋体" w:hAnsi="宋体" w:cs="宋体" w:eastAsia="宋体"/>
                      <w:sz w:val="21"/>
                      <w:color w:val="000000"/>
                    </w:rPr>
                    <w:t>、软件支持开放式参数设定，用户可调整计算时需要的参数；</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12.5</w:t>
                  </w:r>
                  <w:r>
                    <w:rPr>
                      <w:rFonts w:ascii="宋体" w:hAnsi="宋体" w:cs="宋体" w:eastAsia="宋体"/>
                      <w:sz w:val="21"/>
                      <w:color w:val="000000"/>
                    </w:rPr>
                    <w:t>、软件支持开放式数据处理，用户可直接调用历史测量结果进行计算，得到复介电和复磁导率等电磁参数；</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12.6</w:t>
                  </w:r>
                  <w:r>
                    <w:rPr>
                      <w:rFonts w:ascii="宋体" w:hAnsi="宋体" w:cs="宋体" w:eastAsia="宋体"/>
                      <w:sz w:val="21"/>
                      <w:color w:val="000000"/>
                    </w:rPr>
                    <w:t>、软件支持模块化设计，保证运行的稳定和可维护性；</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12.7</w:t>
                  </w:r>
                  <w:r>
                    <w:rPr>
                      <w:rFonts w:ascii="宋体" w:hAnsi="宋体" w:cs="宋体" w:eastAsia="宋体"/>
                      <w:sz w:val="21"/>
                      <w:color w:val="000000"/>
                    </w:rPr>
                    <w:t>、软件兼容性：支持主流的网络分析仪（至少</w:t>
                  </w:r>
                  <w:r>
                    <w:rPr>
                      <w:rFonts w:ascii="times new roman, times, serif" w:hAnsi="times new roman, times, serif" w:cs="times new roman, times, serif" w:eastAsia="times new roman, times, serif"/>
                      <w:sz w:val="21"/>
                      <w:color w:val="000000"/>
                    </w:rPr>
                    <w:t>3</w:t>
                  </w:r>
                  <w:r>
                    <w:rPr>
                      <w:rFonts w:ascii="宋体" w:hAnsi="宋体" w:cs="宋体" w:eastAsia="宋体"/>
                      <w:sz w:val="21"/>
                      <w:color w:val="000000"/>
                    </w:rPr>
                    <w:t>家）；</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12.8</w:t>
                  </w:r>
                  <w:r>
                    <w:rPr>
                      <w:rFonts w:ascii="宋体" w:hAnsi="宋体" w:cs="宋体" w:eastAsia="宋体"/>
                      <w:sz w:val="21"/>
                      <w:color w:val="000000"/>
                    </w:rPr>
                    <w:t>、软件扩展性：后续根据需求，进行模块化升级（电磁其他性能）；</w:t>
                  </w:r>
                </w:p>
                <w:p>
                  <w:pPr>
                    <w:pStyle w:val="null3"/>
                    <w:jc w:val="left"/>
                  </w:pPr>
                  <w:r>
                    <w:rPr>
                      <w:rFonts w:ascii="times new roman, times, serif" w:hAnsi="times new roman, times, serif" w:cs="times new roman, times, serif" w:eastAsia="times new roman, times, serif"/>
                      <w:sz w:val="21"/>
                      <w:color w:val="000000"/>
                    </w:rPr>
                    <w:t>13</w:t>
                  </w:r>
                  <w:r>
                    <w:rPr>
                      <w:rFonts w:ascii="宋体" w:hAnsi="宋体" w:cs="宋体" w:eastAsia="宋体"/>
                      <w:sz w:val="21"/>
                      <w:color w:val="000000"/>
                    </w:rPr>
                    <w:t>、材料测量硬件（夹具部分）</w:t>
                  </w:r>
                  <w:r>
                    <w:rPr>
                      <w:rFonts w:ascii="times new roman, times, serif" w:hAnsi="times new roman, times, serif" w:cs="times new roman, times, serif" w:eastAsia="times new roman, times, serif"/>
                      <w:sz w:val="21"/>
                      <w:color w:val="000000"/>
                    </w:rPr>
                    <w:t>-</w:t>
                  </w:r>
                  <w:r>
                    <w:rPr>
                      <w:rFonts w:ascii="宋体" w:hAnsi="宋体" w:cs="宋体" w:eastAsia="宋体"/>
                      <w:sz w:val="21"/>
                      <w:color w:val="000000"/>
                    </w:rPr>
                    <w:t>同轴部分</w:t>
                  </w:r>
                </w:p>
                <w:p>
                  <w:pPr>
                    <w:pStyle w:val="null3"/>
                    <w:jc w:val="left"/>
                  </w:pPr>
                  <w:r>
                    <w:rPr>
                      <w:rFonts w:ascii="times new roman, times, serif" w:hAnsi="times new roman, times, serif" w:cs="times new roman, times, serif" w:eastAsia="times new roman, times, serif"/>
                      <w:sz w:val="21"/>
                      <w:color w:val="000000"/>
                    </w:rPr>
                    <w:t>13.1</w:t>
                  </w:r>
                  <w:r>
                    <w:rPr>
                      <w:rFonts w:ascii="宋体" w:hAnsi="宋体" w:cs="宋体" w:eastAsia="宋体"/>
                      <w:sz w:val="21"/>
                      <w:color w:val="000000"/>
                    </w:rPr>
                    <w:t>、频率范围：</w:t>
                  </w:r>
                  <w:r>
                    <w:rPr>
                      <w:rFonts w:ascii="times new roman, times, serif" w:hAnsi="times new roman, times, serif" w:cs="times new roman, times, serif" w:eastAsia="times new roman, times, serif"/>
                      <w:sz w:val="21"/>
                      <w:color w:val="000000"/>
                    </w:rPr>
                    <w:t>DC~18GHz</w:t>
                  </w:r>
                  <w:r>
                    <w:rPr>
                      <w:rFonts w:ascii="宋体" w:hAnsi="宋体" w:cs="宋体" w:eastAsia="宋体"/>
                      <w:sz w:val="21"/>
                      <w:color w:val="000000"/>
                    </w:rPr>
                    <w:t>；</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13.2</w:t>
                  </w:r>
                  <w:r>
                    <w:rPr>
                      <w:rFonts w:ascii="宋体" w:hAnsi="宋体" w:cs="宋体" w:eastAsia="宋体"/>
                      <w:sz w:val="21"/>
                      <w:color w:val="000000"/>
                    </w:rPr>
                    <w:t>、同轴空气线配置：包含不少于</w:t>
                  </w:r>
                  <w:r>
                    <w:rPr>
                      <w:rFonts w:ascii="times new roman, times, serif" w:hAnsi="times new roman, times, serif" w:cs="times new roman, times, serif" w:eastAsia="times new roman, times, serif"/>
                      <w:sz w:val="21"/>
                      <w:color w:val="000000"/>
                    </w:rPr>
                    <w:t>6cm/10cm</w:t>
                  </w:r>
                  <w:r>
                    <w:rPr>
                      <w:rFonts w:ascii="宋体" w:hAnsi="宋体" w:cs="宋体" w:eastAsia="宋体"/>
                      <w:sz w:val="21"/>
                      <w:color w:val="000000"/>
                    </w:rPr>
                    <w:t>两根空气线；</w:t>
                  </w:r>
                </w:p>
                <w:p>
                  <w:pPr>
                    <w:pStyle w:val="null3"/>
                    <w:jc w:val="left"/>
                  </w:pP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13.3</w:t>
                  </w:r>
                  <w:r>
                    <w:rPr>
                      <w:rFonts w:ascii="宋体" w:hAnsi="宋体" w:cs="宋体" w:eastAsia="宋体"/>
                      <w:sz w:val="21"/>
                      <w:color w:val="000000"/>
                    </w:rPr>
                    <w:t>、采用</w:t>
                  </w:r>
                  <w:r>
                    <w:rPr>
                      <w:rFonts w:ascii="times new roman, times, serif" w:hAnsi="times new roman, times, serif" w:cs="times new roman, times, serif" w:eastAsia="times new roman, times, serif"/>
                      <w:sz w:val="21"/>
                      <w:color w:val="000000"/>
                    </w:rPr>
                    <w:t>TRL</w:t>
                  </w:r>
                  <w:r>
                    <w:rPr>
                      <w:rFonts w:ascii="宋体" w:hAnsi="宋体" w:cs="宋体" w:eastAsia="宋体"/>
                      <w:sz w:val="21"/>
                      <w:color w:val="000000"/>
                    </w:rPr>
                    <w:t>校准，支持</w:t>
                  </w:r>
                  <w:r>
                    <w:rPr>
                      <w:rFonts w:ascii="times new roman, times, serif" w:hAnsi="times new roman, times, serif" w:cs="times new roman, times, serif" w:eastAsia="times new roman, times, serif"/>
                      <w:sz w:val="21"/>
                      <w:color w:val="000000"/>
                    </w:rPr>
                    <w:t>LRL/TRM</w:t>
                  </w:r>
                  <w:r>
                    <w:rPr>
                      <w:rFonts w:ascii="宋体" w:hAnsi="宋体" w:cs="宋体" w:eastAsia="宋体"/>
                      <w:sz w:val="21"/>
                      <w:color w:val="000000"/>
                    </w:rPr>
                    <w:t>校准（要求配备</w:t>
                  </w:r>
                  <w:r>
                    <w:rPr>
                      <w:rFonts w:ascii="times new roman, times, serif" w:hAnsi="times new roman, times, serif" w:cs="times new roman, times, serif" w:eastAsia="times new roman, times, serif"/>
                      <w:sz w:val="21"/>
                      <w:color w:val="000000"/>
                    </w:rPr>
                    <w:t xml:space="preserve">7mm </w:t>
                  </w:r>
                  <w:r>
                    <w:rPr>
                      <w:rFonts w:ascii="宋体" w:hAnsi="宋体" w:cs="宋体" w:eastAsia="宋体"/>
                      <w:sz w:val="21"/>
                      <w:color w:val="000000"/>
                    </w:rPr>
                    <w:t>精密</w:t>
                  </w:r>
                  <w:r>
                    <w:rPr>
                      <w:rFonts w:ascii="times new roman, times, serif" w:hAnsi="times new roman, times, serif" w:cs="times new roman, times, serif" w:eastAsia="times new roman, times, serif"/>
                      <w:sz w:val="21"/>
                      <w:color w:val="000000"/>
                    </w:rPr>
                    <w:t>TRL/TRM/LRL</w:t>
                  </w:r>
                  <w:r>
                    <w:rPr>
                      <w:rFonts w:ascii="宋体" w:hAnsi="宋体" w:cs="宋体" w:eastAsia="宋体"/>
                      <w:sz w:val="21"/>
                      <w:color w:val="000000"/>
                    </w:rPr>
                    <w:t>校准件</w:t>
                  </w:r>
                  <w:r>
                    <w:rPr>
                      <w:rFonts w:ascii="times new roman, times, serif" w:hAnsi="times new roman, times, serif" w:cs="times new roman, times, serif" w:eastAsia="times new roman, times, serif"/>
                      <w:sz w:val="21"/>
                      <w:color w:val="000000"/>
                    </w:rPr>
                    <w:t>1</w:t>
                  </w:r>
                  <w:r>
                    <w:rPr>
                      <w:rFonts w:ascii="宋体" w:hAnsi="宋体" w:cs="宋体" w:eastAsia="宋体"/>
                      <w:sz w:val="21"/>
                      <w:color w:val="000000"/>
                    </w:rPr>
                    <w:t>套）；</w:t>
                  </w:r>
                </w:p>
                <w:p>
                  <w:pPr>
                    <w:pStyle w:val="null3"/>
                    <w:jc w:val="left"/>
                  </w:pPr>
                  <w:r>
                    <w:rPr>
                      <w:rFonts w:ascii="times new roman, times, serif" w:hAnsi="times new roman, times, serif" w:cs="times new roman, times, serif" w:eastAsia="times new roman, times, serif"/>
                      <w:sz w:val="21"/>
                      <w:color w:val="000000"/>
                    </w:rPr>
                    <w:t>13.4</w:t>
                  </w:r>
                  <w:r>
                    <w:rPr>
                      <w:rFonts w:ascii="宋体" w:hAnsi="宋体" w:cs="宋体" w:eastAsia="宋体"/>
                      <w:sz w:val="21"/>
                      <w:color w:val="000000"/>
                    </w:rPr>
                    <w:t>、介电常数测量范围：</w:t>
                  </w:r>
                  <w:r>
                    <w:rPr>
                      <w:rFonts w:ascii="times new roman, times, serif" w:hAnsi="times new roman, times, serif" w:cs="times new roman, times, serif" w:eastAsia="times new roman, times, serif"/>
                      <w:sz w:val="21"/>
                      <w:color w:val="000000"/>
                    </w:rPr>
                    <w:t>1</w:t>
                  </w: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30</w:t>
                  </w:r>
                  <w:r>
                    <w:rPr>
                      <w:rFonts w:ascii="宋体" w:hAnsi="宋体" w:cs="宋体" w:eastAsia="宋体"/>
                      <w:sz w:val="21"/>
                      <w:color w:val="000000"/>
                    </w:rPr>
                    <w:t>；介电常数实部测量准确度</w:t>
                  </w:r>
                  <w:r>
                    <w:rPr>
                      <w:rFonts w:ascii="times new roman, times, serif" w:hAnsi="times new roman, times, serif" w:cs="times new roman, times, serif" w:eastAsia="times new roman, times, serif"/>
                      <w:sz w:val="21"/>
                      <w:color w:val="000000"/>
                    </w:rPr>
                    <w:t>5%</w:t>
                  </w:r>
                  <w:r>
                    <w:rPr>
                      <w:rFonts w:ascii="宋体" w:hAnsi="宋体" w:cs="宋体" w:eastAsia="宋体"/>
                      <w:sz w:val="21"/>
                      <w:color w:val="000000"/>
                    </w:rPr>
                    <w:t xml:space="preserve">；损耗正切测量准确度 </w:t>
                  </w:r>
                  <w:r>
                    <w:rPr>
                      <w:rFonts w:ascii="times new roman, times, serif" w:hAnsi="times new roman, times, serif" w:cs="times new roman, times, serif" w:eastAsia="times new roman, times, serif"/>
                      <w:sz w:val="21"/>
                      <w:color w:val="000000"/>
                    </w:rPr>
                    <w:t>10%tan</w:t>
                  </w:r>
                  <w:r>
                    <w:rPr>
                      <w:rFonts w:ascii="宋体" w:hAnsi="宋体" w:cs="宋体" w:eastAsia="宋体"/>
                      <w:sz w:val="21"/>
                      <w:color w:val="000000"/>
                    </w:rPr>
                    <w:t>δ</w:t>
                  </w:r>
                  <w:r>
                    <w:rPr>
                      <w:rFonts w:ascii="times new roman, times, serif" w:hAnsi="times new roman, times, serif" w:cs="times new roman, times, serif" w:eastAsia="times new roman, times, serif"/>
                      <w:sz w:val="21"/>
                      <w:color w:val="000000"/>
                    </w:rPr>
                    <w:t>+0.02</w:t>
                  </w:r>
                </w:p>
                <w:p>
                  <w:pPr>
                    <w:pStyle w:val="null3"/>
                    <w:jc w:val="left"/>
                  </w:pPr>
                  <w:r>
                    <w:rPr>
                      <w:rFonts w:ascii="宋体" w:hAnsi="宋体" w:cs="宋体" w:eastAsia="宋体"/>
                      <w:sz w:val="21"/>
                      <w:color w:val="000000"/>
                    </w:rPr>
                    <w:t>磁导率测量范围：</w:t>
                  </w:r>
                  <w:r>
                    <w:rPr>
                      <w:rFonts w:ascii="times new roman, times, serif" w:hAnsi="times new roman, times, serif" w:cs="times new roman, times, serif" w:eastAsia="times new roman, times, serif"/>
                      <w:sz w:val="21"/>
                      <w:color w:val="000000"/>
                    </w:rPr>
                    <w:t>0.3</w:t>
                  </w: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10</w:t>
                  </w:r>
                  <w:r>
                    <w:rPr>
                      <w:rFonts w:ascii="宋体" w:hAnsi="宋体" w:cs="宋体" w:eastAsia="宋体"/>
                      <w:sz w:val="21"/>
                      <w:color w:val="000000"/>
                    </w:rPr>
                    <w:t>；磁导率实部测量准确度</w:t>
                  </w:r>
                  <w:r>
                    <w:rPr>
                      <w:rFonts w:ascii="times new roman, times, serif" w:hAnsi="times new roman, times, serif" w:cs="times new roman, times, serif" w:eastAsia="times new roman, times, serif"/>
                      <w:sz w:val="21"/>
                      <w:color w:val="000000"/>
                    </w:rPr>
                    <w:t>5%</w:t>
                  </w:r>
                  <w:r>
                    <w:rPr>
                      <w:rFonts w:ascii="宋体" w:hAnsi="宋体" w:cs="宋体" w:eastAsia="宋体"/>
                      <w:sz w:val="21"/>
                      <w:color w:val="000000"/>
                    </w:rPr>
                    <w:t xml:space="preserve">；损耗正切测量准确度 </w:t>
                  </w:r>
                  <w:r>
                    <w:rPr>
                      <w:rFonts w:ascii="times new roman, times, serif" w:hAnsi="times new roman, times, serif" w:cs="times new roman, times, serif" w:eastAsia="times new roman, times, serif"/>
                      <w:sz w:val="21"/>
                      <w:color w:val="000000"/>
                    </w:rPr>
                    <w:t>10%tan</w:t>
                  </w:r>
                  <w:r>
                    <w:rPr>
                      <w:rFonts w:ascii="宋体" w:hAnsi="宋体" w:cs="宋体" w:eastAsia="宋体"/>
                      <w:sz w:val="21"/>
                      <w:color w:val="000000"/>
                    </w:rPr>
                    <w:t>δ</w:t>
                  </w:r>
                  <w:r>
                    <w:rPr>
                      <w:rFonts w:ascii="times new roman, times, serif" w:hAnsi="times new roman, times, serif" w:cs="times new roman, times, serif" w:eastAsia="times new roman, times, serif"/>
                      <w:sz w:val="21"/>
                      <w:color w:val="000000"/>
                    </w:rPr>
                    <w:t>+0.02</w:t>
                  </w:r>
                </w:p>
                <w:p>
                  <w:pPr>
                    <w:pStyle w:val="null3"/>
                    <w:jc w:val="left"/>
                  </w:pPr>
                  <w:r>
                    <w:rPr>
                      <w:rFonts w:ascii="times new roman, times, serif" w:hAnsi="times new roman, times, serif" w:cs="times new roman, times, serif" w:eastAsia="times new roman, times, serif"/>
                      <w:sz w:val="21"/>
                      <w:color w:val="000000"/>
                    </w:rPr>
                    <w:t>13.5</w:t>
                  </w:r>
                  <w:r>
                    <w:rPr>
                      <w:rFonts w:ascii="宋体" w:hAnsi="宋体" w:cs="宋体" w:eastAsia="宋体"/>
                      <w:sz w:val="21"/>
                      <w:color w:val="000000"/>
                    </w:rPr>
                    <w:t>、支持环状固态材料；</w:t>
                  </w:r>
                </w:p>
                <w:p>
                  <w:pPr>
                    <w:pStyle w:val="null3"/>
                    <w:jc w:val="left"/>
                  </w:pPr>
                  <w:r>
                    <w:rPr>
                      <w:rFonts w:ascii="times new roman, times, serif" w:hAnsi="times new roman, times, serif" w:cs="times new roman, times, serif" w:eastAsia="times new roman, times, serif"/>
                      <w:sz w:val="21"/>
                      <w:color w:val="000000"/>
                    </w:rPr>
                    <w:t>13.6</w:t>
                  </w:r>
                  <w:r>
                    <w:rPr>
                      <w:rFonts w:ascii="宋体" w:hAnsi="宋体" w:cs="宋体" w:eastAsia="宋体"/>
                      <w:sz w:val="21"/>
                      <w:color w:val="000000"/>
                    </w:rPr>
                    <w:t>、提供验证材料样品。</w:t>
                  </w:r>
                </w:p>
                <w:p>
                  <w:pPr>
                    <w:pStyle w:val="null3"/>
                    <w:jc w:val="left"/>
                  </w:pPr>
                  <w:r>
                    <w:rPr>
                      <w:rFonts w:ascii="times new roman, times, serif" w:hAnsi="times new roman, times, serif" w:cs="times new roman, times, serif" w:eastAsia="times new roman, times, serif"/>
                      <w:sz w:val="21"/>
                      <w:color w:val="000000"/>
                    </w:rPr>
                    <w:t>13.7</w:t>
                  </w:r>
                  <w:r>
                    <w:rPr>
                      <w:rFonts w:ascii="宋体" w:hAnsi="宋体" w:cs="宋体" w:eastAsia="宋体"/>
                      <w:sz w:val="21"/>
                      <w:color w:val="000000"/>
                    </w:rPr>
                    <w:t>、附件部分：配备相应的转接头和线缆确保系统稳定性。</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1</w:t>
                  </w:r>
                  <w:r>
                    <w:rPr>
                      <w:rFonts w:ascii="宋体" w:hAnsi="宋体" w:cs="宋体" w:eastAsia="宋体"/>
                      <w:sz w:val="21"/>
                    </w:rPr>
                    <w:t>、</w:t>
                  </w:r>
                  <w:r>
                    <w:rPr>
                      <w:rFonts w:ascii="宋体" w:hAnsi="宋体" w:cs="宋体" w:eastAsia="宋体"/>
                      <w:sz w:val="21"/>
                    </w:rPr>
                    <w:t>矢量网络分析仪一台；</w:t>
                  </w:r>
                </w:p>
                <w:p>
                  <w:pPr>
                    <w:pStyle w:val="null3"/>
                    <w:jc w:val="center"/>
                  </w:pPr>
                  <w:r>
                    <w:rPr>
                      <w:rFonts w:ascii="times new roman, times, serif" w:hAnsi="times new roman, times, serif" w:cs="times new roman, times, serif" w:eastAsia="times new roman, times, serif"/>
                      <w:sz w:val="21"/>
                    </w:rPr>
                    <w:t>2</w:t>
                  </w:r>
                  <w:r>
                    <w:rPr>
                      <w:rFonts w:ascii="宋体" w:hAnsi="宋体" w:cs="宋体" w:eastAsia="宋体"/>
                      <w:sz w:val="21"/>
                    </w:rPr>
                    <w:t>、</w:t>
                  </w:r>
                  <w:r>
                    <w:rPr>
                      <w:rFonts w:ascii="宋体" w:hAnsi="宋体" w:cs="宋体" w:eastAsia="宋体"/>
                      <w:sz w:val="21"/>
                    </w:rPr>
                    <w:t>材料测试软件</w:t>
                  </w:r>
                  <w:r>
                    <w:rPr>
                      <w:rFonts w:ascii="&quot;times new roman&quot;" w:hAnsi="&quot;times new roman&quot;" w:cs="&quot;times new roman&quot;" w:eastAsia="&quot;times new roman&quot;"/>
                      <w:sz w:val="21"/>
                    </w:rPr>
                    <w:t>1</w:t>
                  </w:r>
                  <w:r>
                    <w:rPr>
                      <w:rFonts w:ascii="宋体" w:hAnsi="宋体" w:cs="宋体" w:eastAsia="宋体"/>
                      <w:sz w:val="21"/>
                    </w:rPr>
                    <w:t>套；</w:t>
                  </w:r>
                </w:p>
                <w:p>
                  <w:pPr>
                    <w:pStyle w:val="null3"/>
                    <w:jc w:val="center"/>
                  </w:pPr>
                  <w:r>
                    <w:rPr>
                      <w:rFonts w:ascii="times new roman, times, serif" w:hAnsi="times new roman, times, serif" w:cs="times new roman, times, serif" w:eastAsia="times new roman, times, serif"/>
                      <w:sz w:val="21"/>
                    </w:rPr>
                    <w:t>3</w:t>
                  </w:r>
                  <w:r>
                    <w:rPr>
                      <w:rFonts w:ascii="宋体" w:hAnsi="宋体" w:cs="宋体" w:eastAsia="宋体"/>
                      <w:sz w:val="21"/>
                    </w:rPr>
                    <w:t>、</w:t>
                  </w:r>
                  <w:r>
                    <w:rPr>
                      <w:rFonts w:ascii="宋体" w:hAnsi="宋体" w:cs="宋体" w:eastAsia="宋体"/>
                      <w:sz w:val="21"/>
                    </w:rPr>
                    <w:t>同轴空气线夹具和附件</w:t>
                  </w:r>
                  <w:r>
                    <w:rPr>
                      <w:rFonts w:ascii="&quot;times new roman&quot;" w:hAnsi="&quot;times new roman&quot;" w:cs="&quot;times new roman&quot;" w:eastAsia="&quot;times new roman&quot;"/>
                      <w:sz w:val="21"/>
                    </w:rPr>
                    <w:t>1</w:t>
                  </w:r>
                  <w:r>
                    <w:rPr>
                      <w:rFonts w:ascii="宋体" w:hAnsi="宋体" w:cs="宋体" w:eastAsia="宋体"/>
                      <w:sz w:val="21"/>
                    </w:rPr>
                    <w:t>套</w:t>
                  </w:r>
                  <w:r>
                    <w:rPr>
                      <w:rFonts w:ascii="宋体" w:hAnsi="宋体" w:cs="宋体" w:eastAsia="宋体"/>
                      <w:sz w:val="21"/>
                      <w:color w:val="000000"/>
                    </w:rPr>
                    <w:t>：包含</w:t>
                  </w:r>
                  <w:r>
                    <w:rPr>
                      <w:rFonts w:ascii="times new roman, times, serif" w:hAnsi="times new roman, times, serif" w:cs="times new roman, times, serif" w:eastAsia="times new roman, times, serif"/>
                      <w:sz w:val="21"/>
                      <w:color w:val="000000"/>
                    </w:rPr>
                    <w:t>≥6/10cm</w:t>
                  </w:r>
                  <w:r>
                    <w:rPr>
                      <w:rFonts w:ascii="宋体" w:hAnsi="宋体" w:cs="宋体" w:eastAsia="宋体"/>
                      <w:sz w:val="21"/>
                      <w:color w:val="000000"/>
                    </w:rPr>
                    <w:t>两根空气线；</w:t>
                  </w:r>
                </w:p>
                <w:p>
                  <w:pPr>
                    <w:pStyle w:val="null3"/>
                    <w:jc w:val="center"/>
                  </w:pPr>
                  <w:r>
                    <w:rPr>
                      <w:rFonts w:ascii="times new roman, times, serif" w:hAnsi="times new roman, times, serif" w:cs="times new roman, times, serif" w:eastAsia="times new roman, times, serif"/>
                      <w:sz w:val="21"/>
                      <w:color w:val="000000"/>
                    </w:rPr>
                    <w:t>4</w:t>
                  </w:r>
                  <w:r>
                    <w:rPr>
                      <w:rFonts w:ascii="宋体" w:hAnsi="宋体" w:cs="宋体" w:eastAsia="宋体"/>
                      <w:sz w:val="21"/>
                      <w:color w:val="000000"/>
                    </w:rPr>
                    <w:t>、</w:t>
                  </w:r>
                  <w:r>
                    <w:rPr>
                      <w:rFonts w:ascii="宋体" w:hAnsi="宋体" w:cs="宋体" w:eastAsia="宋体"/>
                      <w:sz w:val="21"/>
                      <w:color w:val="000000"/>
                    </w:rPr>
                    <w:t>配备</w:t>
                  </w:r>
                  <w:r>
                    <w:rPr>
                      <w:rFonts w:ascii="&quot;times new roman&quot;" w:hAnsi="&quot;times new roman&quot;" w:cs="&quot;times new roman&quot;" w:eastAsia="&quot;times new roman&quot;"/>
                      <w:sz w:val="21"/>
                      <w:color w:val="000000"/>
                    </w:rPr>
                    <w:t>7 mm</w:t>
                  </w:r>
                  <w:r>
                    <w:rPr>
                      <w:rFonts w:ascii="宋体" w:hAnsi="宋体" w:cs="宋体" w:eastAsia="宋体"/>
                      <w:sz w:val="21"/>
                      <w:color w:val="000000"/>
                    </w:rPr>
                    <w:t>精密</w:t>
                  </w:r>
                  <w:r>
                    <w:rPr>
                      <w:rFonts w:ascii="times new roman, times, serif" w:hAnsi="times new roman, times, serif" w:cs="times new roman, times, serif" w:eastAsia="times new roman, times, serif"/>
                      <w:sz w:val="21"/>
                      <w:color w:val="000000"/>
                    </w:rPr>
                    <w:t>TRL/TRM/LRL</w:t>
                  </w:r>
                  <w:r>
                    <w:rPr>
                      <w:rFonts w:ascii="宋体" w:hAnsi="宋体" w:cs="宋体" w:eastAsia="宋体"/>
                      <w:sz w:val="21"/>
                      <w:color w:val="000000"/>
                    </w:rPr>
                    <w:t>校准件</w:t>
                  </w:r>
                  <w:r>
                    <w:rPr>
                      <w:rFonts w:ascii="times new roman, times, serif" w:hAnsi="times new roman, times, serif" w:cs="times new roman, times, serif" w:eastAsia="times new roman, times, serif"/>
                      <w:sz w:val="21"/>
                      <w:color w:val="000000"/>
                    </w:rPr>
                    <w:t>1</w:t>
                  </w:r>
                  <w:r>
                    <w:rPr>
                      <w:rFonts w:ascii="宋体" w:hAnsi="宋体" w:cs="宋体" w:eastAsia="宋体"/>
                      <w:sz w:val="21"/>
                      <w:color w:val="000000"/>
                    </w:rPr>
                    <w:t>套</w:t>
                  </w:r>
                  <w:r>
                    <w:rPr>
                      <w:rFonts w:ascii="宋体" w:hAnsi="宋体" w:cs="宋体" w:eastAsia="宋体"/>
                      <w:sz w:val="21"/>
                      <w:color w:val="000000"/>
                    </w:rPr>
                    <w:t>；</w:t>
                  </w:r>
                </w:p>
                <w:p>
                  <w:pPr>
                    <w:pStyle w:val="null3"/>
                    <w:jc w:val="center"/>
                  </w:pPr>
                  <w:r>
                    <w:rPr>
                      <w:rFonts w:ascii="times new roman, times, serif" w:hAnsi="times new roman, times, serif" w:cs="times new roman, times, serif" w:eastAsia="times new roman, times, serif"/>
                      <w:sz w:val="21"/>
                      <w:color w:val="000000"/>
                    </w:rPr>
                    <w:t>5</w:t>
                  </w:r>
                  <w:r>
                    <w:rPr>
                      <w:rFonts w:ascii="宋体" w:hAnsi="宋体" w:cs="宋体" w:eastAsia="宋体"/>
                      <w:sz w:val="21"/>
                      <w:color w:val="000000"/>
                    </w:rPr>
                    <w:t>、</w:t>
                  </w:r>
                  <w:r>
                    <w:rPr>
                      <w:rFonts w:ascii="宋体" w:hAnsi="宋体" w:cs="宋体" w:eastAsia="宋体"/>
                      <w:sz w:val="21"/>
                    </w:rPr>
                    <w:t>数据处理器</w:t>
                  </w:r>
                  <w:r>
                    <w:rPr>
                      <w:rFonts w:ascii="&quot;times new roman&quot;" w:hAnsi="&quot;times new roman&quot;" w:cs="&quot;times new roman&quot;" w:eastAsia="&quot;times new roman&quot;"/>
                      <w:sz w:val="21"/>
                    </w:rPr>
                    <w:t>1</w:t>
                  </w:r>
                  <w:r>
                    <w:rPr>
                      <w:rFonts w:ascii="宋体" w:hAnsi="宋体" w:cs="宋体" w:eastAsia="宋体"/>
                      <w:sz w:val="21"/>
                    </w:rPr>
                    <w:t>套</w:t>
                  </w:r>
                  <w:r>
                    <w:rPr>
                      <w:rFonts w:ascii="宋体" w:hAnsi="宋体" w:cs="宋体" w:eastAsia="宋体"/>
                      <w:sz w:val="21"/>
                    </w:rPr>
                    <w:t>（</w:t>
                  </w:r>
                  <w:r>
                    <w:rPr>
                      <w:rFonts w:ascii="&quot;times new roman&quot;" w:hAnsi="&quot;times new roman&quot;" w:cs="&quot;times new roman&quot;" w:eastAsia="&quot;times new roman&quot;"/>
                      <w:sz w:val="21"/>
                    </w:rPr>
                    <w:t>Windows</w:t>
                  </w:r>
                  <w:r>
                    <w:rPr>
                      <w:rFonts w:ascii="times new roman, times, serif" w:hAnsi="times new roman, times, serif" w:cs="times new roman, times, serif" w:eastAsia="times new roman, times, serif"/>
                      <w:sz w:val="21"/>
                    </w:rPr>
                    <w:t>10</w:t>
                  </w:r>
                  <w:r>
                    <w:rPr>
                      <w:rFonts w:ascii="宋体" w:hAnsi="宋体" w:cs="宋体" w:eastAsia="宋体"/>
                      <w:sz w:val="21"/>
                    </w:rPr>
                    <w:t>及以上正版</w:t>
                  </w:r>
                  <w:r>
                    <w:rPr>
                      <w:rFonts w:ascii="宋体" w:hAnsi="宋体" w:cs="宋体" w:eastAsia="宋体"/>
                      <w:sz w:val="21"/>
                    </w:rPr>
                    <w:t>系统，</w:t>
                  </w:r>
                  <w:r>
                    <w:rPr>
                      <w:rFonts w:ascii="&quot;times new roman&quot;" w:hAnsi="&quot;times new roman&quot;" w:cs="&quot;times new roman&quot;" w:eastAsia="&quot;times new roman&quot;"/>
                      <w:sz w:val="21"/>
                    </w:rPr>
                    <w:t>CPU</w:t>
                  </w:r>
                  <w:r>
                    <w:rPr>
                      <w:rFonts w:ascii="宋体" w:hAnsi="宋体" w:cs="宋体" w:eastAsia="宋体"/>
                      <w:sz w:val="21"/>
                    </w:rPr>
                    <w:t>不低于</w:t>
                  </w:r>
                  <w:r>
                    <w:rPr>
                      <w:rFonts w:ascii="times new roman, times, serif" w:hAnsi="times new roman, times, serif" w:cs="times new roman, times, serif" w:eastAsia="times new roman, times, serif"/>
                      <w:sz w:val="21"/>
                    </w:rPr>
                    <w:t>i5-12400F</w:t>
                  </w:r>
                  <w:r>
                    <w:rPr>
                      <w:rFonts w:ascii="宋体" w:hAnsi="宋体" w:cs="宋体" w:eastAsia="宋体"/>
                      <w:sz w:val="21"/>
                    </w:rPr>
                    <w:t>处理器，内存</w:t>
                  </w:r>
                  <w:r>
                    <w:rPr>
                      <w:rFonts w:ascii="times new roman, times, serif" w:hAnsi="times new roman, times, serif" w:cs="times new roman, times, serif" w:eastAsia="times new roman, times, serif"/>
                      <w:sz w:val="21"/>
                    </w:rPr>
                    <w:t>16GB</w:t>
                  </w:r>
                  <w:r>
                    <w:rPr>
                      <w:rFonts w:ascii="宋体" w:hAnsi="宋体" w:cs="宋体" w:eastAsia="宋体"/>
                      <w:sz w:val="21"/>
                    </w:rPr>
                    <w:t>，</w:t>
                  </w:r>
                  <w:r>
                    <w:rPr>
                      <w:rFonts w:ascii="times new roman, times, serif" w:hAnsi="times new roman, times, serif" w:cs="times new roman, times, serif" w:eastAsia="times new roman, times, serif"/>
                      <w:sz w:val="21"/>
                    </w:rPr>
                    <w:t>DDR4</w:t>
                  </w:r>
                  <w:r>
                    <w:rPr>
                      <w:rFonts w:ascii="&quot;times new roman&quot;" w:hAnsi="&quot;times new roman&quot;" w:cs="&quot;times new roman&quot;" w:eastAsia="&quot;times new roman&quot;"/>
                      <w:sz w:val="21"/>
                    </w:rPr>
                    <w:t xml:space="preserve">  </w:t>
                  </w:r>
                  <w:r>
                    <w:rPr>
                      <w:rFonts w:ascii="&quot;times new roman&quot;" w:hAnsi="&quot;times new roman&quot;" w:cs="&quot;times new roman&quot;" w:eastAsia="&quot;times new roman&quot;"/>
                      <w:sz w:val="21"/>
                    </w:rPr>
                    <w:t xml:space="preserve">3200MHz, 1TB </w:t>
                  </w:r>
                  <w:r>
                    <w:rPr>
                      <w:rFonts w:ascii="宋体" w:hAnsi="宋体" w:cs="宋体" w:eastAsia="宋体"/>
                      <w:sz w:val="21"/>
                    </w:rPr>
                    <w:t>机械硬盘，网卡</w:t>
                  </w:r>
                  <w:r>
                    <w:rPr>
                      <w:rFonts w:ascii="times new roman, times, serif" w:hAnsi="times new roman, times, serif" w:cs="times new roman, times, serif" w:eastAsia="times new roman, times, serif"/>
                      <w:sz w:val="21"/>
                    </w:rPr>
                    <w:t>802.11axWi-Fi 6+</w:t>
                  </w:r>
                  <w:r>
                    <w:rPr>
                      <w:rFonts w:ascii="宋体" w:hAnsi="宋体" w:cs="宋体" w:eastAsia="宋体"/>
                      <w:sz w:val="21"/>
                    </w:rPr>
                    <w:t>蓝牙无线网卡</w:t>
                  </w:r>
                  <w:r>
                    <w:rPr>
                      <w:rFonts w:ascii="times new roman, times, serif" w:hAnsi="times new roman, times, serif" w:cs="times new roman, times, serif" w:eastAsia="times new roman, times, serif"/>
                      <w:sz w:val="21"/>
                    </w:rPr>
                    <w:t>/</w:t>
                  </w:r>
                  <w:r>
                    <w:rPr>
                      <w:rFonts w:ascii="宋体" w:hAnsi="宋体" w:cs="宋体" w:eastAsia="宋体"/>
                      <w:sz w:val="21"/>
                    </w:rPr>
                    <w:t>千兆有线网卡，预装正版</w:t>
                  </w:r>
                  <w:r>
                    <w:rPr>
                      <w:rFonts w:ascii="times new roman, times, serif" w:hAnsi="times new roman, times, serif" w:cs="times new roman, times, serif" w:eastAsia="times new roman, times, serif"/>
                      <w:sz w:val="21"/>
                    </w:rPr>
                    <w:t>Office</w:t>
                  </w:r>
                  <w:r>
                    <w:rPr>
                      <w:rFonts w:ascii="宋体" w:hAnsi="宋体" w:cs="宋体" w:eastAsia="宋体"/>
                      <w:sz w:val="21"/>
                    </w:rPr>
                    <w:t>办公软件</w:t>
                  </w:r>
                  <w:r>
                    <w:rPr>
                      <w:rFonts w:ascii="宋体" w:hAnsi="宋体" w:cs="宋体" w:eastAsia="宋体"/>
                      <w:sz w:val="21"/>
                    </w:rPr>
                    <w:t>，显示</w:t>
                  </w:r>
                  <w:r>
                    <w:rPr>
                      <w:rFonts w:ascii="宋体" w:hAnsi="宋体" w:cs="宋体" w:eastAsia="宋体"/>
                      <w:sz w:val="21"/>
                    </w:rPr>
                    <w:t>系统</w:t>
                  </w:r>
                  <w:r>
                    <w:rPr>
                      <w:rFonts w:ascii="宋体" w:hAnsi="宋体" w:cs="宋体" w:eastAsia="宋体"/>
                      <w:sz w:val="21"/>
                      <w:color w:val="000000"/>
                    </w:rPr>
                    <w:t>≥</w:t>
                  </w:r>
                  <w:r>
                    <w:rPr>
                      <w:rFonts w:ascii="&quot;times new roman&quot;" w:hAnsi="&quot;times new roman&quot;" w:cs="&quot;times new roman&quot;" w:eastAsia="&quot;times new roman&quot;"/>
                      <w:sz w:val="21"/>
                    </w:rPr>
                    <w:t>23</w:t>
                  </w:r>
                  <w:r>
                    <w:rPr>
                      <w:rFonts w:ascii="宋体" w:hAnsi="宋体" w:cs="宋体" w:eastAsia="宋体"/>
                      <w:sz w:val="21"/>
                    </w:rPr>
                    <w:t>英寸，分辨率</w:t>
                  </w:r>
                  <w:r>
                    <w:rPr>
                      <w:rFonts w:ascii="宋体" w:hAnsi="宋体" w:cs="宋体" w:eastAsia="宋体"/>
                      <w:sz w:val="21"/>
                      <w:color w:val="000000"/>
                    </w:rPr>
                    <w:t>≥</w:t>
                  </w:r>
                  <w:r>
                    <w:rPr>
                      <w:rFonts w:ascii="&quot;times new roman&quot;" w:hAnsi="&quot;times new roman&quot;" w:cs="&quot;times new roman&quot;" w:eastAsia="&quot;times new roman&quot;"/>
                      <w:sz w:val="21"/>
                    </w:rPr>
                    <w:t>1920</w:t>
                  </w:r>
                  <w:r>
                    <w:rPr>
                      <w:rFonts w:ascii="&quot;wingdings 2&quot;" w:hAnsi="&quot;wingdings 2&quot;" w:cs="&quot;wingdings 2&quot;" w:eastAsia="&quot;wingdings 2&quot;"/>
                      <w:sz w:val="21"/>
                    </w:rPr>
                    <w:t>Í</w:t>
                  </w:r>
                  <w:r>
                    <w:rPr>
                      <w:rFonts w:ascii="&quot;times new roman&quot;" w:hAnsi="&quot;times new roman&quot;" w:cs="&quot;times new roman&quot;" w:eastAsia="&quot;times new roman&quot;"/>
                      <w:sz w:val="21"/>
                    </w:rPr>
                    <w:t>1080</w:t>
                  </w:r>
                  <w:r>
                    <w:rPr>
                      <w:rFonts w:ascii="宋体" w:hAnsi="宋体" w:cs="宋体" w:eastAsia="宋体"/>
                      <w:sz w:val="21"/>
                    </w:rPr>
                    <w:t>）</w:t>
                  </w:r>
                </w:p>
              </w:tc>
            </w:tr>
            <w:tr>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其他要求</w:t>
                  </w:r>
                </w:p>
              </w:tc>
              <w:tc>
                <w:tcPr>
                  <w:tcW w:type="dxa" w:w="34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w:t>
                  </w:r>
                  <w:r>
                    <w:rPr>
                      <w:rFonts w:ascii="宋体" w:hAnsi="宋体" w:cs="宋体" w:eastAsia="宋体"/>
                      <w:sz w:val="21"/>
                    </w:rPr>
                    <w:t>、售后服务响应时间（质保期内）：即时响应（包括电话响应）；电话响应无法解决</w:t>
                  </w:r>
                  <w:r>
                    <w:rPr>
                      <w:rFonts w:ascii="宋体" w:hAnsi="宋体" w:cs="宋体" w:eastAsia="宋体"/>
                      <w:sz w:val="21"/>
                    </w:rPr>
                    <w:t>24小时内到达现场。修复时间12小时内解决；如在24小时内无法修复，则提供部件冗余服务或采取应急措施，提供相同产品或不低于故障产品规格档次的备用产品供采购人使用，以确保货物的正常使用。</w:t>
                  </w:r>
                </w:p>
                <w:p>
                  <w:pPr>
                    <w:pStyle w:val="null3"/>
                    <w:jc w:val="center"/>
                  </w:pPr>
                  <w:r>
                    <w:rPr>
                      <w:rFonts w:ascii="宋体" w:hAnsi="宋体" w:cs="宋体" w:eastAsia="宋体"/>
                      <w:sz w:val="21"/>
                    </w:rPr>
                    <w:t>2</w:t>
                  </w:r>
                  <w:r>
                    <w:rPr>
                      <w:rFonts w:ascii="宋体" w:hAnsi="宋体" w:cs="宋体" w:eastAsia="宋体"/>
                      <w:sz w:val="21"/>
                    </w:rPr>
                    <w:t>、培训：设备操作培训及高级应用培训，合计培训时间</w:t>
                  </w:r>
                  <w:r>
                    <w:rPr>
                      <w:rFonts w:ascii="宋体" w:hAnsi="宋体" w:cs="宋体" w:eastAsia="宋体"/>
                      <w:sz w:val="21"/>
                    </w:rPr>
                    <w:t>≥2天。</w:t>
                  </w:r>
                </w:p>
              </w:tc>
            </w:tr>
          </w:tbl>
          <w:p>
            <w:pPr>
              <w:pStyle w:val="null3"/>
            </w:pPr>
            <w:r>
              <w:rPr>
                <w:b/>
              </w:rPr>
              <w:t>以上技术参数与性能指标不允许负偏离，其中★指标必须提供佐证材料证明（包括但不限于产品彩页或技术白皮书或官网截图等）。不满足或★指标未提供佐证材料视为负偏离，按无效文件处理。</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合同签订之日起90日历日内完成交付、安装及调试</w:t>
      </w:r>
    </w:p>
    <w:p>
      <w:pPr>
        <w:pStyle w:val="null3"/>
        <w:outlineLvl w:val="3"/>
      </w:pPr>
      <w:r>
        <w:rPr>
          <w:sz w:val="24"/>
          <w:b/>
        </w:rPr>
        <w:t>3.4.2交货地点和方式</w:t>
      </w:r>
    </w:p>
    <w:p>
      <w:pPr>
        <w:pStyle w:val="null3"/>
      </w:pPr>
      <w:r>
        <w:rPr/>
        <w:t>采购包1：</w:t>
      </w:r>
    </w:p>
    <w:p>
      <w:pPr>
        <w:pStyle w:val="null3"/>
      </w:pPr>
      <w:r>
        <w:rPr/>
        <w:t>西安建筑科技大学草堂校区学府城2-206</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一、国产设备：合同签订前，乙方须在甲方指定的银行开立一般结算账户。合同签订后，甲方通过银行电汇付给乙方全额货款。二、进口设备：合同生效后，由甲方通过双方认可的进口业务代理公司向中标人指定国外设备供应商开出100%信用证，其中90%货款凭外贸合同约定的发货单据及西安建筑科技大学出具的开箱点货报告原件解付，剩余10%货款在设备验收合格后凭甲方签署的验收报告原件解付。</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根据采购文件及合同约定执行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自验收合格通过之日起3年</w:t>
      </w:r>
    </w:p>
    <w:p>
      <w:pPr>
        <w:pStyle w:val="null3"/>
        <w:outlineLvl w:val="3"/>
      </w:pPr>
      <w:r>
        <w:rPr>
          <w:sz w:val="24"/>
          <w:b/>
        </w:rPr>
        <w:t>3.4.8违约责任及解决争议的方法</w:t>
      </w:r>
    </w:p>
    <w:p>
      <w:pPr>
        <w:pStyle w:val="null3"/>
      </w:pPr>
      <w:r>
        <w:rPr/>
        <w:t>采购包1：</w:t>
      </w:r>
    </w:p>
    <w:p>
      <w:pPr>
        <w:pStyle w:val="null3"/>
      </w:pPr>
      <w:r>
        <w:rPr/>
        <w:t>根据采购文件及合同约定执行</w:t>
      </w:r>
    </w:p>
    <w:p>
      <w:pPr>
        <w:pStyle w:val="null3"/>
        <w:jc w:val="left"/>
        <w:outlineLvl w:val="3"/>
      </w:pPr>
      <w:r>
        <w:rPr>
          <w:sz w:val="24"/>
          <w:b/>
        </w:rPr>
        <w:t>3.5其他要求</w:t>
      </w:r>
    </w:p>
    <w:p>
      <w:pPr>
        <w:pStyle w:val="null3"/>
      </w:pPr>
      <w:r>
        <w:rPr/>
        <w:t>采购包1：</w:t>
      </w:r>
    </w:p>
    <w:p>
      <w:pPr>
        <w:pStyle w:val="null3"/>
      </w:pPr>
      <w:r>
        <w:rPr/>
        <w:t>成交单位领取成交通知书时，提交纸质响应文件正本壹份、副本贰份、电子版壹份（U盘壹份注明单位名称）编辑目录和页码，内容和通过电子化交易平台实施的政府采购项目提交的响应文件一致。 2、纸质响应文件正副本分别胶装。</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1月1日以来任意一个月的纳税证明或完税证明，纳税证明或完税证明上应有代收机构或税务机关的公章或业务专用章；其他组织和自然人提供自2024年1月1日以来任意一个月缴纳税收的凭据；依法免税的投标人应提供相关文件证明 ； ③社会保障资金缴纳证明：提供自2024年1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注：供应商需在项目电子化交易系统中上传①-⑤项相关证明文件并进行电子签章。</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 财务状况报告：法人提供会计师事务所出具的有效的2023年度审计报告（成立时间至提交投标文件截止时间不足一年的可提供成立后任意时段的资产负债表），或其开标前六个月内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法定代表人参加谈判的，须提供身份证复印件；法定代表人授权本单位他人参加谈判的，须提供法定代表人授权委托书。</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进口授权</w:t>
            </w:r>
          </w:p>
        </w:tc>
        <w:tc>
          <w:tcPr>
            <w:tcW w:type="dxa" w:w="3322"/>
          </w:tcPr>
          <w:p>
            <w:pPr>
              <w:pStyle w:val="null3"/>
            </w:pPr>
            <w:r>
              <w:rPr/>
              <w:t>本项目矢量网络分析仪已做进口论证，接受进口产品的投标。供应商所投产品为进口产品的，供应商需提供所投产品授权书。国产产品不需要提供，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是否接受联合体投标</w:t>
            </w:r>
          </w:p>
        </w:tc>
        <w:tc>
          <w:tcPr>
            <w:tcW w:type="dxa" w:w="3322"/>
          </w:tcPr>
          <w:p>
            <w:pPr>
              <w:pStyle w:val="null3"/>
            </w:pPr>
            <w:r>
              <w:rPr/>
              <w:t>本项目不接受联合体投标。</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是否面向中小企业采购</w:t>
            </w:r>
          </w:p>
        </w:tc>
        <w:tc>
          <w:tcPr>
            <w:tcW w:type="dxa" w:w="3322"/>
          </w:tcPr>
          <w:p>
            <w:pPr>
              <w:pStyle w:val="null3"/>
            </w:pPr>
            <w:r>
              <w:rPr/>
              <w:t>本项目非专门面向中小企业采购。</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分项报价表 标的清单 报价表</w:t>
            </w:r>
          </w:p>
        </w:tc>
      </w:tr>
      <w:tr>
        <w:tc>
          <w:tcPr>
            <w:tcW w:type="dxa" w:w="831"/>
          </w:tcPr>
          <w:p>
            <w:pPr>
              <w:pStyle w:val="null3"/>
            </w:pPr>
            <w:r>
              <w:rPr/>
              <w:t>2</w:t>
            </w:r>
          </w:p>
        </w:tc>
        <w:tc>
          <w:tcPr>
            <w:tcW w:type="dxa" w:w="2492"/>
          </w:tcPr>
          <w:p>
            <w:pPr>
              <w:pStyle w:val="null3"/>
            </w:pPr>
            <w:r>
              <w:rPr/>
              <w:t>响应文件是否按竞争性谈判文件要求签署、盖章的</w:t>
            </w:r>
          </w:p>
        </w:tc>
        <w:tc>
          <w:tcPr>
            <w:tcW w:type="dxa" w:w="3322"/>
          </w:tcPr>
          <w:p>
            <w:pPr>
              <w:pStyle w:val="null3"/>
            </w:pPr>
            <w:r>
              <w:rPr/>
              <w:t>响应文件应当按采购文件要求签署、盖章，否则谈判小组应当将其响应文件作为无效处理。</w:t>
            </w:r>
          </w:p>
        </w:tc>
        <w:tc>
          <w:tcPr>
            <w:tcW w:type="dxa" w:w="1661"/>
          </w:tcPr>
          <w:p>
            <w:pPr>
              <w:pStyle w:val="null3"/>
            </w:pPr>
            <w:r>
              <w:rPr/>
              <w:t>响应文件封面 拒绝商业贿赂承诺书 供应商应提交的相关资格证明材料 响应函</w:t>
            </w:r>
          </w:p>
        </w:tc>
      </w:tr>
      <w:tr>
        <w:tc>
          <w:tcPr>
            <w:tcW w:type="dxa" w:w="831"/>
          </w:tcPr>
          <w:p>
            <w:pPr>
              <w:pStyle w:val="null3"/>
            </w:pPr>
            <w:r>
              <w:rPr/>
              <w:t>3</w:t>
            </w:r>
          </w:p>
        </w:tc>
        <w:tc>
          <w:tcPr>
            <w:tcW w:type="dxa" w:w="2492"/>
          </w:tcPr>
          <w:p>
            <w:pPr>
              <w:pStyle w:val="null3"/>
            </w:pPr>
            <w:r>
              <w:rPr/>
              <w:t>报价是否超过竞争性谈判文件中规定的最高限价的</w:t>
            </w:r>
          </w:p>
        </w:tc>
        <w:tc>
          <w:tcPr>
            <w:tcW w:type="dxa" w:w="3322"/>
          </w:tcPr>
          <w:p>
            <w:pPr>
              <w:pStyle w:val="null3"/>
            </w:pPr>
            <w:r>
              <w:rPr/>
              <w:t>响应文件的报价应当不超过采购文件中规定的最高限价，否则谈判小组应当将其响应文件作为无效处理。</w:t>
            </w:r>
          </w:p>
        </w:tc>
        <w:tc>
          <w:tcPr>
            <w:tcW w:type="dxa" w:w="1661"/>
          </w:tcPr>
          <w:p>
            <w:pPr>
              <w:pStyle w:val="null3"/>
            </w:pPr>
            <w:r>
              <w:rPr/>
              <w:t>分项报价表 标的清单 报价表</w:t>
            </w:r>
          </w:p>
        </w:tc>
      </w:tr>
      <w:tr>
        <w:tc>
          <w:tcPr>
            <w:tcW w:type="dxa" w:w="831"/>
          </w:tcPr>
          <w:p>
            <w:pPr>
              <w:pStyle w:val="null3"/>
            </w:pPr>
            <w:r>
              <w:rPr/>
              <w:t>4</w:t>
            </w:r>
          </w:p>
        </w:tc>
        <w:tc>
          <w:tcPr>
            <w:tcW w:type="dxa" w:w="2492"/>
          </w:tcPr>
          <w:p>
            <w:pPr>
              <w:pStyle w:val="null3"/>
            </w:pPr>
            <w:r>
              <w:rPr/>
              <w:t>响应文件是否含有采购人不能接受的附加条件的或其他情形</w:t>
            </w:r>
          </w:p>
        </w:tc>
        <w:tc>
          <w:tcPr>
            <w:tcW w:type="dxa" w:w="3322"/>
          </w:tcPr>
          <w:p>
            <w:pPr>
              <w:pStyle w:val="null3"/>
            </w:pPr>
            <w:r>
              <w:rPr/>
              <w:t>响应文件未含有采购人不能接受的附加条件的或其他情形，否则谈判小组应当将其响应文件作为无效处理。</w:t>
            </w:r>
          </w:p>
        </w:tc>
        <w:tc>
          <w:tcPr>
            <w:tcW w:type="dxa" w:w="1661"/>
          </w:tcPr>
          <w:p>
            <w:pPr>
              <w:pStyle w:val="null3"/>
            </w:pPr>
            <w:r>
              <w:rPr/>
              <w:t>商务条款响应说明 谈判保证金缴纳 拒绝商业贿赂承诺书 技术指标偏差表 谈判响应方案 业绩一览表</w:t>
            </w:r>
          </w:p>
        </w:tc>
      </w:tr>
      <w:tr>
        <w:tc>
          <w:tcPr>
            <w:tcW w:type="dxa" w:w="831"/>
          </w:tcPr>
          <w:p>
            <w:pPr>
              <w:pStyle w:val="null3"/>
            </w:pPr>
            <w:r>
              <w:rPr/>
              <w:t>5</w:t>
            </w:r>
          </w:p>
        </w:tc>
        <w:tc>
          <w:tcPr>
            <w:tcW w:type="dxa" w:w="2492"/>
          </w:tcPr>
          <w:p>
            <w:pPr>
              <w:pStyle w:val="null3"/>
            </w:pPr>
            <w:r>
              <w:rPr/>
              <w:t>是否发现法律、法规和采购文件规定的其他无效情形</w:t>
            </w:r>
          </w:p>
        </w:tc>
        <w:tc>
          <w:tcPr>
            <w:tcW w:type="dxa" w:w="3322"/>
          </w:tcPr>
          <w:p>
            <w:pPr>
              <w:pStyle w:val="null3"/>
            </w:pPr>
            <w:r>
              <w:rPr/>
              <w:t>响应文件未发现法律、法规和采购文件规定的其他无效情形，否则谈判小组应当将其响应文件作为无效处理。</w:t>
            </w:r>
          </w:p>
        </w:tc>
        <w:tc>
          <w:tcPr>
            <w:tcW w:type="dxa" w:w="1661"/>
          </w:tcPr>
          <w:p>
            <w:pPr>
              <w:pStyle w:val="null3"/>
            </w:pPr>
            <w:r>
              <w:rPr/>
              <w:t>商务条款响应说明 谈判保证金缴纳 拒绝商业贿赂承诺书 技术指标偏差表 谈判响应方案 业绩一览表</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详见附件：技术指标偏差表</w:t>
      </w:r>
    </w:p>
    <w:p>
      <w:pPr>
        <w:pStyle w:val="null3"/>
        <w:ind w:firstLine="960"/>
      </w:pPr>
      <w:r>
        <w:rPr/>
        <w:t>详见附件：商务条款响应说明</w:t>
      </w:r>
    </w:p>
    <w:p>
      <w:pPr>
        <w:pStyle w:val="null3"/>
        <w:ind w:firstLine="960"/>
      </w:pPr>
      <w:r>
        <w:rPr/>
        <w:t>详见附件：谈判保证金缴纳</w:t>
      </w:r>
    </w:p>
    <w:p>
      <w:pPr>
        <w:pStyle w:val="null3"/>
        <w:ind w:firstLine="960"/>
      </w:pPr>
      <w:r>
        <w:rPr/>
        <w:t>详见附件：供应商应提交的相关资格证明材料</w:t>
      </w:r>
    </w:p>
    <w:p>
      <w:pPr>
        <w:pStyle w:val="null3"/>
        <w:ind w:firstLine="960"/>
      </w:pPr>
      <w:r>
        <w:rPr/>
        <w:t>详见附件：谈判响应方案</w:t>
      </w:r>
    </w:p>
    <w:p>
      <w:pPr>
        <w:pStyle w:val="null3"/>
        <w:ind w:firstLine="960"/>
      </w:pPr>
      <w:r>
        <w:rPr/>
        <w:t>详见附件：业绩一览表</w:t>
      </w:r>
    </w:p>
    <w:p>
      <w:pPr>
        <w:pStyle w:val="null3"/>
        <w:ind w:firstLine="960"/>
      </w:pPr>
      <w:r>
        <w:rPr/>
        <w:t>详见附件：拒绝商业贿赂承诺书</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