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版本号：250108001</w:t>
      </w:r>
      <w:r>
        <w:br/>
      </w:r>
      <w:r>
        <w:br/>
      </w:r>
      <w:r>
        <w:br/>
      </w:r>
      <w:r>
        <w:br/>
      </w:r>
      <w:r>
        <w:br/>
      </w:r>
    </w:p>
    <w:p>
      <w:pPr>
        <w:pStyle w:val="null3"/>
        <w:jc w:val="center"/>
        <w:outlineLvl w:val="0"/>
      </w:pPr>
      <w:r>
        <w:rPr>
          <w:sz w:val="48"/>
          <w:b/>
        </w:rPr>
        <w:t>谈 判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原位傅里叶红外光谱仪、电镜样品预处理系统（等离子清洁仪及镀膜系统）采购项目(二次)</w:t>
      </w:r>
    </w:p>
    <w:p>
      <w:pPr>
        <w:pStyle w:val="null3"/>
        <w:jc w:val="center"/>
        <w:outlineLvl w:val="2"/>
      </w:pPr>
      <w:r>
        <w:rPr>
          <w:sz w:val="28"/>
          <w:b/>
        </w:rPr>
        <w:t>采购项目编号：</w:t>
      </w:r>
      <w:r>
        <w:rPr>
          <w:sz w:val="28"/>
          <w:b/>
        </w:rPr>
        <w:t>【KRDL】K4-2412094-02</w:t>
      </w:r>
      <w:r>
        <w:br/>
      </w:r>
      <w:r>
        <w:br/>
      </w:r>
      <w:r>
        <w:br/>
      </w:r>
    </w:p>
    <w:p>
      <w:pPr>
        <w:pStyle w:val="null3"/>
        <w:jc w:val="center"/>
        <w:outlineLvl w:val="2"/>
      </w:pPr>
      <w:r>
        <w:rPr>
          <w:sz w:val="28"/>
          <w:b/>
        </w:rPr>
        <w:t>西安建筑科技大学</w:t>
      </w:r>
    </w:p>
    <w:p>
      <w:pPr>
        <w:pStyle w:val="null3"/>
        <w:jc w:val="center"/>
        <w:outlineLvl w:val="2"/>
      </w:pPr>
      <w:r>
        <w:rPr>
          <w:sz w:val="28"/>
          <w:b/>
        </w:rPr>
        <w:t>开瑞项目管理有限公司</w:t>
      </w:r>
      <w:r>
        <w:rPr>
          <w:sz w:val="28"/>
          <w:b/>
        </w:rPr>
        <w:t>共同编制</w:t>
      </w:r>
    </w:p>
    <w:p>
      <w:pPr>
        <w:pStyle w:val="null3"/>
        <w:jc w:val="center"/>
        <w:outlineLvl w:val="2"/>
      </w:pPr>
      <w:r>
        <w:rPr>
          <w:sz w:val="28"/>
          <w:b/>
        </w:rPr>
        <w:t>2025年01月08日</w:t>
      </w:r>
    </w:p>
    <w:p>
      <w:pPr>
        <w:pStyle w:val="null3"/>
      </w:pPr>
      <w:r>
        <w:rPr/>
        <w:t xml:space="preserve"> </w:t>
        <w:br/>
        <w:br w:type="page"/>
      </w:r>
    </w:p>
    <w:p>
      <w:pPr>
        <w:pStyle w:val="null3"/>
        <w:jc w:val="center"/>
        <w:outlineLvl w:val="1"/>
      </w:pPr>
      <w:r>
        <w:rPr>
          <w:sz w:val="36"/>
          <w:b/>
        </w:rPr>
        <w:t>第一章 竞争性谈判邀请</w:t>
      </w:r>
    </w:p>
    <w:p>
      <w:pPr>
        <w:pStyle w:val="null3"/>
        <w:ind w:firstLine="480"/>
      </w:pPr>
      <w:r>
        <w:rPr/>
        <w:t>开瑞项目管理有限公司</w:t>
      </w:r>
      <w:r>
        <w:rPr/>
        <w:t>（以下简称“代理机构”）受</w:t>
      </w:r>
      <w:r>
        <w:rPr/>
        <w:t>西安建筑科技大学</w:t>
      </w:r>
      <w:r>
        <w:rPr/>
        <w:t>委托，拟对</w:t>
      </w:r>
      <w:r>
        <w:rPr/>
        <w:t>原位傅里叶红外光谱仪、电镜样品预处理系统（等离子清洁仪及镀膜系统）采购项目(二次)</w:t>
      </w:r>
      <w:r>
        <w:rPr/>
        <w:t>采用竞争性谈判采购方式进行采购，兹邀请供应商参加本项目的竞争性谈判。</w:t>
      </w:r>
    </w:p>
    <w:p>
      <w:pPr>
        <w:pStyle w:val="null3"/>
        <w:outlineLvl w:val="2"/>
      </w:pPr>
      <w:r>
        <w:rPr>
          <w:sz w:val="28"/>
          <w:b/>
        </w:rPr>
        <w:t>一、项目编号：</w:t>
      </w:r>
      <w:r>
        <w:rPr>
          <w:sz w:val="28"/>
          <w:b/>
        </w:rPr>
        <w:t>【KRDL】K4-2412094-02</w:t>
      </w:r>
    </w:p>
    <w:p>
      <w:pPr>
        <w:pStyle w:val="null3"/>
        <w:outlineLvl w:val="2"/>
      </w:pPr>
      <w:r>
        <w:rPr>
          <w:sz w:val="28"/>
          <w:b/>
        </w:rPr>
        <w:t>二、项目名称：</w:t>
      </w:r>
      <w:r>
        <w:rPr>
          <w:sz w:val="28"/>
          <w:b/>
        </w:rPr>
        <w:t>原位傅里叶红外光谱仪、电镜样品预处理系统（等离子清洁仪及镀膜系统）采购项目(二次)</w:t>
      </w:r>
    </w:p>
    <w:p>
      <w:pPr>
        <w:pStyle w:val="null3"/>
        <w:outlineLvl w:val="2"/>
      </w:pPr>
      <w:r>
        <w:rPr>
          <w:sz w:val="28"/>
          <w:b/>
        </w:rPr>
        <w:t>三、谈判项目简介：</w:t>
      </w:r>
    </w:p>
    <w:p>
      <w:pPr>
        <w:pStyle w:val="null3"/>
        <w:ind w:firstLine="480"/>
      </w:pPr>
      <w:r>
        <w:rPr/>
        <w:t>本项目拟采购一批试验设备，划分为2个采购包：【第一包：原位傅里叶红外光谱仪】、【第二包：电镜样品预处理系统（等离子清洁仪及镀膜系统）】，具体采购内容及要求详见竞争性谈判文件。</w:t>
      </w:r>
    </w:p>
    <w:p>
      <w:pPr>
        <w:pStyle w:val="null3"/>
        <w:outlineLvl w:val="2"/>
      </w:pPr>
      <w:r>
        <w:rPr>
          <w:sz w:val="28"/>
          <w:b/>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40"/>
        <w:jc w:val="left"/>
      </w:pPr>
      <w:r>
        <w:rPr>
          <w:sz w:val="22"/>
        </w:rPr>
        <w:t>注：监狱企业和残疾人福利性单位视同小微企业，符合中小企业划分标准的个体工商户视同中小企业。</w:t>
      </w:r>
    </w:p>
    <w:p>
      <w:pPr>
        <w:pStyle w:val="null3"/>
        <w:ind w:firstLine="480"/>
      </w:pPr>
      <w:r>
        <w:rPr/>
        <w:t>（三）本项目的特定资格要求：</w:t>
      </w:r>
    </w:p>
    <w:p>
      <w:pPr>
        <w:pStyle w:val="null3"/>
      </w:pPr>
      <w:r>
        <w:rPr/>
        <w:t>采购包1：</w:t>
      </w:r>
    </w:p>
    <w:p>
      <w:pPr>
        <w:pStyle w:val="null3"/>
      </w:pPr>
      <w:r>
        <w:rPr/>
        <w:t>1、主体资格：供应商应为向采购人提供相关货物的法人或其他组织；</w:t>
      </w:r>
    </w:p>
    <w:p>
      <w:pPr>
        <w:pStyle w:val="null3"/>
      </w:pPr>
      <w:r>
        <w:rPr/>
        <w:t>2、社会保障资金缴纳证明：供应商提供自2024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t>3、税收缴纳证明：供应商提供自2024年1月至今已缴纳的至少一个月纳税证明或完税证明，依法免税的单位应提供相关证明材料；</w:t>
      </w:r>
    </w:p>
    <w:p>
      <w:pPr>
        <w:pStyle w:val="null3"/>
      </w:pPr>
      <w:r>
        <w:rPr/>
        <w:t>4、财务状况证明：供应商提供经会计师事务所审计的2023年完整的财务审计报告或在开标日期前六个月内其基本开户银行出具的资信证明；</w:t>
      </w:r>
    </w:p>
    <w:p>
      <w:pPr>
        <w:pStyle w:val="null3"/>
      </w:pPr>
      <w:r>
        <w:rPr/>
        <w:t>5、信誉要求：截止至响应文件递交截止时间之前，供应商未被“信用中国”列入严重失信主体名单查询及重点领域严重失信主体名单查询，未被列入“中国政府采购网(www.ccgp.gov.cn)”政府采购严重违法失信行为记录名单；</w:t>
      </w:r>
    </w:p>
    <w:p>
      <w:pPr>
        <w:pStyle w:val="null3"/>
      </w:pPr>
      <w:r>
        <w:rPr/>
        <w:t>6、谈判授权代表：供应商应授权合法的人员参加本项目投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p>
    <w:p>
      <w:pPr>
        <w:pStyle w:val="null3"/>
      </w:pPr>
      <w:r>
        <w:rPr/>
        <w:t>7、是否接受进口产品：本包【原位傅里叶红外光谱仪】已做进口论证，接受进口产品的投标；投标人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pPr>
      <w:r>
        <w:rPr/>
        <w:t>8、是否面向中小企业采购：本项目不专门面向中小企业采购。</w:t>
      </w:r>
    </w:p>
    <w:p>
      <w:pPr>
        <w:pStyle w:val="null3"/>
      </w:pPr>
      <w:r>
        <w:rPr/>
        <w:t>采购包2：</w:t>
      </w:r>
    </w:p>
    <w:p>
      <w:pPr>
        <w:pStyle w:val="null3"/>
      </w:pPr>
      <w:r>
        <w:rPr/>
        <w:t>1、主体资格：供应商应为向采购人提供相关货物的法人或其他组织；</w:t>
      </w:r>
    </w:p>
    <w:p>
      <w:pPr>
        <w:pStyle w:val="null3"/>
      </w:pPr>
      <w:r>
        <w:rPr/>
        <w:t>2、社会保障资金缴纳证明：供应商提供自2024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t>3、税收缴纳证明：供应商提供自2024年1月至今已缴纳的至少一个月纳税证明或完税证明，依法免税的单位应提供相关证明材料；</w:t>
      </w:r>
    </w:p>
    <w:p>
      <w:pPr>
        <w:pStyle w:val="null3"/>
      </w:pPr>
      <w:r>
        <w:rPr/>
        <w:t>4、财务状况证明：供应商提供经会计师事务所审计的2023年完整的财务审计报告或在开标日期前六个月内其基本开户银行出具的资信证明；</w:t>
      </w:r>
    </w:p>
    <w:p>
      <w:pPr>
        <w:pStyle w:val="null3"/>
      </w:pPr>
      <w:r>
        <w:rPr/>
        <w:t>5、信誉要求：截止至响应文件递交截止时间之前，供应商未被“信用中国”列入严重失信主体名单查询及重点领域严重失信主体名单查询，未被列入“中国政府采购网(www.ccgp.gov.cn)”政府采购严重违法失信行为记录名单；</w:t>
      </w:r>
    </w:p>
    <w:p>
      <w:pPr>
        <w:pStyle w:val="null3"/>
      </w:pPr>
      <w:r>
        <w:rPr/>
        <w:t>6、谈判授权代表：供应商应授权合法的人员参加本项目投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p>
    <w:p>
      <w:pPr>
        <w:pStyle w:val="null3"/>
      </w:pPr>
      <w:r>
        <w:rPr/>
        <w:t>7、是否接受进口产品：本包【镀膜系统、等离子清洁仪】已做进口论证，接受进口产品的投标；投标人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pPr>
      <w:r>
        <w:rPr/>
        <w:t>8、是否面向中小企业采购：本项目不专门面向中小企业采购。</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西安建筑科技大学</w:t>
      </w:r>
    </w:p>
    <w:p>
      <w:pPr>
        <w:pStyle w:val="null3"/>
      </w:pPr>
      <w:r>
        <w:rPr/>
        <w:t xml:space="preserve"> 地址： </w:t>
      </w:r>
      <w:r>
        <w:rPr/>
        <w:t>西安市雁塔路中段13号</w:t>
      </w:r>
    </w:p>
    <w:p>
      <w:pPr>
        <w:pStyle w:val="null3"/>
      </w:pPr>
      <w:r>
        <w:rPr/>
        <w:t xml:space="preserve"> 邮编： </w:t>
      </w:r>
      <w:r>
        <w:rPr/>
        <w:t>710055</w:t>
      </w:r>
    </w:p>
    <w:p>
      <w:pPr>
        <w:pStyle w:val="null3"/>
      </w:pPr>
      <w:r>
        <w:rPr/>
        <w:t xml:space="preserve"> 联系人： </w:t>
      </w:r>
      <w:r>
        <w:rPr/>
        <w:t>胡老师</w:t>
      </w:r>
    </w:p>
    <w:p>
      <w:pPr>
        <w:pStyle w:val="null3"/>
      </w:pPr>
      <w:r>
        <w:rPr/>
        <w:t xml:space="preserve"> 联系电话： </w:t>
      </w:r>
      <w:r>
        <w:rPr/>
        <w:t>029-82202221</w:t>
      </w:r>
    </w:p>
    <w:p>
      <w:pPr>
        <w:pStyle w:val="null3"/>
        <w:outlineLvl w:val="3"/>
      </w:pPr>
      <w:r>
        <w:rPr>
          <w:sz w:val="24"/>
          <w:b/>
        </w:rPr>
        <w:t>代理机构：</w:t>
      </w:r>
      <w:r>
        <w:rPr>
          <w:sz w:val="24"/>
          <w:b/>
        </w:rPr>
        <w:t>开瑞项目管理有限公司</w:t>
      </w:r>
    </w:p>
    <w:p>
      <w:pPr>
        <w:pStyle w:val="null3"/>
      </w:pPr>
      <w:r>
        <w:rPr/>
        <w:t xml:space="preserve"> 地址： </w:t>
      </w:r>
      <w:r>
        <w:rPr/>
        <w:t>陕西省西安市莲湖区高新二路1号招商银行大厦19层</w:t>
      </w:r>
    </w:p>
    <w:p>
      <w:pPr>
        <w:pStyle w:val="null3"/>
      </w:pPr>
      <w:r>
        <w:rPr/>
        <w:t xml:space="preserve"> 邮编： </w:t>
      </w:r>
      <w:r>
        <w:rPr/>
        <w:t>710000</w:t>
      </w:r>
    </w:p>
    <w:p>
      <w:pPr>
        <w:pStyle w:val="null3"/>
      </w:pPr>
      <w:r>
        <w:rPr/>
        <w:t xml:space="preserve"> 联系人： </w:t>
      </w:r>
      <w:r>
        <w:rPr/>
        <w:t>姚瑶、代光艳</w:t>
      </w:r>
    </w:p>
    <w:p>
      <w:pPr>
        <w:pStyle w:val="null3"/>
      </w:pPr>
      <w:r>
        <w:rPr/>
        <w:t xml:space="preserve"> 联系电话： </w:t>
      </w:r>
      <w:r>
        <w:rPr/>
        <w:t>029-89581311、17302920968</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采购包1：800,000.00元</w:t>
            </w:r>
          </w:p>
          <w:p>
            <w:pPr>
              <w:pStyle w:val="null3"/>
            </w:pPr>
            <w:r>
              <w:rPr/>
              <w:t>采购包2：550,000.00元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r>
              <w:rPr/>
              <w:t xml:space="preserve"> 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采购包1保证金金额：15,004.00元</w:t>
            </w:r>
          </w:p>
          <w:p>
            <w:pPr>
              <w:pStyle w:val="null3"/>
            </w:pPr>
            <w:r>
              <w:rPr/>
              <w:t>采购包2保证金金额：10,004.00元</w:t>
            </w:r>
          </w:p>
          <w:p>
            <w:pPr>
              <w:pStyle w:val="null3"/>
            </w:pPr>
            <w:r>
              <w:rPr/>
              <w:t>缴交渠道：转账、支票、汇票等（需通过实体账户、户名及开户行信息）,电子保函</w:t>
            </w:r>
          </w:p>
          <w:p>
            <w:pPr>
              <w:pStyle w:val="null3"/>
            </w:pPr>
            <w:r>
              <w:rPr/>
              <w:t>开户名称：开瑞项目管理有限公司</w:t>
            </w:r>
          </w:p>
          <w:p>
            <w:pPr>
              <w:pStyle w:val="null3"/>
            </w:pPr>
            <w:r>
              <w:rPr/>
              <w:t>开户银行：招商银行股份有限公司西安分行营业部</w:t>
            </w:r>
          </w:p>
          <w:p>
            <w:pPr>
              <w:pStyle w:val="null3"/>
            </w:pPr>
            <w:r>
              <w:rPr/>
              <w:t>银行账号：129905724510703</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本采购包履约保证金为合同金额的10.0%</w:t>
            </w:r>
          </w:p>
          <w:p>
            <w:pPr>
              <w:pStyle w:val="null3"/>
            </w:pPr>
            <w:r>
              <w:rPr/>
              <w:t>说明：（1）合同签订前，中标人须向采购人提交合同总价的10%作为履约保证金；（2）设备到货并由采购人验收合格后，中标人申请，采购人将履约保证金（无息）退还中标人。</w:t>
            </w:r>
          </w:p>
          <w:p>
            <w:pPr>
              <w:pStyle w:val="null3"/>
            </w:pPr>
            <w:r>
              <w:rPr/>
              <w:t>采购包2：缴纳</w:t>
            </w:r>
          </w:p>
          <w:p>
            <w:pPr>
              <w:pStyle w:val="null3"/>
            </w:pPr>
            <w:r>
              <w:rPr/>
              <w:t>本采购包履约保证金为合同金额的10.0%</w:t>
            </w:r>
          </w:p>
          <w:p>
            <w:pPr>
              <w:pStyle w:val="null3"/>
            </w:pPr>
            <w:r>
              <w:rPr/>
              <w:t>说明：（1）合同签订前，中标人须向采购人提交合同总价的10%作为履约保证金；（2）设备到货并由采购人验收合格后，中标人申请，采购人将履约保证金（无息）退还中标人。</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13</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由各包成交供应商参照国家计委颁发的《招标代理服务收费管理暂行办法》（计价格[2002]1980号）和国家发展改革委员会办公厅颁发的《关于招标代理服务收费有关问题的通知》（发改办价格[2003] 857号）的有关规定标准下浮25%向采购代理机构一次付清代理服务费。备注：在对采购代理服务费或者响应保证金转账时需备注项目名称及采购包名称+采购代理服务费或响应保证金。</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一、本竞争性谈判文件仅适用于本次竞争性谈判采购项目。</w:t>
      </w:r>
    </w:p>
    <w:p>
      <w:pPr>
        <w:pStyle w:val="null3"/>
        <w:ind w:firstLine="480"/>
      </w:pPr>
      <w:r>
        <w:rPr/>
        <w:t>二、本竞争性谈判文件的最终解释权由</w:t>
      </w:r>
      <w:r>
        <w:rPr/>
        <w:t>西安建筑科技大学</w:t>
      </w:r>
      <w:r>
        <w:rPr/>
        <w:t>和</w:t>
      </w:r>
      <w:r>
        <w:rPr/>
        <w:t>开瑞项目管理有限公司</w:t>
      </w:r>
      <w:r>
        <w:rPr/>
        <w:t>享有。竞争性谈判文件中供应商参加本次政府采购活动应当具备的条件、技术清单、参数、商务及其他要求由</w:t>
      </w:r>
      <w:r>
        <w:rPr/>
        <w:t>西安建筑科技大学</w:t>
      </w:r>
      <w:r>
        <w:rPr/>
        <w:t>负责解释。除上述竞争性谈判文件内容，其他内容由</w:t>
      </w:r>
      <w:r>
        <w:rPr/>
        <w:t>开瑞项目管理有限公司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一、“采购人”是指依法进行政府采购的各级国家机关、事业单位、团体组织。本次谈判的采购人是</w:t>
      </w:r>
      <w:r>
        <w:rPr/>
        <w:t>西安建筑科技大学</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开瑞项目管理有限公司</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3"/>
      </w:pPr>
      <w:r>
        <w:rPr>
          <w:sz w:val="24"/>
          <w:b/>
        </w:rPr>
        <w:t>2.2.3响应费用（实质性要求）</w:t>
      </w:r>
    </w:p>
    <w:p>
      <w:pPr>
        <w:pStyle w:val="null3"/>
        <w:ind w:firstLine="480"/>
      </w:pPr>
      <w:r>
        <w:rPr/>
        <w:t>供应商应自行承担参加竞争性谈判采购活动的全部费用。</w:t>
      </w:r>
    </w:p>
    <w:p>
      <w:pPr>
        <w:pStyle w:val="null3"/>
        <w:outlineLvl w:val="2"/>
      </w:pPr>
      <w:r>
        <w:rPr>
          <w:sz w:val="28"/>
          <w:b/>
        </w:rPr>
        <w:t>2.3竞争性谈判文件</w:t>
      </w:r>
    </w:p>
    <w:p>
      <w:pPr>
        <w:pStyle w:val="null3"/>
        <w:outlineLvl w:val="3"/>
      </w:pPr>
      <w:r>
        <w:rPr>
          <w:sz w:val="24"/>
          <w:b/>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sz w:val="24"/>
          <w:b/>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除谈判文件中另有规定外，本项目均采用国家法定的计量单位。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四、构成本谈判文件的各组成部分，未经采购人书面同意，供应商不得擅自复印或用于非本谈判项目所需的其他目的。</w:t>
      </w:r>
    </w:p>
    <w:p>
      <w:pPr>
        <w:pStyle w:val="null3"/>
        <w:outlineLvl w:val="3"/>
      </w:pPr>
      <w:r>
        <w:rPr>
          <w:sz w:val="24"/>
          <w:b/>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响应文件具体内容详见第七章。</w:t>
      </w:r>
    </w:p>
    <w:p>
      <w:pPr>
        <w:pStyle w:val="null3"/>
        <w:outlineLvl w:val="3"/>
      </w:pPr>
      <w:r>
        <w:rPr>
          <w:sz w:val="24"/>
          <w:b/>
        </w:rPr>
        <w:t>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一、供应商的报价是其响应谈判项目要求的全部工作内容的价格体现，包括供应商完成本项目所需的一切费用。</w:t>
      </w:r>
    </w:p>
    <w:p>
      <w:pPr>
        <w:pStyle w:val="null3"/>
        <w:ind w:firstLine="480"/>
      </w:pPr>
      <w:r>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一、响应文件应当根据谈判通知书进行编制。供应商应通过陕西省政府采购网-办事指南-CA及签章服务下载投标（响应）客户端，使用客户端编制响应文件。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2.5开启、资格审查、谈判和确定成交供应商</w:t>
      </w:r>
    </w:p>
    <w:p>
      <w:pPr>
        <w:pStyle w:val="null3"/>
        <w:outlineLvl w:val="3"/>
      </w:pPr>
      <w:r>
        <w:rPr>
          <w:sz w:val="24"/>
          <w:b/>
        </w:rPr>
        <w:t>2.5.1谈判开启程序</w:t>
      </w:r>
    </w:p>
    <w:p>
      <w:pPr>
        <w:pStyle w:val="null3"/>
        <w:ind w:firstLine="480"/>
      </w:pPr>
      <w:r>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详见谈判文件第四章。</w:t>
      </w:r>
    </w:p>
    <w:p>
      <w:pPr>
        <w:pStyle w:val="null3"/>
        <w:outlineLvl w:val="3"/>
      </w:pPr>
      <w:r>
        <w:rPr>
          <w:sz w:val="24"/>
          <w:b/>
        </w:rPr>
        <w:t>2.5.4谈判</w:t>
      </w:r>
    </w:p>
    <w:p>
      <w:pPr>
        <w:pStyle w:val="null3"/>
        <w:ind w:firstLine="480"/>
      </w:pPr>
      <w:r>
        <w:rPr/>
        <w:t>详见谈判文件第六章。</w:t>
      </w:r>
    </w:p>
    <w:p>
      <w:pPr>
        <w:pStyle w:val="null3"/>
        <w:outlineLvl w:val="3"/>
      </w:pPr>
      <w:r>
        <w:rPr>
          <w:sz w:val="24"/>
          <w:b/>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sz w:val="28"/>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sz w:val="28"/>
          <w:b/>
        </w:rPr>
        <w:t>2.6.7履约验收方案</w:t>
      </w:r>
    </w:p>
    <w:p>
      <w:pPr>
        <w:pStyle w:val="null3"/>
      </w:pPr>
      <w:r>
        <w:rPr/>
        <w:t>采购包1：</w:t>
      </w:r>
    </w:p>
    <w:p>
      <w:pPr>
        <w:pStyle w:val="null3"/>
      </w:pPr>
      <w:r>
        <w:rPr/>
        <w:t>详见合同文本。</w:t>
      </w:r>
    </w:p>
    <w:p>
      <w:pPr>
        <w:pStyle w:val="null3"/>
      </w:pPr>
      <w:r>
        <w:rPr/>
        <w:t>采购包2：</w:t>
      </w:r>
    </w:p>
    <w:p>
      <w:pPr>
        <w:pStyle w:val="null3"/>
      </w:pPr>
      <w:r>
        <w:rPr/>
        <w:t>详见合同文本。</w:t>
      </w:r>
    </w:p>
    <w:p>
      <w:pPr>
        <w:pStyle w:val="null3"/>
        <w:outlineLvl w:val="2"/>
      </w:pPr>
      <w:r>
        <w:rPr>
          <w:sz w:val="28"/>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sz w:val="24"/>
          <w:b/>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开瑞项目管理有限公司</w:t>
      </w:r>
      <w:r>
        <w:rPr/>
        <w:t xml:space="preserve"> 负责答复；供应商对除采购需求外的采购文件的询问、质疑由</w:t>
      </w:r>
      <w:r>
        <w:rPr/>
        <w:t>开瑞项目管理有限公司</w:t>
      </w:r>
      <w:r>
        <w:rPr/>
        <w:t xml:space="preserve"> 负责答复；供应商对采购过程、采购结果的询问、质疑由 </w:t>
      </w:r>
      <w:r>
        <w:rPr/>
        <w:t>开瑞项目管理有限公司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pPr>
      <w:r>
        <w:rPr/>
        <w:t>答复主体：代理机构</w:t>
      </w:r>
    </w:p>
    <w:p>
      <w:pPr>
        <w:pStyle w:val="null3"/>
      </w:pPr>
      <w:r>
        <w:rPr/>
        <w:t>联系人：姚瑶、代光艳</w:t>
      </w:r>
    </w:p>
    <w:p>
      <w:pPr>
        <w:pStyle w:val="null3"/>
      </w:pPr>
      <w:r>
        <w:rPr/>
        <w:t>联系电话：17302920968</w:t>
      </w:r>
    </w:p>
    <w:p>
      <w:pPr>
        <w:pStyle w:val="null3"/>
      </w:pPr>
      <w:r>
        <w:rPr/>
        <w:t>地址：陕西省西安市莲湖区高新二路1号招商银行大厦19层</w:t>
      </w:r>
    </w:p>
    <w:p>
      <w:pPr>
        <w:pStyle w:val="null3"/>
      </w:pPr>
      <w:r>
        <w:rPr/>
        <w:t>邮编：710000</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t xml:space="preserve"> </w:t>
        <w:br/>
        <w:br w:type="page"/>
      </w:r>
    </w:p>
    <w:p>
      <w:pPr>
        <w:pStyle w:val="null3"/>
        <w:jc w:val="center"/>
        <w:outlineLvl w:val="1"/>
      </w:pPr>
      <w:r>
        <w:rPr>
          <w:sz w:val="36"/>
          <w:b/>
        </w:rPr>
        <w:t>第三章 谈判项目技术、服务、商务及其他要求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本项目拟采购一批试验设备，划分为2个采购包：【第一包：原位傅里叶红外光谱仪】、【第二包：电镜样品预处理系统（等离子清洁仪及镀膜系统）】，具体采购内容及要求详见竞争性谈判文件。</w:t>
      </w:r>
    </w:p>
    <w:p>
      <w:pPr>
        <w:pStyle w:val="null3"/>
        <w:outlineLvl w:val="2"/>
      </w:pPr>
      <w:r>
        <w:rPr>
          <w:sz w:val="28"/>
          <w:b/>
        </w:rPr>
        <w:t>3.2采购内容</w:t>
      </w:r>
    </w:p>
    <w:p>
      <w:pPr>
        <w:pStyle w:val="null3"/>
      </w:pPr>
      <w:r>
        <w:rPr/>
        <w:t>采购包1：</w:t>
      </w:r>
    </w:p>
    <w:p>
      <w:pPr>
        <w:pStyle w:val="null3"/>
      </w:pPr>
      <w:r>
        <w:rPr/>
        <w:t>采购包预算金额（元）: 800,000.00</w:t>
      </w:r>
    </w:p>
    <w:p>
      <w:pPr>
        <w:pStyle w:val="null3"/>
      </w:pPr>
      <w:r>
        <w:rPr/>
        <w:t>采购包最高限价（元）: 760,000.00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原位傅里叶红外光谱仪</w:t>
            </w:r>
          </w:p>
        </w:tc>
        <w:tc>
          <w:tcPr>
            <w:tcW w:type="dxa" w:w="831"/>
          </w:tcPr>
          <w:p>
            <w:pPr>
              <w:pStyle w:val="null3"/>
              <w:jc w:val="right"/>
            </w:pPr>
            <w:r>
              <w:rPr/>
              <w:t>1.00</w:t>
            </w:r>
          </w:p>
        </w:tc>
        <w:tc>
          <w:tcPr>
            <w:tcW w:type="dxa" w:w="831"/>
          </w:tcPr>
          <w:p>
            <w:pPr>
              <w:pStyle w:val="null3"/>
              <w:jc w:val="right"/>
            </w:pPr>
            <w:r>
              <w:rPr/>
              <w:t>800,000.00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550,000.00</w:t>
      </w:r>
    </w:p>
    <w:p>
      <w:pPr>
        <w:pStyle w:val="null3"/>
      </w:pPr>
      <w:r>
        <w:rPr/>
        <w:t>采购包最高限价（元）: 522,500.00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电镜样品预处理系统(等离子清洁仪及镀膜系统)</w:t>
            </w:r>
          </w:p>
        </w:tc>
        <w:tc>
          <w:tcPr>
            <w:tcW w:type="dxa" w:w="831"/>
          </w:tcPr>
          <w:p>
            <w:pPr>
              <w:pStyle w:val="null3"/>
              <w:jc w:val="right"/>
            </w:pPr>
            <w:r>
              <w:rPr/>
              <w:t>1.00</w:t>
            </w:r>
          </w:p>
        </w:tc>
        <w:tc>
          <w:tcPr>
            <w:tcW w:type="dxa" w:w="831"/>
          </w:tcPr>
          <w:p>
            <w:pPr>
              <w:pStyle w:val="null3"/>
              <w:jc w:val="right"/>
            </w:pPr>
            <w:r>
              <w:rPr/>
              <w:t>550,000.00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标的名称：原位傅里叶红外光谱仪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pPr>
                  <w:r>
                    <w:rPr/>
                    <w:t>序号</w:t>
                  </w:r>
                </w:p>
              </w:tc>
              <w:tc>
                <w:tcPr>
                  <w:tcW w:type="dxa" w:w="511"/>
                </w:tcPr>
                <w:p>
                  <w:pPr>
                    <w:pStyle w:val="null3"/>
                  </w:pPr>
                  <w:r>
                    <w:rPr/>
                    <w:t>产品名称</w:t>
                  </w:r>
                </w:p>
              </w:tc>
              <w:tc>
                <w:tcPr>
                  <w:tcW w:type="dxa" w:w="511"/>
                </w:tcPr>
                <w:p>
                  <w:pPr>
                    <w:pStyle w:val="null3"/>
                  </w:pPr>
                  <w:r>
                    <w:rPr/>
                    <w:t>技术标准</w:t>
                  </w:r>
                </w:p>
              </w:tc>
              <w:tc>
                <w:tcPr>
                  <w:tcW w:type="dxa" w:w="511"/>
                </w:tcPr>
                <w:p>
                  <w:pPr>
                    <w:pStyle w:val="null3"/>
                  </w:pPr>
                  <w:r>
                    <w:rPr/>
                    <w:t>配置要求</w:t>
                  </w:r>
                </w:p>
              </w:tc>
              <w:tc>
                <w:tcPr>
                  <w:tcW w:type="dxa" w:w="511"/>
                </w:tcPr>
                <w:p>
                  <w:pPr>
                    <w:pStyle w:val="null3"/>
                  </w:pPr>
                  <w:r>
                    <w:rPr/>
                    <w:t>数量</w:t>
                  </w:r>
                </w:p>
              </w:tc>
            </w:tr>
            <w:tr>
              <w:tc>
                <w:tcPr>
                  <w:tcW w:type="dxa" w:w="511"/>
                </w:tcPr>
                <w:p>
                  <w:pPr>
                    <w:pStyle w:val="null3"/>
                  </w:pPr>
                  <w:r>
                    <w:rPr/>
                    <w:t>1</w:t>
                  </w:r>
                </w:p>
              </w:tc>
              <w:tc>
                <w:tcPr>
                  <w:tcW w:type="dxa" w:w="511"/>
                </w:tcPr>
                <w:p>
                  <w:pPr>
                    <w:pStyle w:val="null3"/>
                  </w:pPr>
                  <w:r>
                    <w:rPr/>
                    <w:t>原位傅里叶红外光谱仪</w:t>
                  </w:r>
                </w:p>
              </w:tc>
              <w:tc>
                <w:tcPr>
                  <w:tcW w:type="dxa" w:w="511"/>
                </w:tcPr>
                <w:p>
                  <w:pPr>
                    <w:pStyle w:val="null3"/>
                  </w:pPr>
                  <w:r>
                    <w:rPr/>
                    <w:t>1. 工作条件：</w:t>
                  </w:r>
                </w:p>
                <w:p>
                  <w:pPr>
                    <w:pStyle w:val="null3"/>
                  </w:pPr>
                  <w:r>
                    <w:rPr/>
                    <w:t>1.1 湿度:≤80%</w:t>
                  </w:r>
                </w:p>
                <w:p>
                  <w:pPr>
                    <w:pStyle w:val="null3"/>
                  </w:pPr>
                  <w:r>
                    <w:rPr/>
                    <w:t>1.2 温度: 15-30 ℃</w:t>
                  </w:r>
                </w:p>
                <w:p>
                  <w:pPr>
                    <w:pStyle w:val="null3"/>
                  </w:pPr>
                  <w:r>
                    <w:rPr/>
                    <w:t>1.3 电源: 100-240 VAC，50-60 Hz</w:t>
                  </w:r>
                </w:p>
                <w:p>
                  <w:pPr>
                    <w:pStyle w:val="null3"/>
                  </w:pPr>
                  <w:r>
                    <w:rPr/>
                    <w:t>2.主要功能：傅里叶红外光谱仪主机必须具有密封功能，能够最大限度排除空气干扰，有效地表征样品结构信息，而且，仪器的扩展能力强，既可以扩展光谱检测范围，又能够扩展连接多个大型附件，具备七个输入/输出光路接口，并可由计算机控制转换，满足未来科研需求。</w:t>
                  </w:r>
                </w:p>
                <w:p>
                  <w:pPr>
                    <w:pStyle w:val="null3"/>
                  </w:pPr>
                  <w:r>
                    <w:rPr/>
                    <w:t>3. 红外主机：红外光谱仪的光学腔、样品腔必须为密封，能够连接红外显微镜、傅里叶变换拉曼模块、气相色谱、热分析等联机系统进行分析。</w:t>
                  </w:r>
                </w:p>
                <w:p>
                  <w:pPr>
                    <w:pStyle w:val="null3"/>
                  </w:pPr>
                  <w:r>
                    <w:rPr/>
                    <w:t>3.1 光谱范围：8000-350 cm</w:t>
                  </w:r>
                  <w:r>
                    <w:rPr>
                      <w:vertAlign w:val="superscript"/>
                    </w:rPr>
                    <w:t>-1</w:t>
                  </w:r>
                  <w:r>
                    <w:rPr/>
                    <w:t>。</w:t>
                  </w:r>
                </w:p>
                <w:p>
                  <w:pPr>
                    <w:pStyle w:val="null3"/>
                  </w:pPr>
                  <w:r>
                    <w:rPr/>
                    <w:t>3.2 光谱分辨率：≤0.4 cm</w:t>
                  </w:r>
                  <w:r>
                    <w:rPr>
                      <w:vertAlign w:val="superscript"/>
                    </w:rPr>
                    <w:t>-1</w:t>
                  </w:r>
                  <w:r>
                    <w:rPr/>
                    <w:t>，间隔连续可调。</w:t>
                  </w:r>
                </w:p>
                <w:p>
                  <w:pPr>
                    <w:pStyle w:val="null3"/>
                  </w:pPr>
                  <w:r>
                    <w:rPr/>
                    <w:t>3.3 波数准确度：≤0.005 cm</w:t>
                  </w:r>
                  <w:r>
                    <w:rPr>
                      <w:vertAlign w:val="superscript"/>
                    </w:rPr>
                    <w:t>-1</w:t>
                  </w:r>
                  <w:r>
                    <w:rPr/>
                    <w:t>。</w:t>
                  </w:r>
                </w:p>
                <w:p>
                  <w:pPr>
                    <w:pStyle w:val="null3"/>
                  </w:pPr>
                  <w:r>
                    <w:rPr/>
                    <w:t>3.4 透光率准度：≤0.07%T。</w:t>
                  </w:r>
                </w:p>
                <w:p>
                  <w:pPr>
                    <w:pStyle w:val="null3"/>
                  </w:pPr>
                  <w:r>
                    <w:rPr/>
                    <w:t>3.5 波数重复性：≤0.0005 cm</w:t>
                  </w:r>
                  <w:r>
                    <w:rPr>
                      <w:vertAlign w:val="superscript"/>
                    </w:rPr>
                    <w:t>-1</w:t>
                  </w:r>
                  <w:r>
                    <w:rPr/>
                    <w:t>。</w:t>
                  </w:r>
                </w:p>
                <w:p>
                  <w:pPr>
                    <w:pStyle w:val="null3"/>
                  </w:pPr>
                  <w:r>
                    <w:rPr/>
                    <w:t>3.6 信噪比：≥60000:1。</w:t>
                  </w:r>
                </w:p>
                <w:p>
                  <w:pPr>
                    <w:pStyle w:val="null3"/>
                  </w:pPr>
                  <w:r>
                    <w:rPr/>
                    <w:t>3.7 干涉仪：平面镜—立体角镜干涉仪，光路入射角度≤30度，避免偏振效应，保证最大光通量。光路永久准直、无需被动式动态调整。</w:t>
                  </w:r>
                </w:p>
                <w:p>
                  <w:pPr>
                    <w:pStyle w:val="null3"/>
                  </w:pPr>
                  <w:r>
                    <w:rPr/>
                    <w:t>3.8 检测器：高灵敏度的中红外DLATGS检测器和MCT检测器，各检测器均由软件控制自动切换，无需任何手动插拔或其他手动更换检测器的操作，全数字化设计，直接输出数字信号。</w:t>
                  </w:r>
                </w:p>
                <w:p>
                  <w:pPr>
                    <w:pStyle w:val="null3"/>
                  </w:pPr>
                  <w:r>
                    <w:rPr/>
                    <w:t>3.9 仪器内置包含各种标准物质的IVU校验系统，通过验证程序可对仪器进行PQ/OQ测试，对仪器的各项指标随时进行验证，并给出验证报告。</w:t>
                  </w:r>
                </w:p>
                <w:p>
                  <w:pPr>
                    <w:pStyle w:val="null3"/>
                  </w:pPr>
                  <w:r>
                    <w:rPr/>
                    <w:t>3.10 红外控制软件</w:t>
                  </w:r>
                </w:p>
                <w:p>
                  <w:pPr>
                    <w:pStyle w:val="null3"/>
                  </w:pPr>
                  <w:r>
                    <w:rPr/>
                    <w:t>是专门为实验室和工业在线环境下设计的集成化软件，用于红外数据的采集、处理、评价和报告，全中文操作界面。</w:t>
                  </w:r>
                </w:p>
                <w:p>
                  <w:pPr>
                    <w:pStyle w:val="null3"/>
                  </w:pPr>
                  <w:r>
                    <w:rPr/>
                    <w:t>3.10.1 包括：红外光谱仪控制、数据采集、谱图处理、数据转换、多组分定量化学计量学等操作软件；曲线分峰拟合软件；干涉图转换光谱图，反FT变换，对称FT变换，单一峰位检索，聚类分析，欧氏距离算法，可根据晶体材质及入射角度进行高级ATR校正，比尔定律定量分析；中文界面。</w:t>
                  </w:r>
                </w:p>
                <w:p>
                  <w:pPr>
                    <w:pStyle w:val="null3"/>
                  </w:pPr>
                  <w:r>
                    <w:rPr/>
                    <w:t>3.10.2 实时监测光谱仪中各硬件光源、激光器、干涉仪、检测器、电子元件、自动化单元的状态。</w:t>
                  </w:r>
                </w:p>
                <w:p>
                  <w:pPr>
                    <w:pStyle w:val="null3"/>
                  </w:pPr>
                  <w:r>
                    <w:rPr/>
                    <w:t>3.10.3 H</w:t>
                  </w:r>
                  <w:r>
                    <w:rPr>
                      <w:vertAlign w:val="subscript"/>
                    </w:rPr>
                    <w:t>2</w:t>
                  </w:r>
                  <w:r>
                    <w:rPr/>
                    <w:t>O/CO</w:t>
                  </w:r>
                  <w:r>
                    <w:rPr>
                      <w:vertAlign w:val="subscript"/>
                    </w:rPr>
                    <w:t>2</w:t>
                  </w:r>
                  <w:r>
                    <w:rPr/>
                    <w:t xml:space="preserve"> 自动补偿软件。</w:t>
                  </w:r>
                </w:p>
                <w:p>
                  <w:pPr>
                    <w:pStyle w:val="null3"/>
                  </w:pPr>
                  <w:r>
                    <w:rPr/>
                    <w:t>3.10.4 图谱库，不少于20万张，负责终身更新升级，相关费用包含在投标报价中，招标人不在另行支付。</w:t>
                  </w:r>
                </w:p>
                <w:p>
                  <w:pPr>
                    <w:pStyle w:val="null3"/>
                  </w:pPr>
                  <w:r>
                    <w:rPr/>
                    <w:t>3.11 金刚石ATR附件：用于样品仓的单反射金刚石ATR附件，用于分析强吸收物质（如聚合物、橡胶、涂料、纤维等）、较硬的样品或者腐蚀性样品；与红外光谱仪主机同品牌。</w:t>
                  </w:r>
                </w:p>
                <w:p>
                  <w:pPr>
                    <w:pStyle w:val="null3"/>
                  </w:pPr>
                  <w:r>
                    <w:rPr/>
                    <w:t>3.12 电化学原位表征系统1套。</w:t>
                  </w:r>
                </w:p>
                <w:p>
                  <w:pPr>
                    <w:pStyle w:val="null3"/>
                  </w:pPr>
                  <w:r>
                    <w:rPr/>
                    <w:t>3.12.1 包含连续变角附件和用于实施内反射测量和外反射测量的电化学原位池。</w:t>
                  </w:r>
                </w:p>
                <w:p>
                  <w:pPr>
                    <w:pStyle w:val="null3"/>
                  </w:pPr>
                  <w:r>
                    <w:rPr/>
                    <w:t>3.12.2 变角反射附件，入射角度30-80度连续可调。</w:t>
                  </w:r>
                </w:p>
                <w:p>
                  <w:pPr>
                    <w:pStyle w:val="null3"/>
                  </w:pPr>
                  <w:r>
                    <w:rPr/>
                    <w:t>3.12.3 电化学原位池，兼容连续可变角度的外反射测量、ATR测量和表面增强ATR测量三种测量模式，池体为PEEK材质，包含电极引入口、气体/液体出入口，可进行静态或流动态的电化学原位测量。</w:t>
                  </w:r>
                </w:p>
                <w:p>
                  <w:pPr>
                    <w:pStyle w:val="null3"/>
                  </w:pPr>
                  <w:r>
                    <w:rPr/>
                    <w:t>3.12.4 提供楔形硅ATR晶体，提供硅晶体的ATR底座和原位池，可获得包含中红外全波段信息的红外谱图。</w:t>
                  </w:r>
                </w:p>
                <w:p>
                  <w:pPr>
                    <w:pStyle w:val="null3"/>
                  </w:pPr>
                  <w:r>
                    <w:rPr/>
                    <w:t>3.12.5 提供工作电极、对电极和参比电极，提供硅晶体镀金培训。</w:t>
                  </w:r>
                </w:p>
                <w:p>
                  <w:pPr>
                    <w:pStyle w:val="null3"/>
                  </w:pPr>
                  <w:r>
                    <w:rPr/>
                    <w:t>3.13 原位透射表征系统1套</w:t>
                  </w:r>
                </w:p>
                <w:p>
                  <w:pPr>
                    <w:pStyle w:val="null3"/>
                  </w:pPr>
                  <w:r>
                    <w:rPr/>
                    <w:t>3.13.1 可控温度范围：室温-600℃，控温精度±1℃，可在高温、真空或反应气氛下进行原位红外光谱测量。</w:t>
                  </w:r>
                </w:p>
                <w:p>
                  <w:pPr>
                    <w:pStyle w:val="null3"/>
                  </w:pPr>
                  <w:r>
                    <w:rPr/>
                    <w:t>3.13.2 提供液态探针分子吸附附件，可进行液态探针分子吸附实验。</w:t>
                  </w:r>
                </w:p>
                <w:p>
                  <w:pPr>
                    <w:pStyle w:val="null3"/>
                  </w:pPr>
                  <w:r>
                    <w:rPr/>
                    <w:t>3.13.3 提供可更换窗体套装，提供氟化钙、氟化钡红外窗体。</w:t>
                  </w:r>
                </w:p>
                <w:p>
                  <w:pPr>
                    <w:pStyle w:val="null3"/>
                  </w:pPr>
                  <w:r>
                    <w:rPr/>
                    <w:t>3.13.4 提供配套真空获得设备，可获得优于10</w:t>
                  </w:r>
                  <w:r>
                    <w:rPr>
                      <w:vertAlign w:val="superscript"/>
                    </w:rPr>
                    <w:t>-3</w:t>
                  </w:r>
                  <w:r>
                    <w:rPr/>
                    <w:t>mbar的真空度。</w:t>
                  </w:r>
                </w:p>
                <w:p>
                  <w:pPr>
                    <w:pStyle w:val="null3"/>
                  </w:pPr>
                  <w:r>
                    <w:rPr/>
                    <w:t>3.13.5 提供带压缩制冷功能的冷却循环泵，为原位池提供水冷保护。</w:t>
                  </w:r>
                </w:p>
              </w:tc>
              <w:tc>
                <w:tcPr>
                  <w:tcW w:type="dxa" w:w="511"/>
                </w:tcPr>
                <w:p>
                  <w:pPr>
                    <w:pStyle w:val="null3"/>
                  </w:pPr>
                  <w:r>
                    <w:rPr/>
                    <w:t>4.配置单</w:t>
                  </w:r>
                </w:p>
                <w:p>
                  <w:pPr>
                    <w:pStyle w:val="null3"/>
                  </w:pPr>
                  <w:r>
                    <w:rPr/>
                    <w:t>4.1红外光谱仪主机（包含：常温检测器和MCT液氮冷却检测器） 1台</w:t>
                  </w:r>
                </w:p>
                <w:p>
                  <w:pPr>
                    <w:pStyle w:val="null3"/>
                  </w:pPr>
                  <w:r>
                    <w:rPr/>
                    <w:t>4.2金刚石ATR附件    1套</w:t>
                  </w:r>
                </w:p>
                <w:p>
                  <w:pPr>
                    <w:pStyle w:val="null3"/>
                  </w:pPr>
                  <w:r>
                    <w:rPr/>
                    <w:t>4.3电化学原位表征系统  1套</w:t>
                  </w:r>
                </w:p>
                <w:p>
                  <w:pPr>
                    <w:pStyle w:val="null3"/>
                  </w:pPr>
                  <w:r>
                    <w:rPr/>
                    <w:t>4.4原位透射表征系统   1套</w:t>
                  </w:r>
                </w:p>
                <w:p>
                  <w:pPr>
                    <w:pStyle w:val="null3"/>
                  </w:pPr>
                  <w:r>
                    <w:rPr/>
                    <w:t>4.5国产15吨压片机   1台</w:t>
                  </w:r>
                </w:p>
                <w:p>
                  <w:pPr>
                    <w:pStyle w:val="null3"/>
                  </w:pPr>
                  <w:r>
                    <w:rPr/>
                    <w:t>4.6国产13mm压片模具  1台</w:t>
                  </w:r>
                </w:p>
                <w:p>
                  <w:pPr>
                    <w:pStyle w:val="null3"/>
                  </w:pPr>
                  <w:r>
                    <w:rPr/>
                    <w:t>4.7国内采购：电脑1台，黑白打印机1台。</w:t>
                  </w:r>
                </w:p>
                <w:p>
                  <w:pPr>
                    <w:pStyle w:val="null3"/>
                  </w:pPr>
                  <w:r>
                    <w:rPr/>
                    <w:t>计算机配置：不低于Core i5</w:t>
                  </w:r>
                </w:p>
                <w:p>
                  <w:pPr>
                    <w:pStyle w:val="null3"/>
                  </w:pPr>
                  <w:r>
                    <w:rPr/>
                    <w:t>/16G RAM</w:t>
                  </w:r>
                </w:p>
                <w:p>
                  <w:pPr>
                    <w:pStyle w:val="null3"/>
                  </w:pPr>
                  <w:r>
                    <w:rPr/>
                    <w:t>/2G独立显卡/512SSD 固态硬盘+1T硬盘/27寸显示器/键鼠/双网口/无线wifi/Win10中文专业64位系统/带串口/稳压电源1套。</w:t>
                  </w:r>
                </w:p>
                <w:p>
                  <w:pPr>
                    <w:pStyle w:val="null3"/>
                  </w:pPr>
                  <w:r>
                    <w:rPr/>
                    <w:t>打印机配置：黑白、激光打印、自动双面打印\复印\扫描、有线USB\无线wifi\以太网、最小幅面A4、打印速度不小于29页/分钟、纸张输入容量不低于150页、支持输稿器\输稿器纸张输入容量不低于40页、黑白模式打印最佳分辨率不低于1200*1200 dpi、配套XL大容量墨盒1套。</w:t>
                  </w:r>
                </w:p>
              </w:tc>
              <w:tc>
                <w:tcPr>
                  <w:tcW w:type="dxa" w:w="511"/>
                </w:tcPr>
                <w:p>
                  <w:pPr>
                    <w:pStyle w:val="null3"/>
                  </w:pPr>
                  <w:r>
                    <w:rPr/>
                    <w:t>1套</w:t>
                  </w:r>
                </w:p>
              </w:tc>
            </w:tr>
          </w:tbl>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标的名称：电镜样品预处理系统(等离子清洁仪及镀膜系统)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pPr>
                  <w:r>
                    <w:rPr/>
                    <w:t>序号</w:t>
                  </w:r>
                </w:p>
              </w:tc>
              <w:tc>
                <w:tcPr>
                  <w:tcW w:type="dxa" w:w="511"/>
                </w:tcPr>
                <w:p>
                  <w:pPr>
                    <w:pStyle w:val="null3"/>
                  </w:pPr>
                  <w:r>
                    <w:rPr/>
                    <w:t>产品名称</w:t>
                  </w:r>
                </w:p>
              </w:tc>
              <w:tc>
                <w:tcPr>
                  <w:tcW w:type="dxa" w:w="511"/>
                </w:tcPr>
                <w:p>
                  <w:pPr>
                    <w:pStyle w:val="null3"/>
                  </w:pPr>
                  <w:r>
                    <w:rPr/>
                    <w:t>技术标准</w:t>
                  </w:r>
                </w:p>
              </w:tc>
              <w:tc>
                <w:tcPr>
                  <w:tcW w:type="dxa" w:w="511"/>
                </w:tcPr>
                <w:p>
                  <w:pPr>
                    <w:pStyle w:val="null3"/>
                  </w:pPr>
                  <w:r>
                    <w:rPr/>
                    <w:t>配置要求</w:t>
                  </w:r>
                </w:p>
              </w:tc>
              <w:tc>
                <w:tcPr>
                  <w:tcW w:type="dxa" w:w="511"/>
                </w:tcPr>
                <w:p>
                  <w:pPr>
                    <w:pStyle w:val="null3"/>
                  </w:pPr>
                  <w:r>
                    <w:rPr/>
                    <w:t>数量</w:t>
                  </w:r>
                </w:p>
              </w:tc>
            </w:tr>
            <w:tr>
              <w:tc>
                <w:tcPr>
                  <w:tcW w:type="dxa" w:w="511"/>
                </w:tcPr>
                <w:p>
                  <w:pPr>
                    <w:pStyle w:val="null3"/>
                  </w:pPr>
                  <w:r>
                    <w:rPr/>
                    <w:t>1</w:t>
                  </w:r>
                </w:p>
              </w:tc>
              <w:tc>
                <w:tcPr>
                  <w:tcW w:type="dxa" w:w="511"/>
                </w:tcPr>
                <w:p>
                  <w:pPr>
                    <w:pStyle w:val="null3"/>
                  </w:pPr>
                  <w:r>
                    <w:rPr/>
                    <w:t>镀膜系统（核心产品）</w:t>
                  </w:r>
                </w:p>
              </w:tc>
              <w:tc>
                <w:tcPr>
                  <w:tcW w:type="dxa" w:w="511"/>
                </w:tcPr>
                <w:p>
                  <w:pPr>
                    <w:pStyle w:val="null3"/>
                  </w:pPr>
                  <w:r>
                    <w:rPr/>
                    <w:t>1.控制</w:t>
                  </w:r>
                </w:p>
                <w:p>
                  <w:pPr>
                    <w:pStyle w:val="null3"/>
                  </w:pPr>
                  <w:r>
                    <w:rPr/>
                    <w:t>1.1系统为全自动抽真空和全自动操作的沉积镀膜系统；</w:t>
                  </w:r>
                </w:p>
                <w:p>
                  <w:pPr>
                    <w:pStyle w:val="null3"/>
                  </w:pPr>
                  <w:r>
                    <w:rPr/>
                    <w:t>1.2系统采用电容式触摸屏和现代智能手机界面技术，双核ARM处理器，≥16GB的闪存，可储存和调用≥1000条镀膜程序；以及≥1000条以上镀膜记录；</w:t>
                  </w:r>
                </w:p>
                <w:p>
                  <w:pPr>
                    <w:pStyle w:val="null3"/>
                  </w:pPr>
                  <w:r>
                    <w:rPr/>
                    <w:t>1.3具有帮助页和维护提醒功能，程序进行到各各阶段具有灯光提示，程序完成后具有音频声音提示；</w:t>
                  </w:r>
                </w:p>
                <w:p>
                  <w:pPr>
                    <w:pStyle w:val="null3"/>
                  </w:pPr>
                  <w:r>
                    <w:rPr/>
                    <w:t>1.4多等级用户权限，便于实验室设备使用管理。</w:t>
                  </w:r>
                </w:p>
                <w:p>
                  <w:pPr>
                    <w:pStyle w:val="null3"/>
                  </w:pPr>
                  <w:r>
                    <w:rPr/>
                    <w:t>2.真空系统：</w:t>
                  </w:r>
                </w:p>
                <w:p>
                  <w:pPr>
                    <w:pStyle w:val="null3"/>
                  </w:pPr>
                  <w:r>
                    <w:rPr/>
                    <w:t>不低于8m</w:t>
                  </w:r>
                  <w:r>
                    <w:rPr>
                      <w:vertAlign w:val="superscript"/>
                    </w:rPr>
                    <w:t>3</w:t>
                  </w:r>
                  <w:r>
                    <w:rPr/>
                    <w:t>/hr旋转机械泵；不锈钢真空组件， 2分钟内真空度达到1×10</w:t>
                  </w:r>
                  <w:r>
                    <w:rPr>
                      <w:vertAlign w:val="superscript"/>
                    </w:rPr>
                    <w:t>-2</w:t>
                  </w:r>
                  <w:r>
                    <w:rPr/>
                    <w:t>mbar；10分钟达到7×10</w:t>
                  </w:r>
                  <w:r>
                    <w:rPr>
                      <w:vertAlign w:val="superscript"/>
                    </w:rPr>
                    <w:t>-3</w:t>
                  </w:r>
                  <w:r>
                    <w:rPr/>
                    <w:t>mbar。</w:t>
                  </w:r>
                </w:p>
                <w:p>
                  <w:pPr>
                    <w:pStyle w:val="null3"/>
                  </w:pPr>
                  <w:r>
                    <w:rPr/>
                    <w:t>3.工作腔室：需使用可方便清洁和维护的圆柱形腔室，可整体拆卸，并配备安全防爆装置以及真空防污染挡板。工作腔室尺寸150mm（内径）×127mm（高）。</w:t>
                  </w:r>
                </w:p>
                <w:p>
                  <w:pPr>
                    <w:pStyle w:val="null3"/>
                  </w:pPr>
                  <w:r>
                    <w:rPr/>
                    <w:t>4.样品台：φ50 mm旋转样品台，可10-20rpm变速旋转，工作距离38-70mm可调。</w:t>
                  </w:r>
                </w:p>
                <w:p>
                  <w:pPr>
                    <w:pStyle w:val="null3"/>
                  </w:pPr>
                  <w:r>
                    <w:rPr/>
                    <w:t>5.镀膜参数</w:t>
                  </w:r>
                </w:p>
                <w:p>
                  <w:pPr>
                    <w:pStyle w:val="null3"/>
                  </w:pPr>
                  <w:r>
                    <w:rPr/>
                    <w:t>5.1溅射镀膜：溅射电流：1-150mA，连续可调，调节步径1 mA；</w:t>
                  </w:r>
                </w:p>
                <w:p>
                  <w:pPr>
                    <w:pStyle w:val="null3"/>
                  </w:pPr>
                  <w:r>
                    <w:rPr/>
                    <w:t>5.2可设定镀膜时间范围：1-3600s，连续可调，调节步径≤2s；</w:t>
                  </w:r>
                </w:p>
                <w:p>
                  <w:pPr>
                    <w:pStyle w:val="null3"/>
                  </w:pPr>
                  <w:r>
                    <w:rPr/>
                    <w:t>5.3溅射工作真空范围：7×10</w:t>
                  </w:r>
                  <w:r>
                    <w:rPr>
                      <w:vertAlign w:val="superscript"/>
                    </w:rPr>
                    <w:t>-3</w:t>
                  </w:r>
                  <w:r>
                    <w:rPr/>
                    <w:t xml:space="preserve"> 到5×10</w:t>
                  </w:r>
                  <w:r>
                    <w:rPr>
                      <w:vertAlign w:val="superscript"/>
                    </w:rPr>
                    <w:t>-1</w:t>
                  </w:r>
                  <w:r>
                    <w:rPr/>
                    <w:t>mbar；</w:t>
                  </w:r>
                </w:p>
                <w:p>
                  <w:pPr>
                    <w:pStyle w:val="null3"/>
                  </w:pPr>
                  <w:r>
                    <w:rPr/>
                    <w:t>5.4膜厚监控：可根据设定膜厚自动终止镀膜，实现镀膜厚度的精确控制，膜厚读取精度≤0.1nm；</w:t>
                  </w:r>
                </w:p>
                <w:p>
                  <w:pPr>
                    <w:pStyle w:val="null3"/>
                  </w:pPr>
                  <w:r>
                    <w:rPr/>
                    <w:t>5.5溅射靶材：靶材尺寸φ57mm，磁控冷溅射环境，精细颗粒镀膜，标配高纯金靶一块；</w:t>
                  </w:r>
                </w:p>
                <w:p>
                  <w:pPr>
                    <w:pStyle w:val="null3"/>
                  </w:pPr>
                  <w:r>
                    <w:rPr/>
                    <w:t>5.6脉冲蒸发镀碳（碳丝/碳绳），满足EDS制样需求。</w:t>
                  </w:r>
                </w:p>
                <w:p>
                  <w:pPr>
                    <w:pStyle w:val="null3"/>
                  </w:pPr>
                  <w:r>
                    <w:rPr/>
                    <w:t>6.全方位的电器使用安全保护</w:t>
                  </w:r>
                </w:p>
                <w:p>
                  <w:pPr>
                    <w:pStyle w:val="null3"/>
                  </w:pPr>
                  <w:r>
                    <w:rPr/>
                    <w:t>6.1所有电子元件都有盖子保护。</w:t>
                  </w:r>
                </w:p>
                <w:p>
                  <w:pPr>
                    <w:pStyle w:val="null3"/>
                  </w:pPr>
                  <w:r>
                    <w:rPr/>
                    <w:t>6.2内爆防护装置可防止在工作室发生破损时对用户造成伤害。</w:t>
                  </w:r>
                </w:p>
                <w:p>
                  <w:pPr>
                    <w:pStyle w:val="null3"/>
                  </w:pPr>
                  <w:r>
                    <w:rPr/>
                    <w:t>6.3真空互锁装置切断镀膜源的电源，确保用户在放样取样时安全。</w:t>
                  </w:r>
                </w:p>
                <w:p>
                  <w:pPr>
                    <w:pStyle w:val="null3"/>
                  </w:pPr>
                  <w:r>
                    <w:rPr/>
                    <w:t>6.4电源顶盖打开时，电气联锁装置断电。</w:t>
                  </w:r>
                </w:p>
                <w:p>
                  <w:pPr>
                    <w:pStyle w:val="null3"/>
                  </w:pPr>
                  <w:r>
                    <w:rPr/>
                    <w:t>6.5过热保护自动关闭电源，有效增加设备使用寿命。</w:t>
                  </w:r>
                </w:p>
              </w:tc>
              <w:tc>
                <w:tcPr>
                  <w:tcW w:type="dxa" w:w="511"/>
                </w:tcPr>
                <w:p>
                  <w:pPr>
                    <w:pStyle w:val="null3"/>
                  </w:pPr>
                  <w:r>
                    <w:rPr/>
                    <w:t>主机1台、原装金靶材1个、原装铂靶材1个、原装碳棒1根、</w:t>
                  </w:r>
                </w:p>
                <w:p>
                  <w:pPr>
                    <w:pStyle w:val="null3"/>
                  </w:pPr>
                  <w:r>
                    <w:rPr/>
                    <w:t>数据存储及传输系统：Core i11 /32G RAM/512SSD 固态硬盘+1T 硬盘/27 寸显示器/光驱/无线键鼠/Win10 中文专业系统（64 位）/三年保修</w:t>
                  </w:r>
                </w:p>
              </w:tc>
              <w:tc>
                <w:tcPr>
                  <w:tcW w:type="dxa" w:w="511"/>
                </w:tcPr>
                <w:p>
                  <w:pPr>
                    <w:pStyle w:val="null3"/>
                  </w:pPr>
                  <w:r>
                    <w:rPr/>
                    <w:t>1</w:t>
                  </w:r>
                </w:p>
              </w:tc>
            </w:tr>
            <w:tr>
              <w:tc>
                <w:tcPr>
                  <w:tcW w:type="dxa" w:w="511"/>
                </w:tcPr>
                <w:p>
                  <w:pPr>
                    <w:pStyle w:val="null3"/>
                  </w:pPr>
                  <w:r>
                    <w:rPr/>
                    <w:t>2</w:t>
                  </w:r>
                </w:p>
              </w:tc>
              <w:tc>
                <w:tcPr>
                  <w:tcW w:type="dxa" w:w="511"/>
                </w:tcPr>
                <w:p>
                  <w:pPr>
                    <w:pStyle w:val="null3"/>
                  </w:pPr>
                  <w:r>
                    <w:rPr/>
                    <w:t>等离子清洁仪（核心产品）</w:t>
                  </w:r>
                </w:p>
              </w:tc>
              <w:tc>
                <w:tcPr>
                  <w:tcW w:type="dxa" w:w="511"/>
                </w:tcPr>
                <w:p>
                  <w:pPr>
                    <w:pStyle w:val="null3"/>
                  </w:pPr>
                  <w:r>
                    <w:rPr/>
                    <w:t>1.用途：用于在线去除样品、样品台、真空腔体及各类探头上的污染，防止碳沉积以降低图像分辨率及对样品微区分析造成误判。</w:t>
                  </w:r>
                </w:p>
                <w:p>
                  <w:pPr>
                    <w:pStyle w:val="null3"/>
                  </w:pPr>
                  <w:r>
                    <w:rPr/>
                    <w:t>2.采用ICP诱导方式产生等离子体，同时通过配备的Downstream区域能够去除等离子体中的离子/电子成分，仅利用自由基进行清洗，去除溅射损伤和热效应对样品的破坏；</w:t>
                  </w:r>
                </w:p>
                <w:p>
                  <w:pPr>
                    <w:pStyle w:val="null3"/>
                  </w:pPr>
                  <w:r>
                    <w:rPr/>
                    <w:t>3.功率调节范围：5-99W；</w:t>
                  </w:r>
                </w:p>
                <w:p>
                  <w:pPr>
                    <w:pStyle w:val="null3"/>
                  </w:pPr>
                  <w:r>
                    <w:rPr/>
                    <w:t>4.点火真空范围：&lt;5mTor～2Tor, 且保证分子泵能够正常工作；</w:t>
                  </w:r>
                </w:p>
                <w:p>
                  <w:pPr>
                    <w:pStyle w:val="null3"/>
                  </w:pPr>
                  <w:r>
                    <w:rPr/>
                    <w:t>5.触摸屏式控制，保证清洗的效率及很好的重复性；</w:t>
                  </w:r>
                </w:p>
                <w:p>
                  <w:pPr>
                    <w:pStyle w:val="null3"/>
                  </w:pPr>
                  <w:r>
                    <w:rPr/>
                    <w:t>6.清洗去除效率：≥1.5 nm/min@30W ;</w:t>
                  </w:r>
                </w:p>
                <w:p>
                  <w:pPr>
                    <w:pStyle w:val="null3"/>
                  </w:pPr>
                  <w:r>
                    <w:rPr/>
                    <w:t>7.配有进气滤网，保证绝佳的清洗效果；</w:t>
                  </w:r>
                </w:p>
                <w:p>
                  <w:pPr>
                    <w:pStyle w:val="null3"/>
                  </w:pPr>
                  <w:r>
                    <w:rPr/>
                    <w:t>8.配有指定型号扫描电镜配套专用法兰接口，能够将等离子发生器安装于现有扫描电镜（蔡司GeminiSEM 300）上，实现对扫描电镜真空腔体、各类探头及样品的清洗，保证电镜的清洁状态。</w:t>
                  </w:r>
                </w:p>
                <w:p>
                  <w:pPr>
                    <w:pStyle w:val="null3"/>
                  </w:pPr>
                  <w:r>
                    <w:rPr/>
                    <w:t>9.配备真空触发设定机制，可自动在设定真空范围内进行样品清洗；</w:t>
                  </w:r>
                </w:p>
                <w:p>
                  <w:pPr>
                    <w:pStyle w:val="null3"/>
                  </w:pPr>
                  <w:r>
                    <w:rPr/>
                    <w:t>10.配备全量程真空计，能够实时读出系统真空值。</w:t>
                  </w:r>
                </w:p>
              </w:tc>
              <w:tc>
                <w:tcPr>
                  <w:tcW w:type="dxa" w:w="511"/>
                </w:tcPr>
                <w:p>
                  <w:pPr>
                    <w:pStyle w:val="null3"/>
                  </w:pPr>
                  <w:r>
                    <w:rPr/>
                    <w:t>主机1台</w:t>
                  </w:r>
                </w:p>
              </w:tc>
              <w:tc>
                <w:tcPr>
                  <w:tcW w:type="dxa" w:w="511"/>
                </w:tcPr>
                <w:p>
                  <w:pPr>
                    <w:pStyle w:val="null3"/>
                  </w:pPr>
                  <w:r>
                    <w:rPr/>
                    <w:t>1</w:t>
                  </w:r>
                </w:p>
              </w:tc>
            </w:tr>
            <w:tr>
              <w:tc>
                <w:tcPr>
                  <w:tcW w:type="dxa" w:w="511"/>
                </w:tcPr>
                <w:p>
                  <w:pPr>
                    <w:pStyle w:val="null3"/>
                  </w:pPr>
                  <w:r>
                    <w:rPr/>
                    <w:t>其他要求</w:t>
                  </w:r>
                </w:p>
              </w:tc>
              <w:tc>
                <w:tcPr>
                  <w:tcW w:type="dxa" w:w="2044"/>
                  <w:gridSpan w:val="4"/>
                </w:tcPr>
                <w:p>
                  <w:pPr>
                    <w:pStyle w:val="null3"/>
                  </w:pPr>
                  <w:r>
                    <w:rPr/>
                    <w:t>1.安装、调试、验收：</w:t>
                  </w:r>
                </w:p>
                <w:p>
                  <w:pPr>
                    <w:pStyle w:val="null3"/>
                  </w:pPr>
                  <w:r>
                    <w:rPr/>
                    <w:t>现场安装，现场调试，按照买方和卖方双方同意的标准对主机、附件，软件的性能和功能进行测试；在买方对主机、附件，软件的性能和功能进行测试合格的基础上，由买方授权人签字验收。</w:t>
                  </w:r>
                </w:p>
                <w:p>
                  <w:pPr>
                    <w:pStyle w:val="null3"/>
                  </w:pPr>
                  <w:r>
                    <w:rPr/>
                    <w:t>2.保修期及维修</w:t>
                  </w:r>
                </w:p>
                <w:p>
                  <w:pPr>
                    <w:pStyle w:val="null3"/>
                  </w:pPr>
                  <w:r>
                    <w:rPr/>
                    <w:t>2.1保修期为2年，自买方签字验收之后算起。安装验收合格后，厂家提供相应的免费保修，保修期厂家负担因质量问题造成的所有费用。</w:t>
                  </w:r>
                </w:p>
                <w:p>
                  <w:pPr>
                    <w:pStyle w:val="null3"/>
                  </w:pPr>
                  <w:r>
                    <w:rPr/>
                    <w:t>2.2 提供24小时技术服务热线，如需到场在48小时内到达用户现场，保证提供及时优质的售后服务。</w:t>
                  </w:r>
                </w:p>
                <w:p>
                  <w:pPr>
                    <w:pStyle w:val="null3"/>
                  </w:pPr>
                  <w:r>
                    <w:rPr/>
                    <w:t>3.技术培训</w:t>
                  </w:r>
                </w:p>
                <w:p>
                  <w:pPr>
                    <w:pStyle w:val="null3"/>
                  </w:pPr>
                  <w:r>
                    <w:rPr/>
                    <w:t>现场基本操作培训：由卖方安装人员对买方使用人员进行安装现场培训。</w:t>
                  </w:r>
                </w:p>
              </w:tc>
            </w:tr>
          </w:tbl>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合同签订之日起120个日历日内完成交付、安装及调试。</w:t>
      </w:r>
    </w:p>
    <w:p>
      <w:pPr>
        <w:pStyle w:val="null3"/>
      </w:pPr>
      <w:r>
        <w:rPr/>
        <w:t>采购包2：</w:t>
      </w:r>
    </w:p>
    <w:p>
      <w:pPr>
        <w:pStyle w:val="null3"/>
      </w:pPr>
      <w:r>
        <w:rPr/>
        <w:t>合同签订之日起90个日历日内完成交付、安装及调试。</w:t>
      </w:r>
    </w:p>
    <w:p>
      <w:pPr>
        <w:pStyle w:val="null3"/>
        <w:outlineLvl w:val="3"/>
      </w:pPr>
      <w:r>
        <w:rPr>
          <w:sz w:val="24"/>
          <w:b/>
        </w:rPr>
        <w:t>3.4.2交货地点和方式</w:t>
      </w:r>
    </w:p>
    <w:p>
      <w:pPr>
        <w:pStyle w:val="null3"/>
      </w:pPr>
      <w:r>
        <w:rPr/>
        <w:t>采购包1：</w:t>
      </w:r>
    </w:p>
    <w:p>
      <w:pPr>
        <w:pStyle w:val="null3"/>
      </w:pPr>
      <w:r>
        <w:rPr/>
        <w:t>采购人指定地点。</w:t>
      </w:r>
    </w:p>
    <w:p>
      <w:pPr>
        <w:pStyle w:val="null3"/>
      </w:pPr>
      <w:r>
        <w:rPr/>
        <w:t>采购包2：</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一次性付清”为系统固定推述内容，具体付款方式以下列内容为准：一、国产设备：合同签订前，乙方须在甲方指定的银行开立一般结算账户。合同签订后，甲方通过银行电汇付给乙方全额货款。二、进口设备：合同生效后，由甲方通过双方认可的进口业务代理公司向中标人指定国外设备供应商开出100%信用证，其中90%货款凭外贸合同约定的发货单据及西安建筑科技大学出具的开箱点货报告原件解付，剩余10%货款在设备验收合格后凭甲方签署的验收报告原件解付</w:t>
      </w:r>
      <w:r>
        <w:rPr/>
        <w:t xml:space="preserve"> ，达到付款条件起 </w:t>
      </w:r>
      <w:r>
        <w:rPr/>
        <w:t>30</w:t>
      </w:r>
      <w:r>
        <w:rPr/>
        <w:t xml:space="preserve"> 日内，支付合同总金额的 </w:t>
      </w:r>
      <w:r>
        <w:rPr/>
        <w:t>100.00</w:t>
      </w:r>
      <w:r>
        <w:rPr/>
        <w:t>%。</w:t>
      </w:r>
    </w:p>
    <w:p>
      <w:pPr>
        <w:pStyle w:val="null3"/>
      </w:pPr>
      <w:r>
        <w:rPr/>
        <w:t>采购包2：</w:t>
      </w:r>
      <w:r>
        <w:rPr/>
        <w:t xml:space="preserve"> 付款条件说明： </w:t>
      </w:r>
      <w:r>
        <w:rPr/>
        <w:t>“一次性付清”为系统固定推述内容，具体付款方式以下列内容为准：一、国产设备：合同签订前，乙方须在甲方指定的银行开立一般结算账户。合同签订后，甲方通过银行电汇付给乙方全额货款。二、进口设备：合同生效后，由甲方通过双方认可的进口业务代理公司向中标人指定国外设备供应商开出100%信用证，其中90%货款凭外贸合同约定的发货单据及西安建筑科技大学出具的开箱点货报告原件解付，剩余10%货款在设备验收合格后凭甲方签署的验收报告原件解付</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1.验收分初次开箱验收和学校最终验收两个阶段，以最终验收为准。 2.货物到货后，采购人、中标人双方共同开箱验收。在检查 货物原产地、型号、规格、配置符合合同要求后，由中标人负责安装调试、采购人使用单位负责技术验收（中标人协助），验收以国内行业标准或合同文本货物供货配置清单中描述的有关技术要求为准。 3.采购人使用单位初验合格后提出验收申请，学校相关部门根据使用单位技术验收结果，组织有关专家进行货物的最终验收。</w:t>
      </w:r>
    </w:p>
    <w:p>
      <w:pPr>
        <w:pStyle w:val="null3"/>
      </w:pPr>
      <w:r>
        <w:rPr/>
        <w:t>采购包2：</w:t>
      </w:r>
    </w:p>
    <w:p>
      <w:pPr>
        <w:pStyle w:val="null3"/>
      </w:pPr>
      <w:r>
        <w:rPr/>
        <w:t>1.验收分初次开箱验收和学校最终验收两个阶段，以最终验收为准。 2.货物到货后，采购人、中标人双方共同开箱验收。在检查 货物原产地、型号、规格、配置符合合同要求后，由中标人负责安装调试、采购人使用单位负责技术验收（中标人协助），验收以国内行业标准或合同文本货物供货配置清单中描述的有关技术要求为准。 3.采购人使用单位初验合格后提出验收申请，学校相关部门根据使用单位技术验收结果，组织有关专家进行货物的最终验收。</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采购包2：</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（1）质量保证期：验收合格通过之日起主机1年；光源质保5年；干涉仪、激光器及金刚石ATR附件质保10年。 （2）售后服务响应时间（质保期内）：即时响应（包括电话响应）；电话响应无法解决 48 小时内到达现场。修复时间 48 小时内解决；如在 48 小时内无法修复，则提供部件冗余服务或采取应急措施，提供相同产品或不低于故障产品规格档次的备用产品供采购人使用，以确保货物的正常使用。</w:t>
      </w:r>
    </w:p>
    <w:p>
      <w:pPr>
        <w:pStyle w:val="null3"/>
      </w:pPr>
      <w:r>
        <w:rPr/>
        <w:t>采购包2：</w:t>
      </w:r>
    </w:p>
    <w:p>
      <w:pPr>
        <w:pStyle w:val="null3"/>
      </w:pPr>
      <w:r>
        <w:rPr/>
        <w:t>（1）质量保证期：验收合格通过之日起2年。 （2）售后服务响应时间（质保期内）：即时响应（包括电话响应）；电话响应无法解决 48 小时内到达现场。修复时间 48 小时内解决；如在 48 小时内无法修复，则提供部件冗余服务或采取应急措施，提供相同产品或不低于故障产品规格档次的备用产品供采购人使用，以确保货物的正常使用。</w:t>
      </w:r>
    </w:p>
    <w:p>
      <w:pPr>
        <w:pStyle w:val="null3"/>
        <w:outlineLvl w:val="3"/>
      </w:pPr>
      <w:r>
        <w:rPr>
          <w:sz w:val="24"/>
          <w:b/>
        </w:rPr>
        <w:t>3.4.8违约责任及解决争议的方法</w:t>
      </w:r>
    </w:p>
    <w:p>
      <w:pPr>
        <w:pStyle w:val="null3"/>
      </w:pPr>
      <w:r>
        <w:rPr/>
        <w:t>采购包1：</w:t>
      </w:r>
    </w:p>
    <w:p>
      <w:pPr>
        <w:pStyle w:val="null3"/>
      </w:pPr>
      <w:r>
        <w:rPr/>
        <w:t>（1）按《中华人民共和国民法典》中的相关条款执行。 （2）乙方未按合同要求的提供产品或产品质量不能满足技术要求，甲方有权终止合同，甚至对乙方违约行为进行追究。 （3）如有纠纷，双方友好协商解决，协商不成时可诉讼到甲方所在地人民法院解决。</w:t>
      </w:r>
    </w:p>
    <w:p>
      <w:pPr>
        <w:pStyle w:val="null3"/>
      </w:pPr>
      <w:r>
        <w:rPr/>
        <w:t>采购包2：</w:t>
      </w:r>
    </w:p>
    <w:p>
      <w:pPr>
        <w:pStyle w:val="null3"/>
      </w:pPr>
      <w:r>
        <w:rPr/>
        <w:t>（1）按《中华人民共和国民法典》中的相关条款执行。 （2）乙方未按合同要求的提供产品或产品质量不能满足技术要求，甲方有权终止合同，甚至对乙方违约行为进行追究。 （3）如有纠纷，双方友好协商解决，协商不成时可诉讼到甲方所在地人民法院解决。</w:t>
      </w:r>
    </w:p>
    <w:p>
      <w:pPr>
        <w:pStyle w:val="null3"/>
        <w:jc w:val="left"/>
        <w:outlineLvl w:val="3"/>
      </w:pPr>
      <w:r>
        <w:rPr>
          <w:sz w:val="24"/>
          <w:b/>
        </w:rPr>
        <w:t>3.5其他要求</w:t>
      </w:r>
    </w:p>
    <w:p>
      <w:pPr>
        <w:pStyle w:val="null3"/>
      </w:pPr>
      <w:r>
        <w:rPr/>
        <w:t>采购包1：</w:t>
      </w:r>
    </w:p>
    <w:p>
      <w:pPr>
        <w:pStyle w:val="null3"/>
      </w:pPr>
      <w:r>
        <w:rPr/>
        <w:t>1.所有设备安装、调试开始前，中标人负责对采购人进行3-5人次相关技术培训，每次培训不低于2小时，培训内容包含：设备的工作原理、设备结构、操作步骤、主要部件用途、消耗品更换、日常保养、硬件维护、故障排查等； 2.培训目标：保证客户能够独立操作、熟练使用、维护和管理有关设备； 3.所有设备实验数据未经采购人同意，不允许自动外传，中标人须提供承诺函，格式自拟。</w:t>
      </w:r>
    </w:p>
    <w:p>
      <w:pPr>
        <w:pStyle w:val="null3"/>
      </w:pPr>
      <w:r>
        <w:rPr/>
        <w:t>采购包2：</w:t>
      </w:r>
    </w:p>
    <w:p>
      <w:pPr>
        <w:pStyle w:val="null3"/>
      </w:pPr>
      <w:r>
        <w:rPr/>
        <w:t>1.所有设备安装、调试开始前，中标人负责对采购人进行3-5人次相关技术培训，每次培训不低于2小时，培训内容包含：设备的工作原理、设备结构、操作步骤、主要部件用途、消耗品更换、日常保养、硬件维护、故障排查等； 2.培训目标：保证客户能够独立操作、熟练使用、维护和管理有关设备； 3.所有设备实验数据未经采购人同意，不允许自动外传，中标人须提供承诺函，格式自拟。</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供应商应提交的相关资格证明资料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供应商应提交的相关资格证明资料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落实政府采购政策需满足的资格要求</w:t>
            </w:r>
          </w:p>
        </w:tc>
        <w:tc>
          <w:tcPr>
            <w:tcW w:type="dxa" w:w="3322"/>
          </w:tcPr>
          <w:p>
            <w:pPr>
              <w:pStyle w:val="null3"/>
            </w:pPr>
            <w:r>
              <w:rPr/>
              <w:t>（1）《关于在政府采购活动中查询及使用信用记录有关问题的通知》（财库〔2016〕125号）； （2）《政府采购促进中小企业发展管理办法》（财库〔2020〕46号）、《关于进一步加大政府采购支持中小企业力度的通知》（财库〔2022〕19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市场监管总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t>中小企业声明函 残疾人福利性单位声明函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落实政府采购政策需满足的资格要求</w:t>
            </w:r>
          </w:p>
        </w:tc>
        <w:tc>
          <w:tcPr>
            <w:tcW w:type="dxa" w:w="3322"/>
          </w:tcPr>
          <w:p>
            <w:pPr>
              <w:pStyle w:val="null3"/>
            </w:pPr>
            <w:r>
              <w:rPr/>
              <w:t>（1）《关于在政府采购活动中查询及使用信用记录有关问题的通知》（财库〔2016〕125号）； （2）《政府采购促进中小企业发展管理办法》（财库〔2020〕46号）、《关于进一步加大政府采购支持中小企业力度的通知》（财库〔2022〕19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市场监管总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主体资格</w:t>
            </w:r>
          </w:p>
        </w:tc>
        <w:tc>
          <w:tcPr>
            <w:tcW w:type="dxa" w:w="3322"/>
          </w:tcPr>
          <w:p>
            <w:pPr>
              <w:pStyle w:val="null3"/>
            </w:pPr>
            <w:r>
              <w:rPr/>
              <w:t>供应商应为向采购人提供相关货物的法人或其他组织；</w:t>
            </w:r>
          </w:p>
        </w:tc>
        <w:tc>
          <w:tcPr>
            <w:tcW w:type="dxa" w:w="1661"/>
          </w:tcPr>
          <w:p>
            <w:pPr>
              <w:pStyle w:val="null3"/>
            </w:pPr>
            <w:r>
              <w:rPr/>
              <w:t>供应商应提交的相关资格证明资料</w:t>
            </w:r>
          </w:p>
        </w:tc>
      </w:tr>
      <w:tr>
        <w:tc>
          <w:tcPr>
            <w:tcW w:type="dxa" w:w="831"/>
          </w:tcPr>
          <w:p>
            <w:pPr>
              <w:pStyle w:val="null3"/>
            </w:pPr>
            <w:r>
              <w:rPr/>
              <w:t>2</w:t>
            </w:r>
          </w:p>
        </w:tc>
        <w:tc>
          <w:tcPr>
            <w:tcW w:type="dxa" w:w="2492"/>
          </w:tcPr>
          <w:p>
            <w:pPr>
              <w:pStyle w:val="null3"/>
            </w:pPr>
            <w:r>
              <w:rPr/>
              <w:t>社会保障资金缴纳证明</w:t>
            </w:r>
          </w:p>
        </w:tc>
        <w:tc>
          <w:tcPr>
            <w:tcW w:type="dxa" w:w="3322"/>
          </w:tcPr>
          <w:p>
            <w:pPr>
              <w:pStyle w:val="null3"/>
            </w:pPr>
            <w:r>
              <w:rPr/>
              <w:t>供应商提供自2024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t>供应商应提交的相关资格证明资料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供应商提供自2024年1月至今已缴纳的至少一个月纳税证明或完税证明，依法免税的单位应提供相关证明材料；</w:t>
            </w:r>
          </w:p>
        </w:tc>
        <w:tc>
          <w:tcPr>
            <w:tcW w:type="dxa" w:w="1661"/>
          </w:tcPr>
          <w:p>
            <w:pPr>
              <w:pStyle w:val="null3"/>
            </w:pPr>
            <w:r>
              <w:rPr/>
              <w:t>供应商应提交的相关资格证明资料</w:t>
            </w:r>
          </w:p>
        </w:tc>
      </w:tr>
      <w:tr>
        <w:tc>
          <w:tcPr>
            <w:tcW w:type="dxa" w:w="831"/>
          </w:tcPr>
          <w:p>
            <w:pPr>
              <w:pStyle w:val="null3"/>
            </w:pPr>
            <w:r>
              <w:rPr/>
              <w:t>4</w:t>
            </w:r>
          </w:p>
        </w:tc>
        <w:tc>
          <w:tcPr>
            <w:tcW w:type="dxa" w:w="2492"/>
          </w:tcPr>
          <w:p>
            <w:pPr>
              <w:pStyle w:val="null3"/>
            </w:pPr>
            <w:r>
              <w:rPr/>
              <w:t>财务状况证明</w:t>
            </w:r>
          </w:p>
        </w:tc>
        <w:tc>
          <w:tcPr>
            <w:tcW w:type="dxa" w:w="3322"/>
          </w:tcPr>
          <w:p>
            <w:pPr>
              <w:pStyle w:val="null3"/>
            </w:pPr>
            <w:r>
              <w:rPr/>
              <w:t>供应商提供经会计师事务所审计的2023年完整的财务审计报告或在开标日期前六个月内其基本开户银行出具的资信证明；</w:t>
            </w:r>
          </w:p>
        </w:tc>
        <w:tc>
          <w:tcPr>
            <w:tcW w:type="dxa" w:w="1661"/>
          </w:tcPr>
          <w:p>
            <w:pPr>
              <w:pStyle w:val="null3"/>
            </w:pPr>
            <w:r>
              <w:rPr/>
              <w:t>供应商应提交的相关资格证明资料</w:t>
            </w:r>
          </w:p>
        </w:tc>
      </w:tr>
      <w:tr>
        <w:tc>
          <w:tcPr>
            <w:tcW w:type="dxa" w:w="831"/>
          </w:tcPr>
          <w:p>
            <w:pPr>
              <w:pStyle w:val="null3"/>
            </w:pPr>
            <w:r>
              <w:rPr/>
              <w:t>5</w:t>
            </w:r>
          </w:p>
        </w:tc>
        <w:tc>
          <w:tcPr>
            <w:tcW w:type="dxa" w:w="2492"/>
          </w:tcPr>
          <w:p>
            <w:pPr>
              <w:pStyle w:val="null3"/>
            </w:pPr>
            <w:r>
              <w:rPr/>
              <w:t>信誉要求</w:t>
            </w:r>
          </w:p>
        </w:tc>
        <w:tc>
          <w:tcPr>
            <w:tcW w:type="dxa" w:w="3322"/>
          </w:tcPr>
          <w:p>
            <w:pPr>
              <w:pStyle w:val="null3"/>
            </w:pPr>
            <w:r>
              <w:rPr/>
              <w:t>截止至响应文件递交截止时间之前，供应商未被“信用中国”列入严重失信主体名单查询及重点领域严重失信主体名单查询，未被列入“中国政府采购网(www.ccgp.gov.cn)”政府采购严重违法失信行为记录名单；</w:t>
            </w:r>
          </w:p>
        </w:tc>
        <w:tc>
          <w:tcPr>
            <w:tcW w:type="dxa" w:w="1661"/>
          </w:tcPr>
          <w:p>
            <w:pPr>
              <w:pStyle w:val="null3"/>
            </w:pPr>
            <w:r>
              <w:rPr/>
              <w:t>供应商应提交的相关资格证明资料</w:t>
            </w:r>
          </w:p>
        </w:tc>
      </w:tr>
      <w:tr>
        <w:tc>
          <w:tcPr>
            <w:tcW w:type="dxa" w:w="831"/>
          </w:tcPr>
          <w:p>
            <w:pPr>
              <w:pStyle w:val="null3"/>
            </w:pPr>
            <w:r>
              <w:rPr/>
              <w:t>6</w:t>
            </w:r>
          </w:p>
        </w:tc>
        <w:tc>
          <w:tcPr>
            <w:tcW w:type="dxa" w:w="2492"/>
          </w:tcPr>
          <w:p>
            <w:pPr>
              <w:pStyle w:val="null3"/>
            </w:pPr>
            <w:r>
              <w:rPr/>
              <w:t>谈判授权代表</w:t>
            </w:r>
          </w:p>
        </w:tc>
        <w:tc>
          <w:tcPr>
            <w:tcW w:type="dxa" w:w="3322"/>
          </w:tcPr>
          <w:p>
            <w:pPr>
              <w:pStyle w:val="null3"/>
            </w:pPr>
            <w:r>
              <w:rPr/>
              <w:t>供应商应授权合法的人员参加本项目投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p>
        </w:tc>
        <w:tc>
          <w:tcPr>
            <w:tcW w:type="dxa" w:w="1661"/>
          </w:tcPr>
          <w:p>
            <w:pPr>
              <w:pStyle w:val="null3"/>
            </w:pPr>
            <w:r>
              <w:rPr/>
              <w:t>供应商应提交的相关资格证明资料</w:t>
            </w:r>
          </w:p>
        </w:tc>
      </w:tr>
      <w:tr>
        <w:tc>
          <w:tcPr>
            <w:tcW w:type="dxa" w:w="831"/>
          </w:tcPr>
          <w:p>
            <w:pPr>
              <w:pStyle w:val="null3"/>
            </w:pPr>
            <w:r>
              <w:rPr/>
              <w:t>7</w:t>
            </w:r>
          </w:p>
        </w:tc>
        <w:tc>
          <w:tcPr>
            <w:tcW w:type="dxa" w:w="2492"/>
          </w:tcPr>
          <w:p>
            <w:pPr>
              <w:pStyle w:val="null3"/>
            </w:pPr>
            <w:r>
              <w:rPr/>
              <w:t>是否接受进口产品</w:t>
            </w:r>
          </w:p>
        </w:tc>
        <w:tc>
          <w:tcPr>
            <w:tcW w:type="dxa" w:w="3322"/>
          </w:tcPr>
          <w:p>
            <w:pPr>
              <w:pStyle w:val="null3"/>
            </w:pPr>
            <w:r>
              <w:rPr/>
              <w:t>本包【原位傅里叶红外光谱仪】已做进口论证，接受进口产品的投标；投标人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t>供应商应提交的相关资格证明资料</w:t>
            </w:r>
          </w:p>
        </w:tc>
      </w:tr>
      <w:tr>
        <w:tc>
          <w:tcPr>
            <w:tcW w:type="dxa" w:w="831"/>
          </w:tcPr>
          <w:p>
            <w:pPr>
              <w:pStyle w:val="null3"/>
            </w:pPr>
            <w:r>
              <w:rPr/>
              <w:t>8</w:t>
            </w:r>
          </w:p>
        </w:tc>
        <w:tc>
          <w:tcPr>
            <w:tcW w:type="dxa" w:w="2492"/>
          </w:tcPr>
          <w:p>
            <w:pPr>
              <w:pStyle w:val="null3"/>
            </w:pPr>
            <w:r>
              <w:rPr/>
              <w:t>是否面向中小企业采购</w:t>
            </w:r>
          </w:p>
        </w:tc>
        <w:tc>
          <w:tcPr>
            <w:tcW w:type="dxa" w:w="3322"/>
          </w:tcPr>
          <w:p>
            <w:pPr>
              <w:pStyle w:val="null3"/>
            </w:pPr>
            <w:r>
              <w:rPr/>
              <w:t>本项目不专门面向中小企业采购。</w:t>
            </w:r>
          </w:p>
        </w:tc>
        <w:tc>
          <w:tcPr>
            <w:tcW w:type="dxa" w:w="1661"/>
          </w:tcPr>
          <w:p>
            <w:pPr>
              <w:pStyle w:val="null3"/>
            </w:pPr>
            <w:r>
              <w:rPr/>
              <w:t>供应商应提交的相关资格证明资料</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主体资格</w:t>
            </w:r>
          </w:p>
        </w:tc>
        <w:tc>
          <w:tcPr>
            <w:tcW w:type="dxa" w:w="3322"/>
          </w:tcPr>
          <w:p>
            <w:pPr>
              <w:pStyle w:val="null3"/>
            </w:pPr>
            <w:r>
              <w:rPr/>
              <w:t>供应商应为向采购人提供相关货物的法人或其他组织；</w:t>
            </w:r>
          </w:p>
        </w:tc>
        <w:tc>
          <w:tcPr>
            <w:tcW w:type="dxa" w:w="1661"/>
          </w:tcPr>
          <w:p>
            <w:pPr>
              <w:pStyle w:val="null3"/>
            </w:pPr>
            <w:r>
              <w:rPr/>
              <w:t>供应商应提交的相关资格证明资料</w:t>
            </w:r>
          </w:p>
        </w:tc>
      </w:tr>
      <w:tr>
        <w:tc>
          <w:tcPr>
            <w:tcW w:type="dxa" w:w="831"/>
          </w:tcPr>
          <w:p>
            <w:pPr>
              <w:pStyle w:val="null3"/>
            </w:pPr>
            <w:r>
              <w:rPr/>
              <w:t>2</w:t>
            </w:r>
          </w:p>
        </w:tc>
        <w:tc>
          <w:tcPr>
            <w:tcW w:type="dxa" w:w="2492"/>
          </w:tcPr>
          <w:p>
            <w:pPr>
              <w:pStyle w:val="null3"/>
            </w:pPr>
            <w:r>
              <w:rPr/>
              <w:t>社会保障资金缴纳证明</w:t>
            </w:r>
          </w:p>
        </w:tc>
        <w:tc>
          <w:tcPr>
            <w:tcW w:type="dxa" w:w="3322"/>
          </w:tcPr>
          <w:p>
            <w:pPr>
              <w:pStyle w:val="null3"/>
            </w:pPr>
            <w:r>
              <w:rPr/>
              <w:t>供应商提供自2024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t>供应商应提交的相关资格证明资料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供应商提供自2024年1月至今已缴纳的至少一个月纳税证明或完税证明，依法免税的单位应提供相关证明材料；</w:t>
            </w:r>
          </w:p>
        </w:tc>
        <w:tc>
          <w:tcPr>
            <w:tcW w:type="dxa" w:w="1661"/>
          </w:tcPr>
          <w:p>
            <w:pPr>
              <w:pStyle w:val="null3"/>
            </w:pPr>
            <w:r>
              <w:rPr/>
              <w:t>供应商应提交的相关资格证明资料</w:t>
            </w:r>
          </w:p>
        </w:tc>
      </w:tr>
      <w:tr>
        <w:tc>
          <w:tcPr>
            <w:tcW w:type="dxa" w:w="831"/>
          </w:tcPr>
          <w:p>
            <w:pPr>
              <w:pStyle w:val="null3"/>
            </w:pPr>
            <w:r>
              <w:rPr/>
              <w:t>4</w:t>
            </w:r>
          </w:p>
        </w:tc>
        <w:tc>
          <w:tcPr>
            <w:tcW w:type="dxa" w:w="2492"/>
          </w:tcPr>
          <w:p>
            <w:pPr>
              <w:pStyle w:val="null3"/>
            </w:pPr>
            <w:r>
              <w:rPr/>
              <w:t>财务状况证明</w:t>
            </w:r>
          </w:p>
        </w:tc>
        <w:tc>
          <w:tcPr>
            <w:tcW w:type="dxa" w:w="3322"/>
          </w:tcPr>
          <w:p>
            <w:pPr>
              <w:pStyle w:val="null3"/>
            </w:pPr>
            <w:r>
              <w:rPr/>
              <w:t>供应商提供经会计师事务所审计的2023年完整的财务审计报告或在开标日期前六个月内其基本开户银行出具的资信证明；</w:t>
            </w:r>
          </w:p>
        </w:tc>
        <w:tc>
          <w:tcPr>
            <w:tcW w:type="dxa" w:w="1661"/>
          </w:tcPr>
          <w:p>
            <w:pPr>
              <w:pStyle w:val="null3"/>
            </w:pPr>
            <w:r>
              <w:rPr/>
              <w:t>供应商应提交的相关资格证明资料</w:t>
            </w:r>
          </w:p>
        </w:tc>
      </w:tr>
      <w:tr>
        <w:tc>
          <w:tcPr>
            <w:tcW w:type="dxa" w:w="831"/>
          </w:tcPr>
          <w:p>
            <w:pPr>
              <w:pStyle w:val="null3"/>
            </w:pPr>
            <w:r>
              <w:rPr/>
              <w:t>5</w:t>
            </w:r>
          </w:p>
        </w:tc>
        <w:tc>
          <w:tcPr>
            <w:tcW w:type="dxa" w:w="2492"/>
          </w:tcPr>
          <w:p>
            <w:pPr>
              <w:pStyle w:val="null3"/>
            </w:pPr>
            <w:r>
              <w:rPr/>
              <w:t>信誉要求</w:t>
            </w:r>
          </w:p>
        </w:tc>
        <w:tc>
          <w:tcPr>
            <w:tcW w:type="dxa" w:w="3322"/>
          </w:tcPr>
          <w:p>
            <w:pPr>
              <w:pStyle w:val="null3"/>
            </w:pPr>
            <w:r>
              <w:rPr/>
              <w:t>截止至响应文件递交截止时间之前，供应商未被“信用中国”列入严重失信主体名单查询及重点领域严重失信主体名单查询，未被列入“中国政府采购网(www.ccgp.gov.cn)”政府采购严重违法失信行为记录名单；</w:t>
            </w:r>
          </w:p>
        </w:tc>
        <w:tc>
          <w:tcPr>
            <w:tcW w:type="dxa" w:w="1661"/>
          </w:tcPr>
          <w:p>
            <w:pPr>
              <w:pStyle w:val="null3"/>
            </w:pPr>
            <w:r>
              <w:rPr/>
              <w:t>供应商应提交的相关资格证明资料</w:t>
            </w:r>
          </w:p>
        </w:tc>
      </w:tr>
      <w:tr>
        <w:tc>
          <w:tcPr>
            <w:tcW w:type="dxa" w:w="831"/>
          </w:tcPr>
          <w:p>
            <w:pPr>
              <w:pStyle w:val="null3"/>
            </w:pPr>
            <w:r>
              <w:rPr/>
              <w:t>6</w:t>
            </w:r>
          </w:p>
        </w:tc>
        <w:tc>
          <w:tcPr>
            <w:tcW w:type="dxa" w:w="2492"/>
          </w:tcPr>
          <w:p>
            <w:pPr>
              <w:pStyle w:val="null3"/>
            </w:pPr>
            <w:r>
              <w:rPr/>
              <w:t>谈判授权代表</w:t>
            </w:r>
          </w:p>
        </w:tc>
        <w:tc>
          <w:tcPr>
            <w:tcW w:type="dxa" w:w="3322"/>
          </w:tcPr>
          <w:p>
            <w:pPr>
              <w:pStyle w:val="null3"/>
            </w:pPr>
            <w:r>
              <w:rPr/>
              <w:t>供应商应授权合法的人员参加本项目投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p>
        </w:tc>
        <w:tc>
          <w:tcPr>
            <w:tcW w:type="dxa" w:w="1661"/>
          </w:tcPr>
          <w:p>
            <w:pPr>
              <w:pStyle w:val="null3"/>
            </w:pPr>
            <w:r>
              <w:rPr/>
              <w:t>供应商应提交的相关资格证明资料</w:t>
            </w:r>
          </w:p>
        </w:tc>
      </w:tr>
      <w:tr>
        <w:tc>
          <w:tcPr>
            <w:tcW w:type="dxa" w:w="831"/>
          </w:tcPr>
          <w:p>
            <w:pPr>
              <w:pStyle w:val="null3"/>
            </w:pPr>
            <w:r>
              <w:rPr/>
              <w:t>7</w:t>
            </w:r>
          </w:p>
        </w:tc>
        <w:tc>
          <w:tcPr>
            <w:tcW w:type="dxa" w:w="2492"/>
          </w:tcPr>
          <w:p>
            <w:pPr>
              <w:pStyle w:val="null3"/>
            </w:pPr>
            <w:r>
              <w:rPr/>
              <w:t>是否接受进口产品</w:t>
            </w:r>
          </w:p>
        </w:tc>
        <w:tc>
          <w:tcPr>
            <w:tcW w:type="dxa" w:w="3322"/>
          </w:tcPr>
          <w:p>
            <w:pPr>
              <w:pStyle w:val="null3"/>
            </w:pPr>
            <w:r>
              <w:rPr/>
              <w:t>本包【镀膜系统、等离子清洁仪】已做进口论证，接受进口产品的投标；投标人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t>供应商应提交的相关资格证明资料</w:t>
            </w:r>
          </w:p>
        </w:tc>
      </w:tr>
      <w:tr>
        <w:tc>
          <w:tcPr>
            <w:tcW w:type="dxa" w:w="831"/>
          </w:tcPr>
          <w:p>
            <w:pPr>
              <w:pStyle w:val="null3"/>
            </w:pPr>
            <w:r>
              <w:rPr/>
              <w:t>8</w:t>
            </w:r>
          </w:p>
        </w:tc>
        <w:tc>
          <w:tcPr>
            <w:tcW w:type="dxa" w:w="2492"/>
          </w:tcPr>
          <w:p>
            <w:pPr>
              <w:pStyle w:val="null3"/>
            </w:pPr>
            <w:r>
              <w:rPr/>
              <w:t>是否面向中小企业采购</w:t>
            </w:r>
          </w:p>
        </w:tc>
        <w:tc>
          <w:tcPr>
            <w:tcW w:type="dxa" w:w="3322"/>
          </w:tcPr>
          <w:p>
            <w:pPr>
              <w:pStyle w:val="null3"/>
            </w:pPr>
            <w:r>
              <w:rPr/>
              <w:t>本项目不专门面向中小企业采购。</w:t>
            </w:r>
          </w:p>
        </w:tc>
        <w:tc>
          <w:tcPr>
            <w:tcW w:type="dxa" w:w="1661"/>
          </w:tcPr>
          <w:p>
            <w:pPr>
              <w:pStyle w:val="null3"/>
            </w:pPr>
            <w:r>
              <w:rPr/>
              <w:t>供应商应提交的相关资格证明资料</w:t>
            </w:r>
          </w:p>
        </w:tc>
      </w:tr>
    </w:tbl>
    <w:p>
      <w:pPr>
        <w:pStyle w:val="null3"/>
      </w:pPr>
      <w:r>
        <w:rPr/>
        <w:t xml:space="preserve"> </w:t>
        <w:br/>
        <w:br w:type="page"/>
      </w:r>
    </w:p>
    <w:p>
      <w:pPr>
        <w:pStyle w:val="null3"/>
        <w:jc w:val="center"/>
        <w:outlineLvl w:val="1"/>
      </w:pPr>
      <w:r>
        <w:rPr>
          <w:sz w:val="36"/>
          <w:b/>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t xml:space="preserve"> </w:t>
        <w:br/>
        <w:br w:type="page"/>
      </w:r>
    </w:p>
    <w:p>
      <w:pPr>
        <w:pStyle w:val="null3"/>
        <w:jc w:val="center"/>
        <w:outlineLvl w:val="1"/>
      </w:pPr>
      <w:r>
        <w:rPr>
          <w:sz w:val="36"/>
          <w:b/>
        </w:rPr>
        <w:t>第六章 谈判办法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6.2谈判小组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三、谈判小组按照谈判文件规定的谈判程序、评审方法和标准进行评审，并独立履行下列职责：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 xml:space="preserve"> （三）根据需要要求采购组织单位对谈判文件作出解释；根据需要要求供应商对响应文件有关事项作出澄清、说明或者更正；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二、在符合性审查过程中，如果出现谈判小组成员意见不一致的情况，按照少数服从多数的原则确定，但不得违背政府采购基本原则和谈判文件规定。</w:t>
      </w:r>
    </w:p>
    <w:p>
      <w:pPr>
        <w:pStyle w:val="null3"/>
        <w:ind w:firstLine="480"/>
      </w:pPr>
      <w:r>
        <w:rPr/>
        <w:t>三、谈判小组对所有响应文件进行审查后，确定参加谈判的供应商名单。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最高限价</w:t>
            </w:r>
          </w:p>
        </w:tc>
        <w:tc>
          <w:tcPr>
            <w:tcW w:type="dxa" w:w="3322"/>
          </w:tcPr>
          <w:p>
            <w:pPr>
              <w:pStyle w:val="null3"/>
            </w:pPr>
            <w:r>
              <w:rPr/>
              <w:t>报价须未超过谈判文件中规定的预算金额或者最高限价</w:t>
            </w:r>
          </w:p>
        </w:tc>
        <w:tc>
          <w:tcPr>
            <w:tcW w:type="dxa" w:w="1661"/>
          </w:tcPr>
          <w:p>
            <w:pPr>
              <w:pStyle w:val="null3"/>
            </w:pPr>
            <w:r>
              <w:rPr/>
              <w:t>标的清单 报价表</w:t>
            </w:r>
          </w:p>
        </w:tc>
      </w:tr>
      <w:tr>
        <w:tc>
          <w:tcPr>
            <w:tcW w:type="dxa" w:w="831"/>
          </w:tcPr>
          <w:p>
            <w:pPr>
              <w:pStyle w:val="null3"/>
            </w:pPr>
            <w:r>
              <w:rPr/>
              <w:t>3</w:t>
            </w:r>
          </w:p>
        </w:tc>
        <w:tc>
          <w:tcPr>
            <w:tcW w:type="dxa" w:w="2492"/>
          </w:tcPr>
          <w:p>
            <w:pPr>
              <w:pStyle w:val="null3"/>
            </w:pPr>
            <w:r>
              <w:rPr/>
              <w:t>签字盖章</w:t>
            </w:r>
          </w:p>
        </w:tc>
        <w:tc>
          <w:tcPr>
            <w:tcW w:type="dxa" w:w="3322"/>
          </w:tcPr>
          <w:p>
            <w:pPr>
              <w:pStyle w:val="null3"/>
            </w:pPr>
            <w:r>
              <w:rPr/>
              <w:t>响应文件须按照谈判文件要求签署、盖章</w:t>
            </w:r>
          </w:p>
        </w:tc>
        <w:tc>
          <w:tcPr>
            <w:tcW w:type="dxa" w:w="1661"/>
          </w:tcPr>
          <w:p>
            <w:pPr>
              <w:pStyle w:val="null3"/>
            </w:pPr>
            <w:r>
              <w:rPr/>
              <w:t>响应文件封面 中小企业声明函 残疾人福利性单位声明函 技术条款响应偏离表 商务应答表 标的清单 报价表 响应函 监狱企业的证明文件 供应商应提交的相关资格证明资料</w:t>
            </w:r>
          </w:p>
        </w:tc>
      </w:tr>
      <w:tr>
        <w:tc>
          <w:tcPr>
            <w:tcW w:type="dxa" w:w="831"/>
          </w:tcPr>
          <w:p>
            <w:pPr>
              <w:pStyle w:val="null3"/>
            </w:pPr>
            <w:r>
              <w:rPr/>
              <w:t>4</w:t>
            </w:r>
          </w:p>
        </w:tc>
        <w:tc>
          <w:tcPr>
            <w:tcW w:type="dxa" w:w="2492"/>
          </w:tcPr>
          <w:p>
            <w:pPr>
              <w:pStyle w:val="null3"/>
            </w:pPr>
            <w:r>
              <w:rPr/>
              <w:t>其他条件</w:t>
            </w:r>
          </w:p>
        </w:tc>
        <w:tc>
          <w:tcPr>
            <w:tcW w:type="dxa" w:w="3322"/>
          </w:tcPr>
          <w:p>
            <w:pPr>
              <w:pStyle w:val="null3"/>
            </w:pPr>
            <w:r>
              <w:rPr/>
              <w:t>响应文件未含有采购人不能接受的附加条件</w:t>
            </w:r>
          </w:p>
        </w:tc>
        <w:tc>
          <w:tcPr>
            <w:tcW w:type="dxa" w:w="1661"/>
          </w:tcPr>
          <w:p>
            <w:pPr>
              <w:pStyle w:val="null3"/>
            </w:pPr>
            <w:r>
              <w:rPr/>
              <w:t>响应文件封面 中小企业声明函 残疾人福利性单位声明函 技术条款响应偏离表 商务应答表 标的清单 报价表 响应函 监狱企业的证明文件 供应商应提交的相关资格证明资料</w:t>
            </w:r>
          </w:p>
        </w:tc>
      </w:tr>
      <w:tr>
        <w:tc>
          <w:tcPr>
            <w:tcW w:type="dxa" w:w="831"/>
          </w:tcPr>
          <w:p>
            <w:pPr>
              <w:pStyle w:val="null3"/>
            </w:pPr>
            <w:r>
              <w:rPr/>
              <w:t>5</w:t>
            </w:r>
          </w:p>
        </w:tc>
        <w:tc>
          <w:tcPr>
            <w:tcW w:type="dxa" w:w="2492"/>
          </w:tcPr>
          <w:p>
            <w:pPr>
              <w:pStyle w:val="null3"/>
            </w:pPr>
            <w:r>
              <w:rPr/>
              <w:t>技术、服务、商务及其他要求</w:t>
            </w:r>
          </w:p>
        </w:tc>
        <w:tc>
          <w:tcPr>
            <w:tcW w:type="dxa" w:w="3322"/>
          </w:tcPr>
          <w:p>
            <w:pPr>
              <w:pStyle w:val="null3"/>
            </w:pPr>
            <w:r>
              <w:rPr/>
              <w:t>须满足谈判文件第三章谈判项目技术、服务、商务及其他要求3.3技术要求全部内容</w:t>
            </w:r>
          </w:p>
        </w:tc>
        <w:tc>
          <w:tcPr>
            <w:tcW w:type="dxa" w:w="1661"/>
          </w:tcPr>
          <w:p>
            <w:pPr>
              <w:pStyle w:val="null3"/>
            </w:pPr>
            <w:r>
              <w:rPr/>
              <w:t>响应文件封面 中小企业声明函 残疾人福利性单位声明函 技术条款响应偏离表 商务应答表 标的清单 报价表 响应函 监狱企业的证明文件 供应商应提交的相关资格证明资料</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最高限价</w:t>
            </w:r>
          </w:p>
        </w:tc>
        <w:tc>
          <w:tcPr>
            <w:tcW w:type="dxa" w:w="3322"/>
          </w:tcPr>
          <w:p>
            <w:pPr>
              <w:pStyle w:val="null3"/>
            </w:pPr>
            <w:r>
              <w:rPr/>
              <w:t>报价须未超过谈判文件中规定的预算金额或者最高限价</w:t>
            </w:r>
          </w:p>
        </w:tc>
        <w:tc>
          <w:tcPr>
            <w:tcW w:type="dxa" w:w="1661"/>
          </w:tcPr>
          <w:p>
            <w:pPr>
              <w:pStyle w:val="null3"/>
            </w:pPr>
            <w:r>
              <w:rPr/>
              <w:t>标的清单 报价表</w:t>
            </w:r>
          </w:p>
        </w:tc>
      </w:tr>
      <w:tr>
        <w:tc>
          <w:tcPr>
            <w:tcW w:type="dxa" w:w="831"/>
          </w:tcPr>
          <w:p>
            <w:pPr>
              <w:pStyle w:val="null3"/>
            </w:pPr>
            <w:r>
              <w:rPr/>
              <w:t>3</w:t>
            </w:r>
          </w:p>
        </w:tc>
        <w:tc>
          <w:tcPr>
            <w:tcW w:type="dxa" w:w="2492"/>
          </w:tcPr>
          <w:p>
            <w:pPr>
              <w:pStyle w:val="null3"/>
            </w:pPr>
            <w:r>
              <w:rPr/>
              <w:t>签字盖章</w:t>
            </w:r>
          </w:p>
        </w:tc>
        <w:tc>
          <w:tcPr>
            <w:tcW w:type="dxa" w:w="3322"/>
          </w:tcPr>
          <w:p>
            <w:pPr>
              <w:pStyle w:val="null3"/>
            </w:pPr>
            <w:r>
              <w:rPr/>
              <w:t>响应文件须按照谈判文件要求签署、盖章</w:t>
            </w:r>
          </w:p>
        </w:tc>
        <w:tc>
          <w:tcPr>
            <w:tcW w:type="dxa" w:w="1661"/>
          </w:tcPr>
          <w:p>
            <w:pPr>
              <w:pStyle w:val="null3"/>
            </w:pPr>
            <w:r>
              <w:rPr/>
              <w:t>响应文件封面 中小企业声明函 残疾人福利性单位声明函 技术条款响应偏离表 商务应答表 标的清单 报价表 响应函 监狱企业的证明文件 供应商应提交的相关资格证明资料</w:t>
            </w:r>
          </w:p>
        </w:tc>
      </w:tr>
      <w:tr>
        <w:tc>
          <w:tcPr>
            <w:tcW w:type="dxa" w:w="831"/>
          </w:tcPr>
          <w:p>
            <w:pPr>
              <w:pStyle w:val="null3"/>
            </w:pPr>
            <w:r>
              <w:rPr/>
              <w:t>4</w:t>
            </w:r>
          </w:p>
        </w:tc>
        <w:tc>
          <w:tcPr>
            <w:tcW w:type="dxa" w:w="2492"/>
          </w:tcPr>
          <w:p>
            <w:pPr>
              <w:pStyle w:val="null3"/>
            </w:pPr>
            <w:r>
              <w:rPr/>
              <w:t>其他条件</w:t>
            </w:r>
          </w:p>
        </w:tc>
        <w:tc>
          <w:tcPr>
            <w:tcW w:type="dxa" w:w="3322"/>
          </w:tcPr>
          <w:p>
            <w:pPr>
              <w:pStyle w:val="null3"/>
            </w:pPr>
            <w:r>
              <w:rPr/>
              <w:t>响应文件未含有采购人不能接受的附加条件</w:t>
            </w:r>
          </w:p>
        </w:tc>
        <w:tc>
          <w:tcPr>
            <w:tcW w:type="dxa" w:w="1661"/>
          </w:tcPr>
          <w:p>
            <w:pPr>
              <w:pStyle w:val="null3"/>
            </w:pPr>
            <w:r>
              <w:rPr/>
              <w:t>响应文件封面 中小企业声明函 残疾人福利性单位声明函 技术条款响应偏离表 商务应答表 标的清单 报价表 响应函 监狱企业的证明文件 供应商应提交的相关资格证明资料</w:t>
            </w:r>
          </w:p>
        </w:tc>
      </w:tr>
      <w:tr>
        <w:tc>
          <w:tcPr>
            <w:tcW w:type="dxa" w:w="831"/>
          </w:tcPr>
          <w:p>
            <w:pPr>
              <w:pStyle w:val="null3"/>
            </w:pPr>
            <w:r>
              <w:rPr/>
              <w:t>5</w:t>
            </w:r>
          </w:p>
        </w:tc>
        <w:tc>
          <w:tcPr>
            <w:tcW w:type="dxa" w:w="2492"/>
          </w:tcPr>
          <w:p>
            <w:pPr>
              <w:pStyle w:val="null3"/>
            </w:pPr>
            <w:r>
              <w:rPr/>
              <w:t>技术、服务、商务及其他要求</w:t>
            </w:r>
          </w:p>
        </w:tc>
        <w:tc>
          <w:tcPr>
            <w:tcW w:type="dxa" w:w="3322"/>
          </w:tcPr>
          <w:p>
            <w:pPr>
              <w:pStyle w:val="null3"/>
            </w:pPr>
            <w:r>
              <w:rPr/>
              <w:t>须满足谈判文件第三章谈判项目技术、服务、商务及其他要求3.3技术要求全部内容</w:t>
            </w:r>
          </w:p>
        </w:tc>
        <w:tc>
          <w:tcPr>
            <w:tcW w:type="dxa" w:w="1661"/>
          </w:tcPr>
          <w:p>
            <w:pPr>
              <w:pStyle w:val="null3"/>
            </w:pPr>
            <w:r>
              <w:rPr/>
              <w:t>响应文件封面 中小企业声明函 残疾人福利性单位声明函 技术条款响应偏离表 商务应答表 标的清单 报价表 响应函 监狱企业的证明文件 供应商应提交的相关资格证明资料</w:t>
            </w:r>
          </w:p>
        </w:tc>
      </w:tr>
    </w:tbl>
    <w:p>
      <w:pPr>
        <w:pStyle w:val="null3"/>
        <w:outlineLvl w:val="3"/>
      </w:pPr>
      <w:r>
        <w:rPr>
          <w:sz w:val="24"/>
          <w:b/>
        </w:rPr>
        <w:t>6.3.3谈判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 xml:space="preserve"> 七、谈判小组对供应商在谈判、评审过程中的书面交换材料，未按要求加盖电子印章或签字的，视同未提交书面交换材料。</w:t>
      </w:r>
    </w:p>
    <w:p>
      <w:pPr>
        <w:pStyle w:val="null3"/>
        <w:ind w:firstLine="480"/>
      </w:pPr>
      <w:r>
        <w:rPr/>
        <w:t xml:space="preserve"> 八、谈判小组在最终谈判后，对所有响应文件的有效性、完整性和响应程度进行审查后，确定最后报价的供应商名单。</w:t>
      </w:r>
    </w:p>
    <w:p>
      <w:pPr>
        <w:pStyle w:val="null3"/>
        <w:ind w:firstLine="480"/>
      </w:pPr>
      <w:r>
        <w:rPr/>
        <w:t xml:space="preserve"> 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pPr>
      <w:r>
        <w:rPr/>
        <w:t>七、最后报价一旦提交后，供应商不得以任何理由撤回。</w:t>
      </w:r>
    </w:p>
    <w:p>
      <w:pPr>
        <w:pStyle w:val="null3"/>
        <w:ind w:firstLine="480"/>
        <w:jc w:val="left"/>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t>中小企业声明函 残疾人福利性单位声明函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t>中小企业声明函 残疾人福利性单位声明函 监狱企业的证明文件</w:t>
            </w:r>
          </w:p>
        </w:tc>
      </w:tr>
    </w:tbl>
    <w:p>
      <w:pPr>
        <w:pStyle w:val="null3"/>
        <w:outlineLvl w:val="3"/>
      </w:pPr>
      <w:r>
        <w:rPr>
          <w:sz w:val="24"/>
          <w:b/>
        </w:rPr>
        <w:t>6.3.6解释、澄清、说明的有关问题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sz w:val="24"/>
          <w:b/>
        </w:rPr>
        <w:t>6.3.7复核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sz w:val="24"/>
          <w:b/>
        </w:rPr>
        <w:t>6.3.8推荐成交候选供应商</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采购包2：</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sz w:val="24"/>
          <w:b/>
        </w:rPr>
        <w:t>6.3.9编写谈判报告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sz w:val="24"/>
          <w:b/>
        </w:rPr>
        <w:t>6.3.10谈判争议处理规则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sz w:val="28"/>
          <w:b/>
        </w:rPr>
        <w:t>6.4终止采购活动情形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sz w:val="28"/>
          <w:b/>
        </w:rPr>
        <w:t>6.5确定成交供应商</w:t>
      </w: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详见附件：技术条款响应偏离表</w:t>
      </w:r>
    </w:p>
    <w:p>
      <w:pPr>
        <w:pStyle w:val="null3"/>
        <w:ind w:firstLine="960"/>
      </w:pPr>
      <w:r>
        <w:rPr/>
        <w:t>详见附件：供应商应提交的相关资格证明资料</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详见附件：技术条款响应偏离表</w:t>
      </w:r>
    </w:p>
    <w:p>
      <w:pPr>
        <w:pStyle w:val="null3"/>
        <w:ind w:firstLine="960"/>
      </w:pPr>
      <w:r>
        <w:rPr/>
        <w:t>详见附件：供应商应提交的相关资格证明资料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详见附件：拟签订的合同参考文本.docx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