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版本号：ZMZB2025KFDX-33720251011001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档案数字化外包服务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ZMZB2025KFDX-337</w:t>
      </w:r>
      <w:r>
        <w:br/>
      </w:r>
      <w:r>
        <w:br/>
      </w:r>
      <w:r>
        <w:br/>
      </w:r>
    </w:p>
    <w:p>
      <w:pPr>
        <w:pStyle w:val="null3"/>
        <w:jc w:val="center"/>
        <w:outlineLvl w:val="2"/>
      </w:pPr>
      <w:r>
        <w:rPr>
          <w:rFonts w:ascii="仿宋_GB2312" w:hAnsi="仿宋_GB2312" w:cs="仿宋_GB2312" w:eastAsia="仿宋_GB2312"/>
          <w:sz w:val="28"/>
          <w:b/>
        </w:rPr>
        <w:t>陕西开放大学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陕西开放大学</w:t>
      </w:r>
      <w:r>
        <w:rPr>
          <w:rFonts w:ascii="仿宋_GB2312" w:hAnsi="仿宋_GB2312" w:cs="仿宋_GB2312" w:eastAsia="仿宋_GB2312"/>
        </w:rPr>
        <w:t>委托，拟对</w:t>
      </w:r>
      <w:r>
        <w:rPr>
          <w:rFonts w:ascii="仿宋_GB2312" w:hAnsi="仿宋_GB2312" w:cs="仿宋_GB2312" w:eastAsia="仿宋_GB2312"/>
        </w:rPr>
        <w:t>档案数字化外包服务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ZMZB2025KFDX-337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档案数字化外包服务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学校毕业生成绩单、毕业生名单和录取大表的数字化工作，包括但不限于档案扫描、图像处理、数据录入、目录著录、数据挂接等，确保数字化档案的准确性、完整性和安全性，满足学校档案管理和查询利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采购包1（档案数字化外包服务）：属于专门面向中小企业采购。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7、授权委托书：非法定代表人参加磋商的，须提供法定代表人委托授权书，法定代表人参加磋商时,只须提供法定代表人身份证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8、资质：供应商应具备国家秘密载体印刷资质证书乙级及以上，资质类别为涉密档案数字化加工</w:t>
      </w:r>
    </w:p>
    <w:p>
      <w:pPr>
        <w:pStyle w:val="null3"/>
      </w:pPr>
      <w:r>
        <w:rPr>
          <w:rFonts w:ascii="仿宋_GB2312" w:hAnsi="仿宋_GB2312" w:cs="仿宋_GB2312" w:eastAsia="仿宋_GB2312"/>
        </w:rPr>
        <w:t>9、本项目不接受联合体响应：提供非联合体声明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西安市长安区郭杜北街41号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任延宏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029-81896973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按照中标金额差额定率累进法计算，由中标/成交单位一次性支付。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陕西开放大学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档案数字化外包服务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档案数字化加工服务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标的名称：档案数字化加工服务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10"/>
            </w:pPr>
            <w:r>
              <w:rPr>
                <w:rFonts w:ascii="仿宋_GB2312" w:hAnsi="仿宋_GB2312" w:cs="仿宋_GB2312" w:eastAsia="仿宋_GB2312"/>
              </w:rPr>
              <w:t>一、项目内容</w:t>
            </w:r>
          </w:p>
          <w:p>
            <w:pPr>
              <w:pStyle w:val="null3"/>
            </w:pPr>
            <w:r>
              <w:rPr>
                <w:rFonts w:ascii="仿宋_GB2312" w:hAnsi="仿宋_GB2312" w:cs="仿宋_GB2312" w:eastAsia="仿宋_GB2312"/>
              </w:rPr>
              <w:t>完成学校毕业生成绩单、毕业生名单和录取大表的数字化工作，包括但不限于档案扫描、图像处理、数据录入、目录著录、数据挂接等，确保数字化档案的准确性、完整性和安全性，满足学校档案管理和查询利用需求。</w:t>
            </w:r>
          </w:p>
          <w:p>
            <w:pPr>
              <w:pStyle w:val="null3"/>
            </w:pPr>
            <w:r>
              <w:rPr>
                <w:rFonts w:ascii="仿宋_GB2312" w:hAnsi="仿宋_GB2312" w:cs="仿宋_GB2312" w:eastAsia="仿宋_GB2312"/>
              </w:rPr>
              <w:t>二、数量及预算：预算金额28万元，据实结算。</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数字化内容</w:t>
                  </w:r>
                </w:p>
              </w:tc>
              <w:tc>
                <w:tcPr>
                  <w:tcW w:type="dxa" w:w="511"/>
                </w:tcPr>
                <w:p>
                  <w:pPr>
                    <w:pStyle w:val="null3"/>
                  </w:pPr>
                  <w:r>
                    <w:rPr>
                      <w:rFonts w:ascii="仿宋_GB2312" w:hAnsi="仿宋_GB2312" w:cs="仿宋_GB2312" w:eastAsia="仿宋_GB2312"/>
                    </w:rPr>
                    <w:t>原件尺寸</w:t>
                  </w:r>
                </w:p>
              </w:tc>
              <w:tc>
                <w:tcPr>
                  <w:tcW w:type="dxa" w:w="511"/>
                </w:tcPr>
                <w:p>
                  <w:pPr>
                    <w:pStyle w:val="null3"/>
                  </w:pPr>
                  <w:r>
                    <w:rPr>
                      <w:rFonts w:ascii="仿宋_GB2312" w:hAnsi="仿宋_GB2312" w:cs="仿宋_GB2312" w:eastAsia="仿宋_GB2312"/>
                    </w:rPr>
                    <w:t>数量(页)</w:t>
                  </w:r>
                </w:p>
              </w:tc>
              <w:tc>
                <w:tcPr>
                  <w:tcW w:type="dxa" w:w="511"/>
                </w:tcPr>
                <w:p>
                  <w:pPr>
                    <w:pStyle w:val="null3"/>
                  </w:pPr>
                  <w:r>
                    <w:rPr>
                      <w:rFonts w:ascii="仿宋_GB2312" w:hAnsi="仿宋_GB2312" w:cs="仿宋_GB2312" w:eastAsia="仿宋_GB2312"/>
                    </w:rPr>
                    <w:t>每页人数</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新生录取名单</w:t>
                  </w:r>
                </w:p>
              </w:tc>
              <w:tc>
                <w:tcPr>
                  <w:tcW w:type="dxa" w:w="511"/>
                </w:tcPr>
                <w:p>
                  <w:pPr>
                    <w:pStyle w:val="null3"/>
                  </w:pPr>
                  <w:r>
                    <w:rPr>
                      <w:rFonts w:ascii="仿宋_GB2312" w:hAnsi="仿宋_GB2312" w:cs="仿宋_GB2312" w:eastAsia="仿宋_GB2312"/>
                    </w:rPr>
                    <w:t>A3</w:t>
                  </w:r>
                </w:p>
              </w:tc>
              <w:tc>
                <w:tcPr>
                  <w:tcW w:type="dxa" w:w="511"/>
                </w:tcPr>
                <w:p>
                  <w:pPr>
                    <w:pStyle w:val="null3"/>
                  </w:pPr>
                  <w:r>
                    <w:rPr>
                      <w:rFonts w:ascii="仿宋_GB2312" w:hAnsi="仿宋_GB2312" w:cs="仿宋_GB2312" w:eastAsia="仿宋_GB2312"/>
                    </w:rPr>
                    <w:t>22500</w:t>
                  </w:r>
                </w:p>
              </w:tc>
              <w:tc>
                <w:tcPr>
                  <w:tcW w:type="dxa" w:w="511"/>
                </w:tcPr>
                <w:p>
                  <w:pPr>
                    <w:pStyle w:val="null3"/>
                  </w:pPr>
                  <w:r>
                    <w:rPr>
                      <w:rFonts w:ascii="仿宋_GB2312" w:hAnsi="仿宋_GB2312" w:cs="仿宋_GB2312" w:eastAsia="仿宋_GB2312"/>
                    </w:rPr>
                    <w:t>30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毕业审核名册</w:t>
                  </w:r>
                </w:p>
              </w:tc>
              <w:tc>
                <w:tcPr>
                  <w:tcW w:type="dxa" w:w="511"/>
                </w:tcPr>
                <w:p>
                  <w:pPr>
                    <w:pStyle w:val="null3"/>
                  </w:pPr>
                  <w:r>
                    <w:rPr>
                      <w:rFonts w:ascii="仿宋_GB2312" w:hAnsi="仿宋_GB2312" w:cs="仿宋_GB2312" w:eastAsia="仿宋_GB2312"/>
                    </w:rPr>
                    <w:t>A4</w:t>
                  </w:r>
                </w:p>
              </w:tc>
              <w:tc>
                <w:tcPr>
                  <w:tcW w:type="dxa" w:w="511"/>
                </w:tcPr>
                <w:p>
                  <w:pPr>
                    <w:pStyle w:val="null3"/>
                  </w:pPr>
                  <w:r>
                    <w:rPr>
                      <w:rFonts w:ascii="仿宋_GB2312" w:hAnsi="仿宋_GB2312" w:cs="仿宋_GB2312" w:eastAsia="仿宋_GB2312"/>
                    </w:rPr>
                    <w:t>40000</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成绩单</w:t>
                  </w:r>
                </w:p>
              </w:tc>
              <w:tc>
                <w:tcPr>
                  <w:tcW w:type="dxa" w:w="511"/>
                </w:tcPr>
                <w:p>
                  <w:pPr>
                    <w:pStyle w:val="null3"/>
                  </w:pPr>
                  <w:r>
                    <w:rPr>
                      <w:rFonts w:ascii="仿宋_GB2312" w:hAnsi="仿宋_GB2312" w:cs="仿宋_GB2312" w:eastAsia="仿宋_GB2312"/>
                    </w:rPr>
                    <w:t>A4</w:t>
                  </w:r>
                </w:p>
              </w:tc>
              <w:tc>
                <w:tcPr>
                  <w:tcW w:type="dxa" w:w="511"/>
                </w:tcPr>
                <w:p>
                  <w:pPr>
                    <w:pStyle w:val="null3"/>
                  </w:pPr>
                  <w:r>
                    <w:rPr>
                      <w:rFonts w:ascii="仿宋_GB2312" w:hAnsi="仿宋_GB2312" w:cs="仿宋_GB2312" w:eastAsia="仿宋_GB2312"/>
                    </w:rPr>
                    <w:t>400000</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三、基本要求：</w:t>
            </w:r>
          </w:p>
          <w:p>
            <w:pPr>
              <w:pStyle w:val="null3"/>
            </w:pPr>
            <w:r>
              <w:rPr>
                <w:rFonts w:ascii="仿宋_GB2312" w:hAnsi="仿宋_GB2312" w:cs="仿宋_GB2312" w:eastAsia="仿宋_GB2312"/>
              </w:rPr>
              <w:t>1、加工场地由陕西工商职业学院提供，整个项目实施过程中所需的所有设备、软件、耗材、生活保障等，均由数字化加工公司自行提供，卷皮、装订线、移动硬盘等必须符合国家标准和档案用品规范。</w:t>
            </w:r>
          </w:p>
          <w:p>
            <w:pPr>
              <w:pStyle w:val="null3"/>
            </w:pPr>
            <w:r>
              <w:rPr>
                <w:rFonts w:ascii="仿宋_GB2312" w:hAnsi="仿宋_GB2312" w:cs="仿宋_GB2312" w:eastAsia="仿宋_GB2312"/>
              </w:rPr>
              <w:t>2、加工场地需安装监控设备（加工企业提供），实行封闭管理，无关人员禁止入内；加工设备（电脑、扫描仪等）禁止连接外网，防止数据外泄。</w:t>
            </w:r>
          </w:p>
          <w:p>
            <w:pPr>
              <w:pStyle w:val="null3"/>
            </w:pPr>
            <w:r>
              <w:rPr>
                <w:rFonts w:ascii="仿宋_GB2312" w:hAnsi="仿宋_GB2312" w:cs="仿宋_GB2312" w:eastAsia="仿宋_GB2312"/>
              </w:rPr>
              <w:t>3、加工团队需签订保密协议，明确保密责任，严禁泄露档案中的学生个人信息。</w:t>
            </w:r>
          </w:p>
          <w:p>
            <w:pPr>
              <w:pStyle w:val="null3"/>
            </w:pPr>
            <w:r>
              <w:rPr>
                <w:rFonts w:ascii="仿宋_GB2312" w:hAnsi="仿宋_GB2312" w:cs="仿宋_GB2312" w:eastAsia="仿宋_GB2312"/>
              </w:rPr>
              <w:t>4、对破损、褶皱、污渍的档案先进行修复处理，如采用无酸胶水修补破损页、用干擦法清理表面污渍，保证扫描后图像清晰可辨。</w:t>
            </w:r>
          </w:p>
          <w:p>
            <w:pPr>
              <w:pStyle w:val="null3"/>
            </w:pPr>
            <w:r>
              <w:rPr>
                <w:rFonts w:ascii="仿宋_GB2312" w:hAnsi="仿宋_GB2312" w:cs="仿宋_GB2312" w:eastAsia="仿宋_GB2312"/>
              </w:rPr>
              <w:t>5、设备要求：根据纸张幅面大小，选择对应幅面的平板扫描仪扫描。</w:t>
            </w:r>
          </w:p>
          <w:p>
            <w:pPr>
              <w:pStyle w:val="null3"/>
            </w:pPr>
            <w:r>
              <w:rPr>
                <w:rFonts w:ascii="仿宋_GB2312" w:hAnsi="仿宋_GB2312" w:cs="仿宋_GB2312" w:eastAsia="仿宋_GB2312"/>
              </w:rPr>
              <w:t>四、参数</w:t>
            </w:r>
          </w:p>
          <w:p>
            <w:pPr>
              <w:pStyle w:val="null3"/>
              <w:numPr>
                <w:ilvl w:val="0"/>
                <w:numId w:val="1"/>
              </w:numPr>
            </w:pPr>
            <w:r>
              <w:rPr>
                <w:rFonts w:ascii="仿宋_GB2312" w:hAnsi="仿宋_GB2312" w:cs="仿宋_GB2312" w:eastAsia="仿宋_GB2312"/>
              </w:rPr>
              <w:t>扫描参数</w:t>
            </w:r>
          </w:p>
          <w:p>
            <w:pPr>
              <w:pStyle w:val="null3"/>
            </w:pPr>
            <w:r>
              <w:rPr>
                <w:rFonts w:ascii="仿宋_GB2312" w:hAnsi="仿宋_GB2312" w:cs="仿宋_GB2312" w:eastAsia="仿宋_GB2312"/>
              </w:rPr>
              <w:t>（1）分辨率：分辨率≥300dpi，特殊情况，如文字偏小、密集、清晰度较差等，可适当提高分辨率。</w:t>
            </w:r>
          </w:p>
          <w:p>
            <w:pPr>
              <w:pStyle w:val="null3"/>
            </w:pPr>
            <w:r>
              <w:rPr>
                <w:rFonts w:ascii="仿宋_GB2312" w:hAnsi="仿宋_GB2312" w:cs="仿宋_GB2312" w:eastAsia="仿宋_GB2312"/>
              </w:rPr>
              <w:t>（2）色彩模式：不低于24位彩色模式进行扫描。</w:t>
            </w:r>
          </w:p>
          <w:p>
            <w:pPr>
              <w:pStyle w:val="null3"/>
            </w:pPr>
            <w:r>
              <w:rPr>
                <w:rFonts w:ascii="仿宋_GB2312" w:hAnsi="仿宋_GB2312" w:cs="仿宋_GB2312" w:eastAsia="仿宋_GB2312"/>
              </w:rPr>
              <w:t>（3）图像格式：单页JPEG格式+整册PDF格式，JPEG压缩质量系数≥85。</w:t>
            </w:r>
          </w:p>
          <w:p>
            <w:pPr>
              <w:pStyle w:val="null3"/>
            </w:pPr>
            <w:r>
              <w:rPr>
                <w:rFonts w:ascii="仿宋_GB2312" w:hAnsi="仿宋_GB2312" w:cs="仿宋_GB2312" w:eastAsia="仿宋_GB2312"/>
              </w:rPr>
              <w:t>（4）文件命名：录取大表每页以本页所有学生姓名命名；成绩单、毕业审核名册每页以本页所有学生姓名+毕业证号命名，著录准确率≥99.9%，需人工核对关键信息，避免错录、漏录。</w:t>
            </w:r>
          </w:p>
          <w:p>
            <w:pPr>
              <w:pStyle w:val="null3"/>
            </w:pPr>
            <w:r>
              <w:rPr>
                <w:rFonts w:ascii="仿宋_GB2312" w:hAnsi="仿宋_GB2312" w:cs="仿宋_GB2312" w:eastAsia="仿宋_GB2312"/>
              </w:rPr>
              <w:t>2、图像处理：</w:t>
            </w:r>
          </w:p>
          <w:p>
            <w:pPr>
              <w:pStyle w:val="null3"/>
            </w:pPr>
            <w:r>
              <w:rPr>
                <w:rFonts w:ascii="仿宋_GB2312" w:hAnsi="仿宋_GB2312" w:cs="仿宋_GB2312" w:eastAsia="仿宋_GB2312"/>
              </w:rPr>
              <w:t>（1）自动去除黑边、倾斜校正，确保图像水平偏差≤0.3°，保证表格行列无扭曲，便于后续信息提取，无明显边缘冗余。</w:t>
            </w:r>
          </w:p>
          <w:p>
            <w:pPr>
              <w:pStyle w:val="null3"/>
            </w:pPr>
            <w:r>
              <w:rPr>
                <w:rFonts w:ascii="仿宋_GB2312" w:hAnsi="仿宋_GB2312" w:cs="仿宋_GB2312" w:eastAsia="仿宋_GB2312"/>
              </w:rPr>
              <w:t>（2）对字迹模糊的区域进行增强处理，保证姓名、毕业证号等关键信息可识别。</w:t>
            </w:r>
          </w:p>
          <w:p>
            <w:pPr>
              <w:pStyle w:val="null3"/>
            </w:pPr>
            <w:r>
              <w:rPr>
                <w:rFonts w:ascii="仿宋_GB2312" w:hAnsi="仿宋_GB2312" w:cs="仿宋_GB2312" w:eastAsia="仿宋_GB2312"/>
              </w:rPr>
              <w:t>（3）去除纸张斑点、污渍，避免干扰文字识别，同时不破坏表格原有线条和内容。</w:t>
            </w:r>
          </w:p>
          <w:p>
            <w:pPr>
              <w:pStyle w:val="null3"/>
            </w:pPr>
            <w:r>
              <w:rPr>
                <w:rFonts w:ascii="仿宋_GB2312" w:hAnsi="仿宋_GB2312" w:cs="仿宋_GB2312" w:eastAsia="仿宋_GB2312"/>
              </w:rPr>
              <w:t>五、成果验收标准</w:t>
            </w:r>
          </w:p>
          <w:p>
            <w:pPr>
              <w:pStyle w:val="null3"/>
            </w:pPr>
            <w:r>
              <w:rPr>
                <w:rFonts w:ascii="仿宋_GB2312" w:hAnsi="仿宋_GB2312" w:cs="仿宋_GB2312" w:eastAsia="仿宋_GB2312"/>
              </w:rPr>
              <w:t>1、图像质量验收：随机抽取10%的数字化图像，检查清晰度、倾斜度、污渍去除情况，合格率需≥99%，不合格图像需重新加工；打印还原测试：随机抽取图像打印，打印效果需与原始档案一致，无文字模糊、色彩偏差。</w:t>
            </w:r>
          </w:p>
          <w:p>
            <w:pPr>
              <w:pStyle w:val="null3"/>
            </w:pPr>
            <w:r>
              <w:rPr>
                <w:rFonts w:ascii="仿宋_GB2312" w:hAnsi="仿宋_GB2312" w:cs="仿宋_GB2312" w:eastAsia="仿宋_GB2312"/>
              </w:rPr>
              <w:t>2、元数据验收：随机抽取5%的元数据记录，与原始档案核对，准确率需≥99.8%，错误记录需及时修正。检索测试：通过关键字段（如学生姓名、毕业证号）进行检索，检索结果准确率100%。</w:t>
            </w:r>
          </w:p>
          <w:p>
            <w:pPr>
              <w:pStyle w:val="null3"/>
            </w:pPr>
            <w:r>
              <w:rPr>
                <w:rFonts w:ascii="仿宋_GB2312" w:hAnsi="仿宋_GB2312" w:cs="仿宋_GB2312" w:eastAsia="仿宋_GB2312"/>
              </w:rPr>
              <w:t>3、数据挂接：扫描数据与学校档案管理系统挂接，要确保所有目录数据都与相应的数字图像完成挂接，无挂接错误或遗漏现象；目录数据与其对应的数字图像的挂接必须准确无误，确保挂接的正确率达到100%。确保通过学校档案管理系统能够正常调阅、查询、打印。</w:t>
            </w:r>
          </w:p>
          <w:p>
            <w:pPr>
              <w:pStyle w:val="null3"/>
            </w:pPr>
            <w:r>
              <w:rPr>
                <w:rFonts w:ascii="仿宋_GB2312" w:hAnsi="仿宋_GB2312" w:cs="仿宋_GB2312" w:eastAsia="仿宋_GB2312"/>
              </w:rPr>
              <w:t>4、数据安全性验收：检查保密协议签订情况、加工场地监控记录、设备断网情况，确保无信息泄露风险。对数字化成果进行病毒查杀，确保数据无恶意软件、病毒感染。</w:t>
            </w:r>
          </w:p>
          <w:p>
            <w:pPr>
              <w:pStyle w:val="null3"/>
            </w:pPr>
            <w:r>
              <w:rPr>
                <w:rFonts w:ascii="仿宋_GB2312" w:hAnsi="仿宋_GB2312" w:cs="仿宋_GB2312" w:eastAsia="仿宋_GB2312"/>
              </w:rPr>
              <w:t>六、交付成果</w:t>
            </w:r>
          </w:p>
          <w:p>
            <w:pPr>
              <w:pStyle w:val="null3"/>
            </w:pPr>
            <w:r>
              <w:rPr>
                <w:rFonts w:ascii="仿宋_GB2312" w:hAnsi="仿宋_GB2312" w:cs="仿宋_GB2312" w:eastAsia="仿宋_GB2312"/>
              </w:rPr>
              <w:t>1、数字化图像文件：按年度、档案类别分类存储，每个文件命名格式为“年度-类别-档案编号-名称”（如“2024-JX14-1-录取名单-学生姓名）。</w:t>
            </w:r>
          </w:p>
          <w:p>
            <w:pPr>
              <w:pStyle w:val="null3"/>
            </w:pPr>
            <w:r>
              <w:rPr>
                <w:rFonts w:ascii="仿宋_GB2312" w:hAnsi="仿宋_GB2312" w:cs="仿宋_GB2312" w:eastAsia="仿宋_GB2312"/>
              </w:rPr>
              <w:t>2、元数据表格：Excel格式，包含所有著录字段，便于导入档案管理系统。</w:t>
            </w:r>
          </w:p>
          <w:p>
            <w:pPr>
              <w:pStyle w:val="null3"/>
            </w:pPr>
            <w:r>
              <w:rPr>
                <w:rFonts w:ascii="仿宋_GB2312" w:hAnsi="仿宋_GB2312" w:cs="仿宋_GB2312" w:eastAsia="仿宋_GB2312"/>
              </w:rPr>
              <w:t>3、验收报告：包含加工流程、质量检测结果、问题整改记录等内容，需双方签字确认。</w:t>
            </w:r>
          </w:p>
          <w:p>
            <w:pPr>
              <w:pStyle w:val="null3"/>
            </w:pPr>
            <w:r>
              <w:rPr>
                <w:rFonts w:ascii="仿宋_GB2312" w:hAnsi="仿宋_GB2312" w:cs="仿宋_GB2312" w:eastAsia="仿宋_GB2312"/>
              </w:rPr>
              <w:t>4、备份介质：数字化成果需刻录到专用硬盘（2块，一主一备），硬盘需标注项目名称、交付时间、存储内容，确保长期安全存储。</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签订合同之日起6个月（不包含寒暑假）。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加工完成总量50%支付合同款项50%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甲方签署完验收报告3个月后支付剩余款项。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供应商应具备国家秘密载体印刷资质证书乙级及以上，资质类别为涉密档案数字化加工</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服务期限满足采购文件最低要求(合格)，服务期限不满足采购文件最低要求(不合格)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响应文件的签署、盖章符合采购文件要求(合格)，响应文件的签署、盖章不符合采购文件要求 (不合格)</w:t>
            </w:r>
          </w:p>
        </w:tc>
        <w:tc>
          <w:tcPr>
            <w:tcW w:type="dxa" w:w="1661"/>
          </w:tcPr>
          <w:p>
            <w:pPr>
              <w:pStyle w:val="null3"/>
            </w:pPr>
            <w:r>
              <w:rPr>
                <w:rFonts w:ascii="仿宋_GB2312" w:hAnsi="仿宋_GB2312" w:cs="仿宋_GB2312" w:eastAsia="仿宋_GB2312"/>
              </w:rPr>
              <w:t>响应文件封面 供应商资格要求.docx 中小企业声明函 报价表 响应函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响应文件响应有效期符合采购文件要求的(合格)，响应文件无响应有效期或有效期达不到采购文件要求的(不合格)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响应文件内容符合采购文件服务内容及要求（合格），响应文件内容不符合采购文件服务内容及要求（不合格）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服务内容及服务邀请应答表 供应商认为有必要说明的其他问题.docx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①供应商具有省级及以上国家保密局颁发的《涉密信息系统集成资质》乙级及以上资质的得2分； ②供应商具有提供ISO27001信息安全管理体系认证证书、信息技术服务管理体系认证证书、质量管理体系认证证书、职业健康安全管理体系认证证书，以上证书认证范围需与档案相关，每提供1个得1分，最多得4分； ③具有以下软件著作权的每个得1分，最多得2分。 档案数字化全流程质检软件 档案数字化安全控制软件 注：提供上述资料复印件,未提供不得分。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根据供应商针对本项目提供的服务方案，内容包括：①借卷、拆卷、档案整理分件、编制页号；②建立目录数据库 ③档案扫描、图像处理；④数据挂接与质检、装卷、还卷；⑤数据存储与备份。 根据方案完整性、可实施性、针对性进行综合评审，每提供上述1项内容得5分，最高得25分；每项中每有一处有缺陷扣1分，最多扣5分。（缺陷是指存在项目信息错误、明显劣于其他供应商、方案内容矛盾或表述前后不一致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服务保障措施及售后服务承诺</w:t>
            </w:r>
          </w:p>
        </w:tc>
        <w:tc>
          <w:tcPr>
            <w:tcW w:type="dxa" w:w="2492"/>
          </w:tcPr>
          <w:p>
            <w:pPr>
              <w:pStyle w:val="null3"/>
            </w:pPr>
            <w:r>
              <w:rPr>
                <w:rFonts w:ascii="仿宋_GB2312" w:hAnsi="仿宋_GB2312" w:cs="仿宋_GB2312" w:eastAsia="仿宋_GB2312"/>
              </w:rPr>
              <w:t>根据供应商针对本项目提供的保障措施及服务承诺，内容包括：①档案原件保护措施；②工期及计划保障措施 ③保密措施；④应急措施；⑤数据（信息）安全保障措施；⑥售后服务承诺；⑦成果交付保障措施。 根据方案和承诺完整性、可实施性、针对性进行综合评审，每提供上述1项内容得3分，最高得21分；每项中每有一处有缺陷扣1分，最多扣3分。（缺陷是指存在项目信息错误、明显劣于其他供应商、方案内容矛盾或表述前后不一致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服务保障措施及售后服务承诺.docx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1.拟派项目负责人具有人社部门颁发的档案相关专业中级（或以上）职称证书、高级项目管理师、档案岗位培训证书、档案行政管理部门颁发的科研奖项证书，以上全部具备得5分，缺一项扣2分，没有的不得分。 2.供应商拟派本项目服务团队成员具有省级及以上档案部门颁发的档案岗位培训证书的，每提供1个得0.5分，最高得3分。 3、供应商拟派本项目服务团队成员具有保密教育培训证书的，每提供1个得0.5分，最高得3分。 上述拟派驻项目的团队人员须提供有效的人员证书扫描件以及2025年1月至今任意一个月在供应商单位缴纳的社保证明原件（如社保证明为网上打印，可提供盖有电子章的打印页）的扫描件，否则不予计分。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拟投入设备和软件</w:t>
            </w:r>
          </w:p>
        </w:tc>
        <w:tc>
          <w:tcPr>
            <w:tcW w:type="dxa" w:w="2492"/>
          </w:tcPr>
          <w:p>
            <w:pPr>
              <w:pStyle w:val="null3"/>
            </w:pPr>
            <w:r>
              <w:rPr>
                <w:rFonts w:ascii="仿宋_GB2312" w:hAnsi="仿宋_GB2312" w:cs="仿宋_GB2312" w:eastAsia="仿宋_GB2312"/>
              </w:rPr>
              <w:t>供应商针对本项目投入设备和软件，提供①投入设备及证明材料②拟投入软件及证明材料。根据材料完整性、可实施性、针对性进行综合评审，每提供上述1项内容得5分，最高得10分；每项中每有一处有缺陷扣1分，最多扣5分。（缺陷是指存在项目信息错误、明显劣于其他供应商、方案内容矛盾或表述前后不一致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拟投入设备和软件.docx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根据供应商提供的2023年6月1日至今所投同类业绩（以合同签订日期为准，仅限供应商本身，提供合同复印件加盖公章）进行评定，每份计2分，最高计10分。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经初审合格的响应文件，其响应报价为有效响应报价。 评审基准价：即满足采购文件要求且最终响应价格最低的响应报价为评标基准价。 其他供应商的价格分统一按照下列公式计算。响应报价得分=(评审基准价／最终响应报价)×15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详见附件：服务保障措施及售后服务承诺.docx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详见附件：拟投入设备和软件.docx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