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版本号：XHZB2025-CS-059-00120251017001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2025年陕西省农村生活垃圾卫星遥感监测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XHZB2025-CS-059-001</w:t>
      </w:r>
      <w:r>
        <w:br/>
      </w:r>
      <w:r>
        <w:br/>
      </w:r>
      <w:r>
        <w:br/>
      </w:r>
    </w:p>
    <w:p>
      <w:pPr>
        <w:pStyle w:val="null3"/>
        <w:jc w:val="center"/>
        <w:outlineLvl w:val="2"/>
      </w:pPr>
      <w:r>
        <w:rPr>
          <w:rFonts w:ascii="仿宋_GB2312" w:hAnsi="仿宋_GB2312" w:cs="仿宋_GB2312" w:eastAsia="仿宋_GB2312"/>
          <w:sz w:val="28"/>
          <w:b/>
        </w:rPr>
        <w:t>陕西省住房和城乡建设厅机关</w:t>
      </w:r>
    </w:p>
    <w:p>
      <w:pPr>
        <w:pStyle w:val="null3"/>
        <w:jc w:val="center"/>
        <w:outlineLvl w:val="2"/>
      </w:pPr>
      <w:r>
        <w:rPr>
          <w:rFonts w:ascii="仿宋_GB2312" w:hAnsi="仿宋_GB2312" w:cs="仿宋_GB2312" w:eastAsia="仿宋_GB2312"/>
          <w:sz w:val="28"/>
          <w:b/>
        </w:rPr>
        <w:t>陕西星火工程管理有限公司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2025年10月17日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陕西星火工程管理有限公司</w:t>
      </w:r>
      <w:r>
        <w:rPr>
          <w:rFonts w:ascii="仿宋_GB2312" w:hAnsi="仿宋_GB2312" w:cs="仿宋_GB2312" w:eastAsia="仿宋_GB2312"/>
        </w:rPr>
        <w:t>（以下简称“代理机构”）受</w:t>
      </w:r>
      <w:r>
        <w:rPr>
          <w:rFonts w:ascii="仿宋_GB2312" w:hAnsi="仿宋_GB2312" w:cs="仿宋_GB2312" w:eastAsia="仿宋_GB2312"/>
        </w:rPr>
        <w:t>陕西省住房和城乡建设厅机关</w:t>
      </w:r>
      <w:r>
        <w:rPr>
          <w:rFonts w:ascii="仿宋_GB2312" w:hAnsi="仿宋_GB2312" w:cs="仿宋_GB2312" w:eastAsia="仿宋_GB2312"/>
        </w:rPr>
        <w:t>委托，拟对</w:t>
      </w:r>
      <w:r>
        <w:rPr>
          <w:rFonts w:ascii="仿宋_GB2312" w:hAnsi="仿宋_GB2312" w:cs="仿宋_GB2312" w:eastAsia="仿宋_GB2312"/>
        </w:rPr>
        <w:t>2025年陕西省农村生活垃圾卫星遥感监测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XHZB2025-CS-059-001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2025年陕西省农村生活垃圾卫星遥感监测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利用卫星遥感技术开展2025年全省农村生活垃圾非正规堆放点常态化监测，提取500平方米以上农村生活垃圾非正规堆放点疑似问题图斑及垃圾堆放点位置、数量、类型、分布和变化情况等信息，动态掌握全省非正规垃圾堆放点底数，为图斑核查与垃圾整治清理提供有力支撑，形成“图斑下发-实地核查-现场举证-规范整治-报告上传”的闭环工作机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1、企业资质：供应商须具备行政主管部门核发的乙级及以上测绘资质，专业范围包括摄影测量与遥感、地理信息系统工程、工程测量；</w:t>
      </w:r>
    </w:p>
    <w:p>
      <w:pPr>
        <w:pStyle w:val="null3"/>
      </w:pPr>
      <w:r>
        <w:rPr>
          <w:rFonts w:ascii="仿宋_GB2312" w:hAnsi="仿宋_GB2312" w:cs="仿宋_GB2312" w:eastAsia="仿宋_GB2312"/>
        </w:rPr>
        <w:t>2、项目负责人：项目负责人须具备测绘相关专业中级及以上职称；</w:t>
      </w:r>
    </w:p>
    <w:p>
      <w:pPr>
        <w:pStyle w:val="null3"/>
      </w:pPr>
      <w:r>
        <w:rPr>
          <w:rFonts w:ascii="仿宋_GB2312" w:hAnsi="仿宋_GB2312" w:cs="仿宋_GB2312" w:eastAsia="仿宋_GB2312"/>
        </w:rPr>
        <w:t>3、身份证明：法定代表人直接参加磋商的须出具法定代表人身份证（须与营业执照上信息一致），法定代表人授权代表参加磋商的须出具法定代表人授权书；</w:t>
      </w:r>
    </w:p>
    <w:p>
      <w:pPr>
        <w:pStyle w:val="null3"/>
      </w:pPr>
      <w:r>
        <w:rPr>
          <w:rFonts w:ascii="仿宋_GB2312" w:hAnsi="仿宋_GB2312" w:cs="仿宋_GB2312" w:eastAsia="仿宋_GB2312"/>
        </w:rPr>
        <w:t>4、信用查询：供应商在递交响应文件截止时间前被信用中国网站（www.creditchina.gov.cn）和中国政府采购网（www.ccgp.gov.cn）上被列入失信被执行人、重大税收违法案件当事人名单、政府采购严重违法失信行为记录名单的，不得参加磋商；</w:t>
      </w:r>
    </w:p>
    <w:p>
      <w:pPr>
        <w:pStyle w:val="null3"/>
      </w:pPr>
      <w:r>
        <w:rPr>
          <w:rFonts w:ascii="仿宋_GB2312" w:hAnsi="仿宋_GB2312" w:cs="仿宋_GB2312" w:eastAsia="仿宋_GB2312"/>
        </w:rPr>
        <w:t>5、供应商不得存在下列情形之一：（1）单位负责人为同一人或者存在直接控股、管理关系的不同供应商，不得参加本次采购活动； （2）为本项目提供整体设计、规范编制或者项目管理、监理、检测等服务的供应商，不得再参加本项目的采购活动；</w:t>
      </w:r>
    </w:p>
    <w:p>
      <w:pPr>
        <w:pStyle w:val="null3"/>
      </w:pPr>
      <w:r>
        <w:rPr>
          <w:rFonts w:ascii="仿宋_GB2312" w:hAnsi="仿宋_GB2312" w:cs="仿宋_GB2312" w:eastAsia="仿宋_GB2312"/>
        </w:rPr>
        <w:t>6、非联合体磋商：本项目不接受联合体磋商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陕西省住房和城乡建设厅机关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西安市新城大院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029-63915741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陕西星火工程管理有限公司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西安市高新区高新路88号尚品国际C幢北12804室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安孜、刘秀玲、宋培嘉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029-88852300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代理服务费收费标准：参照国家发改委发改价格[2011]534号文件及国家计委计价格[2002]1980号文件，按照定额 ¥ 6500元（大写：陆仟伍佰元整）收取。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陕西省住房和城乡建设厅机关</w:t>
      </w:r>
      <w:r>
        <w:rPr>
          <w:rFonts w:ascii="仿宋_GB2312" w:hAnsi="仿宋_GB2312" w:cs="仿宋_GB2312" w:eastAsia="仿宋_GB2312"/>
        </w:rPr>
        <w:t>和</w:t>
      </w:r>
      <w:r>
        <w:rPr>
          <w:rFonts w:ascii="仿宋_GB2312" w:hAnsi="仿宋_GB2312" w:cs="仿宋_GB2312" w:eastAsia="仿宋_GB2312"/>
        </w:rPr>
        <w:t>陕西星火工程管理有限公司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陕西省住房和城乡建设厅机关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陕西星火工程管理有限公司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陕西省住房和城乡建设厅机关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陕西星火工程管理有限公司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按照合同具体约定。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陕西星火工程管理有限公司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陕西星火工程管理有限公司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陕西星火工程管理有限公司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联系人：安孜</w:t>
      </w:r>
    </w:p>
    <w:p>
      <w:pPr>
        <w:pStyle w:val="null3"/>
      </w:pPr>
      <w:r>
        <w:rPr>
          <w:rFonts w:ascii="仿宋_GB2312" w:hAnsi="仿宋_GB2312" w:cs="仿宋_GB2312" w:eastAsia="仿宋_GB2312"/>
        </w:rPr>
        <w:t>联系电话：029-88852300</w:t>
      </w:r>
    </w:p>
    <w:p>
      <w:pPr>
        <w:pStyle w:val="null3"/>
      </w:pPr>
      <w:r>
        <w:rPr>
          <w:rFonts w:ascii="仿宋_GB2312" w:hAnsi="仿宋_GB2312" w:cs="仿宋_GB2312" w:eastAsia="仿宋_GB2312"/>
        </w:rPr>
        <w:t>地址：西安市高新区高新路88号尚品国际C幢北12804室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利用卫星遥感技术开展2025年全省农村生活垃圾非正规堆放点常态化监测，提取500平方米以上农村生活垃圾非正规堆放点疑似问题图斑及垃圾堆放点位置、数量、类型、分布和变化情况等信息，动态掌握全省非正规垃圾堆放点底数，为图斑核查与垃圾整治清理提供有力支撑，形成“图斑下发-实地核查-现场举证-规范整治-报告上传”的闭环工作机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2025年陕西省农村生活垃圾卫星遥感监测</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标的名称：2025年陕西省农村生活垃圾卫星遥感监测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w:t>
            </w:r>
            <w:r>
              <w:rPr>
                <w:rFonts w:ascii="仿宋_GB2312" w:hAnsi="仿宋_GB2312" w:cs="仿宋_GB2312" w:eastAsia="仿宋_GB2312"/>
                <w:sz w:val="21"/>
              </w:rPr>
              <w:t>项目概述</w:t>
            </w:r>
          </w:p>
          <w:p>
            <w:pPr>
              <w:pStyle w:val="null3"/>
              <w:jc w:val="both"/>
            </w:pPr>
            <w:r>
              <w:rPr>
                <w:rFonts w:ascii="仿宋_GB2312" w:hAnsi="仿宋_GB2312" w:cs="仿宋_GB2312" w:eastAsia="仿宋_GB2312"/>
                <w:sz w:val="21"/>
              </w:rPr>
              <w:t>（一）项目名称</w:t>
            </w:r>
          </w:p>
          <w:p>
            <w:pPr>
              <w:pStyle w:val="null3"/>
              <w:jc w:val="both"/>
            </w:pPr>
            <w:r>
              <w:rPr>
                <w:rFonts w:ascii="仿宋_GB2312" w:hAnsi="仿宋_GB2312" w:cs="仿宋_GB2312" w:eastAsia="仿宋_GB2312"/>
                <w:sz w:val="21"/>
              </w:rPr>
              <w:t>2025</w:t>
            </w:r>
            <w:r>
              <w:rPr>
                <w:rFonts w:ascii="仿宋_GB2312" w:hAnsi="仿宋_GB2312" w:cs="仿宋_GB2312" w:eastAsia="仿宋_GB2312"/>
                <w:sz w:val="21"/>
              </w:rPr>
              <w:t>年陕西省农村生活垃圾卫星遥感监测</w:t>
            </w:r>
          </w:p>
          <w:p>
            <w:pPr>
              <w:pStyle w:val="null3"/>
              <w:jc w:val="both"/>
            </w:pPr>
            <w:r>
              <w:rPr>
                <w:rFonts w:ascii="仿宋_GB2312" w:hAnsi="仿宋_GB2312" w:cs="仿宋_GB2312" w:eastAsia="仿宋_GB2312"/>
                <w:sz w:val="21"/>
              </w:rPr>
              <w:t>（二）项目范围</w:t>
            </w:r>
          </w:p>
          <w:p>
            <w:pPr>
              <w:pStyle w:val="null3"/>
              <w:jc w:val="both"/>
            </w:pPr>
            <w:r>
              <w:rPr>
                <w:rFonts w:ascii="仿宋_GB2312" w:hAnsi="仿宋_GB2312" w:cs="仿宋_GB2312" w:eastAsia="仿宋_GB2312"/>
                <w:sz w:val="21"/>
              </w:rPr>
              <w:t>本次招标项目覆盖陕西省涉农县（区、市）行政区范围。</w:t>
            </w:r>
          </w:p>
          <w:p>
            <w:pPr>
              <w:pStyle w:val="null3"/>
              <w:jc w:val="both"/>
            </w:pPr>
            <w:r>
              <w:rPr>
                <w:rFonts w:ascii="仿宋_GB2312" w:hAnsi="仿宋_GB2312" w:cs="仿宋_GB2312" w:eastAsia="仿宋_GB2312"/>
                <w:sz w:val="21"/>
              </w:rPr>
              <w:t>（三）项目工作内容</w:t>
            </w:r>
          </w:p>
          <w:p>
            <w:pPr>
              <w:pStyle w:val="null3"/>
              <w:jc w:val="both"/>
            </w:pPr>
            <w:r>
              <w:rPr>
                <w:rFonts w:ascii="仿宋_GB2312" w:hAnsi="仿宋_GB2312" w:cs="仿宋_GB2312" w:eastAsia="仿宋_GB2312"/>
                <w:sz w:val="21"/>
              </w:rPr>
              <w:t>利用卫星遥感技术开展</w:t>
            </w:r>
            <w:r>
              <w:rPr>
                <w:rFonts w:ascii="仿宋_GB2312" w:hAnsi="仿宋_GB2312" w:cs="仿宋_GB2312" w:eastAsia="仿宋_GB2312"/>
                <w:sz w:val="21"/>
              </w:rPr>
              <w:t>2025</w:t>
            </w:r>
            <w:r>
              <w:rPr>
                <w:rFonts w:ascii="仿宋_GB2312" w:hAnsi="仿宋_GB2312" w:cs="仿宋_GB2312" w:eastAsia="仿宋_GB2312"/>
                <w:sz w:val="21"/>
              </w:rPr>
              <w:t>年全省农村生活垃圾非正规堆放点常态化监测，提取</w:t>
            </w:r>
            <w:r>
              <w:rPr>
                <w:rFonts w:ascii="仿宋_GB2312" w:hAnsi="仿宋_GB2312" w:cs="仿宋_GB2312" w:eastAsia="仿宋_GB2312"/>
                <w:sz w:val="21"/>
              </w:rPr>
              <w:t>500</w:t>
            </w:r>
            <w:r>
              <w:rPr>
                <w:rFonts w:ascii="仿宋_GB2312" w:hAnsi="仿宋_GB2312" w:cs="仿宋_GB2312" w:eastAsia="仿宋_GB2312"/>
                <w:sz w:val="21"/>
              </w:rPr>
              <w:t>平方米以上农村生活垃圾非正规堆放点疑似问题图斑及垃圾堆放点位置、数量、类型、分布和变化情况等信息，动态掌握全省非正规垃圾堆放点底数</w:t>
            </w:r>
            <w:r>
              <w:rPr>
                <w:rFonts w:ascii="仿宋_GB2312" w:hAnsi="仿宋_GB2312" w:cs="仿宋_GB2312" w:eastAsia="仿宋_GB2312"/>
                <w:sz w:val="21"/>
              </w:rPr>
              <w:t>，</w:t>
            </w:r>
            <w:r>
              <w:rPr>
                <w:rFonts w:ascii="仿宋_GB2312" w:hAnsi="仿宋_GB2312" w:cs="仿宋_GB2312" w:eastAsia="仿宋_GB2312"/>
                <w:sz w:val="21"/>
              </w:rPr>
              <w:t>为图斑核查与垃圾整治清理提供有力支撑，形成</w:t>
            </w:r>
            <w:r>
              <w:rPr>
                <w:rFonts w:ascii="仿宋_GB2312" w:hAnsi="仿宋_GB2312" w:cs="仿宋_GB2312" w:eastAsia="仿宋_GB2312"/>
                <w:sz w:val="21"/>
              </w:rPr>
              <w:t>“图斑下发</w:t>
            </w:r>
            <w:r>
              <w:rPr>
                <w:rFonts w:ascii="仿宋_GB2312" w:hAnsi="仿宋_GB2312" w:cs="仿宋_GB2312" w:eastAsia="仿宋_GB2312"/>
                <w:sz w:val="21"/>
              </w:rPr>
              <w:t>-</w:t>
            </w:r>
            <w:r>
              <w:rPr>
                <w:rFonts w:ascii="仿宋_GB2312" w:hAnsi="仿宋_GB2312" w:cs="仿宋_GB2312" w:eastAsia="仿宋_GB2312"/>
                <w:sz w:val="21"/>
              </w:rPr>
              <w:t>实地核查</w:t>
            </w:r>
            <w:r>
              <w:rPr>
                <w:rFonts w:ascii="仿宋_GB2312" w:hAnsi="仿宋_GB2312" w:cs="仿宋_GB2312" w:eastAsia="仿宋_GB2312"/>
                <w:sz w:val="21"/>
              </w:rPr>
              <w:t>-</w:t>
            </w:r>
            <w:r>
              <w:rPr>
                <w:rFonts w:ascii="仿宋_GB2312" w:hAnsi="仿宋_GB2312" w:cs="仿宋_GB2312" w:eastAsia="仿宋_GB2312"/>
                <w:sz w:val="21"/>
              </w:rPr>
              <w:t>现场举证</w:t>
            </w:r>
            <w:r>
              <w:rPr>
                <w:rFonts w:ascii="仿宋_GB2312" w:hAnsi="仿宋_GB2312" w:cs="仿宋_GB2312" w:eastAsia="仿宋_GB2312"/>
                <w:sz w:val="21"/>
              </w:rPr>
              <w:t>-</w:t>
            </w:r>
            <w:r>
              <w:rPr>
                <w:rFonts w:ascii="仿宋_GB2312" w:hAnsi="仿宋_GB2312" w:cs="仿宋_GB2312" w:eastAsia="仿宋_GB2312"/>
                <w:sz w:val="21"/>
              </w:rPr>
              <w:t>规范整治</w:t>
            </w:r>
            <w:r>
              <w:rPr>
                <w:rFonts w:ascii="仿宋_GB2312" w:hAnsi="仿宋_GB2312" w:cs="仿宋_GB2312" w:eastAsia="仿宋_GB2312"/>
                <w:sz w:val="21"/>
              </w:rPr>
              <w:t>-</w:t>
            </w:r>
            <w:r>
              <w:rPr>
                <w:rFonts w:ascii="仿宋_GB2312" w:hAnsi="仿宋_GB2312" w:cs="仿宋_GB2312" w:eastAsia="仿宋_GB2312"/>
                <w:sz w:val="21"/>
              </w:rPr>
              <w:t>报告上传”的闭环工作机制。</w:t>
            </w:r>
          </w:p>
          <w:p>
            <w:pPr>
              <w:pStyle w:val="null3"/>
              <w:jc w:val="both"/>
            </w:pPr>
            <w:r>
              <w:rPr>
                <w:rFonts w:ascii="仿宋_GB2312" w:hAnsi="仿宋_GB2312" w:cs="仿宋_GB2312" w:eastAsia="仿宋_GB2312"/>
                <w:sz w:val="21"/>
              </w:rPr>
              <w:t>二、</w:t>
            </w:r>
            <w:r>
              <w:rPr>
                <w:rFonts w:ascii="仿宋_GB2312" w:hAnsi="仿宋_GB2312" w:cs="仿宋_GB2312" w:eastAsia="仿宋_GB2312"/>
                <w:sz w:val="21"/>
              </w:rPr>
              <w:t>技术要求</w:t>
            </w:r>
          </w:p>
          <w:p>
            <w:pPr>
              <w:pStyle w:val="null3"/>
              <w:jc w:val="both"/>
            </w:pPr>
            <w:r>
              <w:rPr>
                <w:rFonts w:ascii="仿宋_GB2312" w:hAnsi="仿宋_GB2312" w:cs="仿宋_GB2312" w:eastAsia="仿宋_GB2312"/>
                <w:sz w:val="21"/>
              </w:rPr>
              <w:t>（一）卫星影像数据要求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．有效覆盖：完整覆盖全省涉农县（区、市）行政区域范围。</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．空间分辨率：卫星影像空间分辨率以全色不低于</w:t>
            </w:r>
            <w:r>
              <w:rPr>
                <w:rFonts w:ascii="仿宋_GB2312" w:hAnsi="仿宋_GB2312" w:cs="仿宋_GB2312" w:eastAsia="仿宋_GB2312"/>
                <w:sz w:val="21"/>
              </w:rPr>
              <w:t>1.0</w:t>
            </w:r>
            <w:r>
              <w:rPr>
                <w:rFonts w:ascii="仿宋_GB2312" w:hAnsi="仿宋_GB2312" w:cs="仿宋_GB2312" w:eastAsia="仿宋_GB2312"/>
                <w:sz w:val="21"/>
              </w:rPr>
              <w:t>米、多光谱不低于</w:t>
            </w:r>
            <w:r>
              <w:rPr>
                <w:rFonts w:ascii="仿宋_GB2312" w:hAnsi="仿宋_GB2312" w:cs="仿宋_GB2312" w:eastAsia="仿宋_GB2312"/>
                <w:sz w:val="21"/>
              </w:rPr>
              <w:t>4.0</w:t>
            </w:r>
            <w:r>
              <w:rPr>
                <w:rFonts w:ascii="仿宋_GB2312" w:hAnsi="仿宋_GB2312" w:cs="仿宋_GB2312" w:eastAsia="仿宋_GB2312"/>
                <w:sz w:val="21"/>
              </w:rPr>
              <w:t>米为主，优于</w:t>
            </w:r>
            <w:r>
              <w:rPr>
                <w:rFonts w:ascii="仿宋_GB2312" w:hAnsi="仿宋_GB2312" w:cs="仿宋_GB2312" w:eastAsia="仿宋_GB2312"/>
                <w:sz w:val="21"/>
              </w:rPr>
              <w:t>1</w:t>
            </w:r>
            <w:r>
              <w:rPr>
                <w:rFonts w:ascii="仿宋_GB2312" w:hAnsi="仿宋_GB2312" w:cs="仿宋_GB2312" w:eastAsia="仿宋_GB2312"/>
                <w:sz w:val="21"/>
              </w:rPr>
              <w:t>米卫星影像覆盖不全区域，以全色不低于</w:t>
            </w:r>
            <w:r>
              <w:rPr>
                <w:rFonts w:ascii="仿宋_GB2312" w:hAnsi="仿宋_GB2312" w:cs="仿宋_GB2312" w:eastAsia="仿宋_GB2312"/>
                <w:sz w:val="21"/>
              </w:rPr>
              <w:t>2.0</w:t>
            </w:r>
            <w:r>
              <w:rPr>
                <w:rFonts w:ascii="仿宋_GB2312" w:hAnsi="仿宋_GB2312" w:cs="仿宋_GB2312" w:eastAsia="仿宋_GB2312"/>
                <w:sz w:val="21"/>
              </w:rPr>
              <w:t>米、多光谱不低于</w:t>
            </w:r>
            <w:r>
              <w:rPr>
                <w:rFonts w:ascii="仿宋_GB2312" w:hAnsi="仿宋_GB2312" w:cs="仿宋_GB2312" w:eastAsia="仿宋_GB2312"/>
                <w:sz w:val="21"/>
              </w:rPr>
              <w:t>8.0</w:t>
            </w:r>
            <w:r>
              <w:rPr>
                <w:rFonts w:ascii="仿宋_GB2312" w:hAnsi="仿宋_GB2312" w:cs="仿宋_GB2312" w:eastAsia="仿宋_GB2312"/>
                <w:sz w:val="21"/>
              </w:rPr>
              <w:t>米补充。</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．侧视角：山地、高山地不大于</w:t>
            </w:r>
            <w:r>
              <w:rPr>
                <w:rFonts w:ascii="仿宋_GB2312" w:hAnsi="仿宋_GB2312" w:cs="仿宋_GB2312" w:eastAsia="仿宋_GB2312"/>
                <w:sz w:val="21"/>
              </w:rPr>
              <w:t>15</w:t>
            </w:r>
            <w:r>
              <w:rPr>
                <w:rFonts w:ascii="仿宋_GB2312" w:hAnsi="仿宋_GB2312" w:cs="仿宋_GB2312" w:eastAsia="仿宋_GB2312"/>
                <w:sz w:val="21"/>
              </w:rPr>
              <w:t>度；平地、丘陵地不大于</w:t>
            </w:r>
            <w:r>
              <w:rPr>
                <w:rFonts w:ascii="仿宋_GB2312" w:hAnsi="仿宋_GB2312" w:cs="仿宋_GB2312" w:eastAsia="仿宋_GB2312"/>
                <w:sz w:val="21"/>
              </w:rPr>
              <w:t>20</w:t>
            </w:r>
            <w:r>
              <w:rPr>
                <w:rFonts w:ascii="仿宋_GB2312" w:hAnsi="仿宋_GB2312" w:cs="仿宋_GB2312" w:eastAsia="仿宋_GB2312"/>
                <w:sz w:val="21"/>
              </w:rPr>
              <w:t>度。</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．表观质量：无大面积噪声，层次丰富，地物清晰，无数据质量问题。</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．云量：单景影像云雾覆盖小于</w:t>
            </w:r>
            <w:r>
              <w:rPr>
                <w:rFonts w:ascii="仿宋_GB2312" w:hAnsi="仿宋_GB2312" w:cs="仿宋_GB2312" w:eastAsia="仿宋_GB2312"/>
                <w:sz w:val="21"/>
              </w:rPr>
              <w:t>20%</w:t>
            </w:r>
            <w:r>
              <w:rPr>
                <w:rFonts w:ascii="仿宋_GB2312" w:hAnsi="仿宋_GB2312" w:cs="仿宋_GB2312" w:eastAsia="仿宋_GB2312"/>
                <w:sz w:val="21"/>
              </w:rPr>
              <w:t>，全省季度影像云雾覆盖小于</w:t>
            </w:r>
            <w:r>
              <w:rPr>
                <w:rFonts w:ascii="仿宋_GB2312" w:hAnsi="仿宋_GB2312" w:cs="仿宋_GB2312" w:eastAsia="仿宋_GB2312"/>
                <w:sz w:val="21"/>
              </w:rPr>
              <w:t>10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．边界覆盖：影像范围保证覆盖工作范围，相邻景影像间的重叠范围不得少于整景的</w:t>
            </w:r>
            <w:r>
              <w:rPr>
                <w:rFonts w:ascii="仿宋_GB2312" w:hAnsi="仿宋_GB2312" w:cs="仿宋_GB2312" w:eastAsia="仿宋_GB2312"/>
                <w:sz w:val="21"/>
              </w:rPr>
              <w:t>2%</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．条带重叠：相邻条带之间影像重叠应不小于</w:t>
            </w:r>
            <w:r>
              <w:rPr>
                <w:rFonts w:ascii="仿宋_GB2312" w:hAnsi="仿宋_GB2312" w:cs="仿宋_GB2312" w:eastAsia="仿宋_GB2312"/>
                <w:sz w:val="21"/>
              </w:rPr>
              <w:t>1</w:t>
            </w:r>
            <w:r>
              <w:rPr>
                <w:rFonts w:ascii="仿宋_GB2312" w:hAnsi="仿宋_GB2312" w:cs="仿宋_GB2312" w:eastAsia="仿宋_GB2312"/>
                <w:sz w:val="21"/>
              </w:rPr>
              <w:t>千米。</w:t>
            </w:r>
          </w:p>
          <w:p>
            <w:pPr>
              <w:pStyle w:val="null3"/>
              <w:jc w:val="both"/>
            </w:pPr>
            <w:r>
              <w:rPr>
                <w:rFonts w:ascii="仿宋_GB2312" w:hAnsi="仿宋_GB2312" w:cs="仿宋_GB2312" w:eastAsia="仿宋_GB2312"/>
                <w:sz w:val="21"/>
              </w:rPr>
              <w:t>（二）正射影像生产要求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．影像精度：平地、丘陵的影像平面精度优于</w:t>
            </w:r>
            <w:r>
              <w:rPr>
                <w:rFonts w:ascii="仿宋_GB2312" w:hAnsi="仿宋_GB2312" w:cs="仿宋_GB2312" w:eastAsia="仿宋_GB2312"/>
                <w:sz w:val="21"/>
              </w:rPr>
              <w:t>10</w:t>
            </w:r>
            <w:r>
              <w:rPr>
                <w:rFonts w:ascii="仿宋_GB2312" w:hAnsi="仿宋_GB2312" w:cs="仿宋_GB2312" w:eastAsia="仿宋_GB2312"/>
                <w:sz w:val="21"/>
              </w:rPr>
              <w:t>米，山地、高山地优于</w:t>
            </w:r>
            <w:r>
              <w:rPr>
                <w:rFonts w:ascii="仿宋_GB2312" w:hAnsi="仿宋_GB2312" w:cs="仿宋_GB2312" w:eastAsia="仿宋_GB2312"/>
                <w:sz w:val="21"/>
              </w:rPr>
              <w:t>15</w:t>
            </w:r>
            <w:r>
              <w:rPr>
                <w:rFonts w:ascii="仿宋_GB2312" w:hAnsi="仿宋_GB2312" w:cs="仿宋_GB2312" w:eastAsia="仿宋_GB2312"/>
                <w:sz w:val="21"/>
              </w:rPr>
              <w:t>米；平地、丘陵的镶嵌精度不大于</w:t>
            </w:r>
            <w:r>
              <w:rPr>
                <w:rFonts w:ascii="仿宋_GB2312" w:hAnsi="仿宋_GB2312" w:cs="仿宋_GB2312" w:eastAsia="仿宋_GB2312"/>
                <w:sz w:val="21"/>
              </w:rPr>
              <w:t>5</w:t>
            </w:r>
            <w:r>
              <w:rPr>
                <w:rFonts w:ascii="仿宋_GB2312" w:hAnsi="仿宋_GB2312" w:cs="仿宋_GB2312" w:eastAsia="仿宋_GB2312"/>
                <w:sz w:val="21"/>
              </w:rPr>
              <w:t>像元；山地、高山地不大于</w:t>
            </w:r>
            <w:r>
              <w:rPr>
                <w:rFonts w:ascii="仿宋_GB2312" w:hAnsi="仿宋_GB2312" w:cs="仿宋_GB2312" w:eastAsia="仿宋_GB2312"/>
                <w:sz w:val="21"/>
              </w:rPr>
              <w:t>8</w:t>
            </w:r>
            <w:r>
              <w:rPr>
                <w:rFonts w:ascii="仿宋_GB2312" w:hAnsi="仿宋_GB2312" w:cs="仿宋_GB2312" w:eastAsia="仿宋_GB2312"/>
                <w:sz w:val="21"/>
              </w:rPr>
              <w:t>像元。</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影像质量：影像纹理细节清晰，亮度与色彩对比度适中，无晕边、几何畸变等质量缺陷，各类地物边界清晰可辨。真彩色影像模拟自然光谱特征，光谱信息丰富完整，可精准表征监测目标的地物属性与空间特征。</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．记录格式：以县级行政区域为单位生产卫星数字正射影像，采用非压缩的</w:t>
            </w:r>
            <w:r>
              <w:rPr>
                <w:rFonts w:ascii="仿宋_GB2312" w:hAnsi="仿宋_GB2312" w:cs="仿宋_GB2312" w:eastAsia="仿宋_GB2312"/>
                <w:sz w:val="21"/>
              </w:rPr>
              <w:t>TIFF</w:t>
            </w:r>
            <w:r>
              <w:rPr>
                <w:rFonts w:ascii="仿宋_GB2312" w:hAnsi="仿宋_GB2312" w:cs="仿宋_GB2312" w:eastAsia="仿宋_GB2312"/>
                <w:sz w:val="21"/>
              </w:rPr>
              <w:t>格式记录。</w:t>
            </w:r>
          </w:p>
          <w:p>
            <w:pPr>
              <w:pStyle w:val="null3"/>
              <w:jc w:val="both"/>
            </w:pPr>
            <w:r>
              <w:rPr>
                <w:rFonts w:ascii="仿宋_GB2312" w:hAnsi="仿宋_GB2312" w:cs="仿宋_GB2312" w:eastAsia="仿宋_GB2312"/>
                <w:sz w:val="21"/>
              </w:rPr>
              <w:t>（三）遥感解译要求</w:t>
            </w:r>
          </w:p>
          <w:p>
            <w:pPr>
              <w:pStyle w:val="null3"/>
              <w:jc w:val="both"/>
            </w:pPr>
            <w:r>
              <w:rPr>
                <w:rFonts w:ascii="仿宋_GB2312" w:hAnsi="仿宋_GB2312" w:cs="仿宋_GB2312" w:eastAsia="仿宋_GB2312"/>
                <w:sz w:val="21"/>
              </w:rPr>
              <w:t>以高分辨率数字正射遥感影像为底图，结合监测目标形状、大小、色调、阴影、位置、结构、纹理等影像特征，建立农村生活垃圾堆放点遥感解译标志。综合运用人机交互解译技术，基于多时相分析，判别和勾绘农村生活垃圾边界矢量，完成垃圾堆放位置、面积、类型等信息提取。</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四</w:t>
            </w:r>
            <w:r>
              <w:rPr>
                <w:rFonts w:ascii="仿宋_GB2312" w:hAnsi="仿宋_GB2312" w:cs="仿宋_GB2312" w:eastAsia="仿宋_GB2312"/>
                <w:sz w:val="21"/>
              </w:rPr>
              <w:t>）成果要求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．根据用户具体工作安排，定期开展全省</w:t>
            </w:r>
            <w:r>
              <w:rPr>
                <w:rFonts w:ascii="仿宋_GB2312" w:hAnsi="仿宋_GB2312" w:cs="仿宋_GB2312" w:eastAsia="仿宋_GB2312"/>
                <w:sz w:val="21"/>
              </w:rPr>
              <w:t>500</w:t>
            </w:r>
            <w:r>
              <w:rPr>
                <w:rFonts w:ascii="仿宋_GB2312" w:hAnsi="仿宋_GB2312" w:cs="仿宋_GB2312" w:eastAsia="仿宋_GB2312"/>
                <w:sz w:val="21"/>
              </w:rPr>
              <w:t>平方米以上农村生活垃圾疑似图斑信息提取；</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2025</w:t>
            </w:r>
            <w:r>
              <w:rPr>
                <w:rFonts w:ascii="仿宋_GB2312" w:hAnsi="仿宋_GB2312" w:cs="仿宋_GB2312" w:eastAsia="仿宋_GB2312"/>
                <w:sz w:val="21"/>
              </w:rPr>
              <w:t>年陕西省农村生活垃圾卫星遥感监测工作总结报告、汇总表等资料。</w:t>
            </w:r>
          </w:p>
          <w:p>
            <w:pPr>
              <w:pStyle w:val="null3"/>
              <w:jc w:val="both"/>
            </w:pPr>
            <w:r>
              <w:rPr>
                <w:rFonts w:ascii="仿宋_GB2312" w:hAnsi="仿宋_GB2312" w:cs="仿宋_GB2312" w:eastAsia="仿宋_GB2312"/>
                <w:sz w:val="21"/>
              </w:rPr>
              <w:t>三、</w:t>
            </w:r>
            <w:r>
              <w:rPr>
                <w:rFonts w:ascii="仿宋_GB2312" w:hAnsi="仿宋_GB2312" w:cs="仿宋_GB2312" w:eastAsia="仿宋_GB2312"/>
                <w:sz w:val="21"/>
              </w:rPr>
              <w:t>项目实施要求</w:t>
            </w:r>
          </w:p>
          <w:p>
            <w:pPr>
              <w:pStyle w:val="null3"/>
              <w:jc w:val="both"/>
            </w:pPr>
            <w:r>
              <w:rPr>
                <w:rFonts w:ascii="仿宋_GB2312" w:hAnsi="仿宋_GB2312" w:cs="仿宋_GB2312" w:eastAsia="仿宋_GB2312"/>
                <w:sz w:val="21"/>
              </w:rPr>
              <w:t>（一）保密要求</w:t>
            </w:r>
          </w:p>
          <w:p>
            <w:pPr>
              <w:pStyle w:val="null3"/>
              <w:jc w:val="both"/>
            </w:pPr>
            <w:r>
              <w:rPr>
                <w:rFonts w:ascii="仿宋_GB2312" w:hAnsi="仿宋_GB2312" w:cs="仿宋_GB2312" w:eastAsia="仿宋_GB2312"/>
                <w:sz w:val="21"/>
              </w:rPr>
              <w:t>各成交供应商应严格遵守国家有关数据安全保密的有关法律法规，确保数据安全。</w:t>
            </w:r>
          </w:p>
          <w:p>
            <w:pPr>
              <w:pStyle w:val="null3"/>
              <w:jc w:val="both"/>
            </w:pPr>
            <w:r>
              <w:rPr>
                <w:rFonts w:ascii="仿宋_GB2312" w:hAnsi="仿宋_GB2312" w:cs="仿宋_GB2312" w:eastAsia="仿宋_GB2312"/>
                <w:sz w:val="21"/>
              </w:rPr>
              <w:t>（二）人员要求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为确保本项目规范实施和有序推进，供应商必须成立独立的项目组，安排足够的专业技术人员参加本项目工作。在项目组织机构中应明确各岗位的职责、任职资格，确保项目顺利实施。应分别配备有实际业务经验的项目经理承担本项目的管理工作。</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．成交供应商选派本项目的项目负责人、主要技术负责人不得随意更换，如需更换人员，需经采购人同意。</w:t>
            </w:r>
          </w:p>
          <w:p>
            <w:pPr>
              <w:pStyle w:val="null3"/>
              <w:jc w:val="both"/>
            </w:pPr>
            <w:r>
              <w:rPr>
                <w:rFonts w:ascii="仿宋_GB2312" w:hAnsi="仿宋_GB2312" w:cs="仿宋_GB2312" w:eastAsia="仿宋_GB2312"/>
                <w:sz w:val="21"/>
              </w:rPr>
              <w:t>（三）进度要求（以下均为日历日计算）</w:t>
            </w:r>
          </w:p>
          <w:p>
            <w:pPr>
              <w:pStyle w:val="null3"/>
              <w:jc w:val="both"/>
            </w:pPr>
            <w:r>
              <w:rPr>
                <w:rFonts w:ascii="仿宋_GB2312" w:hAnsi="仿宋_GB2312" w:cs="仿宋_GB2312" w:eastAsia="仿宋_GB2312"/>
                <w:sz w:val="21"/>
              </w:rPr>
              <w:t>2025</w:t>
            </w:r>
            <w:r>
              <w:rPr>
                <w:rFonts w:ascii="仿宋_GB2312" w:hAnsi="仿宋_GB2312" w:cs="仿宋_GB2312" w:eastAsia="仿宋_GB2312"/>
                <w:sz w:val="21"/>
              </w:rPr>
              <w:t>年</w:t>
            </w:r>
            <w:r>
              <w:rPr>
                <w:rFonts w:ascii="仿宋_GB2312" w:hAnsi="仿宋_GB2312" w:cs="仿宋_GB2312" w:eastAsia="仿宋_GB2312"/>
                <w:sz w:val="21"/>
              </w:rPr>
              <w:t>12</w:t>
            </w:r>
            <w:r>
              <w:rPr>
                <w:rFonts w:ascii="仿宋_GB2312" w:hAnsi="仿宋_GB2312" w:cs="仿宋_GB2312" w:eastAsia="仿宋_GB2312"/>
                <w:sz w:val="21"/>
              </w:rPr>
              <w:t>月</w:t>
            </w:r>
            <w:r>
              <w:rPr>
                <w:rFonts w:ascii="仿宋_GB2312" w:hAnsi="仿宋_GB2312" w:cs="仿宋_GB2312" w:eastAsia="仿宋_GB2312"/>
                <w:sz w:val="21"/>
              </w:rPr>
              <w:t>31</w:t>
            </w:r>
            <w:r>
              <w:rPr>
                <w:rFonts w:ascii="仿宋_GB2312" w:hAnsi="仿宋_GB2312" w:cs="仿宋_GB2312" w:eastAsia="仿宋_GB2312"/>
                <w:sz w:val="21"/>
              </w:rPr>
              <w:t>日前完成项目全部工作。</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．合同签订后</w:t>
            </w:r>
            <w:r>
              <w:rPr>
                <w:rFonts w:ascii="仿宋_GB2312" w:hAnsi="仿宋_GB2312" w:cs="仿宋_GB2312" w:eastAsia="仿宋_GB2312"/>
                <w:sz w:val="21"/>
              </w:rPr>
              <w:t>20</w:t>
            </w:r>
            <w:r>
              <w:rPr>
                <w:rFonts w:ascii="仿宋_GB2312" w:hAnsi="仿宋_GB2312" w:cs="仿宋_GB2312" w:eastAsia="仿宋_GB2312"/>
                <w:sz w:val="21"/>
              </w:rPr>
              <w:t>天内，完成实施方案编制及评审工作；</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．根据具体工作安排，按期完成农村生活垃圾疑似图斑信息提取；</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2025</w:t>
            </w:r>
            <w:r>
              <w:rPr>
                <w:rFonts w:ascii="仿宋_GB2312" w:hAnsi="仿宋_GB2312" w:cs="仿宋_GB2312" w:eastAsia="仿宋_GB2312"/>
                <w:sz w:val="21"/>
              </w:rPr>
              <w:t>年</w:t>
            </w:r>
            <w:r>
              <w:rPr>
                <w:rFonts w:ascii="仿宋_GB2312" w:hAnsi="仿宋_GB2312" w:cs="仿宋_GB2312" w:eastAsia="仿宋_GB2312"/>
                <w:sz w:val="21"/>
              </w:rPr>
              <w:t>12</w:t>
            </w:r>
            <w:r>
              <w:rPr>
                <w:rFonts w:ascii="仿宋_GB2312" w:hAnsi="仿宋_GB2312" w:cs="仿宋_GB2312" w:eastAsia="仿宋_GB2312"/>
                <w:sz w:val="21"/>
              </w:rPr>
              <w:t>月</w:t>
            </w:r>
            <w:r>
              <w:rPr>
                <w:rFonts w:ascii="仿宋_GB2312" w:hAnsi="仿宋_GB2312" w:cs="仿宋_GB2312" w:eastAsia="仿宋_GB2312"/>
                <w:sz w:val="21"/>
              </w:rPr>
              <w:t>31</w:t>
            </w:r>
            <w:r>
              <w:rPr>
                <w:rFonts w:ascii="仿宋_GB2312" w:hAnsi="仿宋_GB2312" w:cs="仿宋_GB2312" w:eastAsia="仿宋_GB2312"/>
                <w:sz w:val="21"/>
              </w:rPr>
              <w:t>日前，完成项目总结验收等工作，提交</w:t>
            </w:r>
            <w:r>
              <w:rPr>
                <w:rFonts w:ascii="仿宋_GB2312" w:hAnsi="仿宋_GB2312" w:cs="仿宋_GB2312" w:eastAsia="仿宋_GB2312"/>
                <w:sz w:val="21"/>
              </w:rPr>
              <w:t>2025</w:t>
            </w:r>
            <w:r>
              <w:rPr>
                <w:rFonts w:ascii="仿宋_GB2312" w:hAnsi="仿宋_GB2312" w:cs="仿宋_GB2312" w:eastAsia="仿宋_GB2312"/>
                <w:sz w:val="21"/>
              </w:rPr>
              <w:t>年陕西省农村生活垃圾卫星遥感监测工作总结报告、汇总表等资料。</w:t>
            </w:r>
          </w:p>
          <w:p>
            <w:pPr>
              <w:pStyle w:val="null3"/>
              <w:jc w:val="both"/>
            </w:pPr>
            <w:r>
              <w:rPr>
                <w:rFonts w:ascii="仿宋_GB2312" w:hAnsi="仿宋_GB2312" w:cs="仿宋_GB2312" w:eastAsia="仿宋_GB2312"/>
                <w:sz w:val="21"/>
              </w:rPr>
              <w:t>（四）服务期限、地点</w:t>
            </w:r>
          </w:p>
          <w:p>
            <w:pPr>
              <w:pStyle w:val="null3"/>
              <w:jc w:val="both"/>
            </w:pPr>
            <w:r>
              <w:rPr>
                <w:rFonts w:ascii="仿宋_GB2312" w:hAnsi="仿宋_GB2312" w:cs="仿宋_GB2312" w:eastAsia="仿宋_GB2312"/>
                <w:sz w:val="21"/>
              </w:rPr>
              <w:t>自合同生效之日起至</w:t>
            </w:r>
            <w:r>
              <w:rPr>
                <w:rFonts w:ascii="仿宋_GB2312" w:hAnsi="仿宋_GB2312" w:cs="仿宋_GB2312" w:eastAsia="仿宋_GB2312"/>
                <w:sz w:val="21"/>
              </w:rPr>
              <w:t>2025</w:t>
            </w:r>
            <w:r>
              <w:rPr>
                <w:rFonts w:ascii="仿宋_GB2312" w:hAnsi="仿宋_GB2312" w:cs="仿宋_GB2312" w:eastAsia="仿宋_GB2312"/>
                <w:sz w:val="21"/>
              </w:rPr>
              <w:t>年</w:t>
            </w:r>
            <w:r>
              <w:rPr>
                <w:rFonts w:ascii="仿宋_GB2312" w:hAnsi="仿宋_GB2312" w:cs="仿宋_GB2312" w:eastAsia="仿宋_GB2312"/>
                <w:sz w:val="21"/>
              </w:rPr>
              <w:t>12</w:t>
            </w:r>
            <w:r>
              <w:rPr>
                <w:rFonts w:ascii="仿宋_GB2312" w:hAnsi="仿宋_GB2312" w:cs="仿宋_GB2312" w:eastAsia="仿宋_GB2312"/>
                <w:sz w:val="21"/>
              </w:rPr>
              <w:t>月</w:t>
            </w:r>
            <w:r>
              <w:rPr>
                <w:rFonts w:ascii="仿宋_GB2312" w:hAnsi="仿宋_GB2312" w:cs="仿宋_GB2312" w:eastAsia="仿宋_GB2312"/>
                <w:sz w:val="21"/>
              </w:rPr>
              <w:t>31</w:t>
            </w:r>
            <w:r>
              <w:rPr>
                <w:rFonts w:ascii="仿宋_GB2312" w:hAnsi="仿宋_GB2312" w:cs="仿宋_GB2312" w:eastAsia="仿宋_GB2312"/>
                <w:sz w:val="21"/>
              </w:rPr>
              <w:t>日，采购人指定服务地点。</w:t>
            </w:r>
          </w:p>
          <w:p>
            <w:pPr>
              <w:pStyle w:val="null3"/>
              <w:jc w:val="both"/>
            </w:pPr>
            <w:r>
              <w:rPr>
                <w:rFonts w:ascii="仿宋_GB2312" w:hAnsi="仿宋_GB2312" w:cs="仿宋_GB2312" w:eastAsia="仿宋_GB2312"/>
                <w:sz w:val="21"/>
              </w:rPr>
              <w:t>四、</w:t>
            </w:r>
            <w:r>
              <w:rPr>
                <w:rFonts w:ascii="仿宋_GB2312" w:hAnsi="仿宋_GB2312" w:cs="仿宋_GB2312" w:eastAsia="仿宋_GB2312"/>
                <w:sz w:val="21"/>
              </w:rPr>
              <w:t>资质要求</w:t>
            </w:r>
          </w:p>
          <w:p>
            <w:pPr>
              <w:pStyle w:val="null3"/>
              <w:jc w:val="both"/>
            </w:pPr>
            <w:r>
              <w:rPr>
                <w:rFonts w:ascii="仿宋_GB2312" w:hAnsi="仿宋_GB2312" w:cs="仿宋_GB2312" w:eastAsia="仿宋_GB2312"/>
                <w:sz w:val="21"/>
              </w:rPr>
              <w:t>供应商须具备行政主管部门核发的乙级及以上测绘资质，专业范围须包括摄影测量与遥感、地理信息系统工程、工程测量。</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服务方根据单位自身及项目实际情况自主配置。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服务方根据单位自身及项目实际情况自主配置。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自合同生效之日起至2025年12月31日。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采购人指定服务地点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根据磋商文件、响应文件、合同及国家相关标准。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合同生效后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项目整体验收合格无异议后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按照合同具体约定。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是否专门面向中小企业</w:t>
            </w:r>
          </w:p>
        </w:tc>
        <w:tc>
          <w:tcPr>
            <w:tcW w:type="dxa" w:w="3322"/>
          </w:tcPr>
          <w:p>
            <w:pPr>
              <w:pStyle w:val="null3"/>
            </w:pPr>
            <w:r>
              <w:rPr>
                <w:rFonts w:ascii="仿宋_GB2312" w:hAnsi="仿宋_GB2312" w:cs="仿宋_GB2312" w:eastAsia="仿宋_GB2312"/>
              </w:rPr>
              <w:t>本项目不专门面向中小企业采购，供应商应为大型企业、中小微企业、监狱企业、残疾人福利性单位；落实陕西省财政厅关于印发《陕西省中小企业政府采购信用融资办法》（陕财办采〔2018〕23号）等内容。</w:t>
            </w:r>
          </w:p>
        </w:tc>
        <w:tc>
          <w:tcPr>
            <w:tcW w:type="dxa" w:w="1661"/>
          </w:tcPr>
          <w:p>
            <w:pPr>
              <w:pStyle w:val="null3"/>
            </w:pPr>
            <w:r>
              <w:rPr>
                <w:rFonts w:ascii="仿宋_GB2312" w:hAnsi="仿宋_GB2312" w:cs="仿宋_GB2312" w:eastAsia="仿宋_GB2312"/>
              </w:rPr>
              <w:t>中小企业声明函.docx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供应商须具备行政主管部门核发的乙级及以上测绘资质，专业范围包括摄影测量与遥感、地理信息系统工程、工程测量；</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项目负责人须具备测绘相关专业中级及以上职称；</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法定代表人直接参加磋商的须出具法定代表人身份证（须与营业执照上信息一致），法定代表人授权代表参加磋商的须出具法定代表人授权书；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在递交响应文件截止时间前被信用中国网站（www.creditchina.gov.cn）和中国政府采购网（www.ccgp.gov.cn）上被列入失信被执行人、重大税收违法案件当事人名单、政府采购严重违法失信行为记录名单的，不得参加磋商；</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供应商不得存在下列情形之一</w:t>
            </w:r>
          </w:p>
        </w:tc>
        <w:tc>
          <w:tcPr>
            <w:tcW w:type="dxa" w:w="3322"/>
          </w:tcPr>
          <w:p>
            <w:pPr>
              <w:pStyle w:val="null3"/>
            </w:pPr>
            <w:r>
              <w:rPr>
                <w:rFonts w:ascii="仿宋_GB2312" w:hAnsi="仿宋_GB2312" w:cs="仿宋_GB2312" w:eastAsia="仿宋_GB2312"/>
              </w:rPr>
              <w:t>（1）单位负责人为同一人或者存在直接控股、管理关系的不同供应商，不得参加本次采购活动； （2）为本项目提供整体设计、规范编制或者项目管理、监理、检测等服务的供应商，不得再参加本项目的采购活动；</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磋商响应报价表.docx 偏离表.docx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按竞争性磋商文件格式要求加盖了供应商公章和有法定代表人或其授权代表签字或加盖人名章。</w:t>
            </w:r>
          </w:p>
        </w:tc>
        <w:tc>
          <w:tcPr>
            <w:tcW w:type="dxa" w:w="1661"/>
          </w:tcPr>
          <w:p>
            <w:pPr>
              <w:pStyle w:val="null3"/>
            </w:pPr>
            <w:r>
              <w:rPr>
                <w:rFonts w:ascii="仿宋_GB2312" w:hAnsi="仿宋_GB2312" w:cs="仿宋_GB2312" w:eastAsia="仿宋_GB2312"/>
              </w:rPr>
              <w:t>响应文件封面 磋商响应报价表.docx 响应承诺书.docx 供应商应提交的相关资格证明材料.docx 中小企业声明函.docx 残疾人福利性单位声明函 偏离表.docx 标的清单 报价表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供应商报价是固定金额，符合市场价格规律，未低于成本恶意竞争。且未超过预算金额（磋商文件有最高限价的，报价未超过最高限价）；</w:t>
            </w:r>
          </w:p>
        </w:tc>
        <w:tc>
          <w:tcPr>
            <w:tcW w:type="dxa" w:w="1661"/>
          </w:tcPr>
          <w:p>
            <w:pPr>
              <w:pStyle w:val="null3"/>
            </w:pPr>
            <w:r>
              <w:rPr>
                <w:rFonts w:ascii="仿宋_GB2312" w:hAnsi="仿宋_GB2312" w:cs="仿宋_GB2312" w:eastAsia="仿宋_GB2312"/>
              </w:rPr>
              <w:t>磋商响应报价表.docx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磋商响应报价表.docx 响应承诺书.docx 偏离表.docx 标的清单 报价表 响应函 服务方案.docx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w:t>
            </w:r>
          </w:p>
        </w:tc>
        <w:tc>
          <w:tcPr>
            <w:tcW w:type="dxa" w:w="1661"/>
          </w:tcPr>
          <w:p>
            <w:pPr>
              <w:pStyle w:val="null3"/>
            </w:pPr>
            <w:r>
              <w:rPr>
                <w:rFonts w:ascii="仿宋_GB2312" w:hAnsi="仿宋_GB2312" w:cs="仿宋_GB2312" w:eastAsia="仿宋_GB2312"/>
              </w:rPr>
              <w:t>磋商响应报价表.docx 响应承诺书.docx 偏离表.docx 标的清单 报价表 服务方案.docx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 其中响应文件有效期：有效期满足磋商文件要求的； 响应文件格式：响应文件按规定的格式填写，内容完整且关键字迹清晰； 备选方案：供应商不得提交两份或者多份内容不同的响应文件，或者在同一份响应文件中对同一磋商项目有两个或者多个报价； 响应文件内容：供应商提供的服务无实质性遗漏； 技术响应：符合“采购需求”要求，保证服务质量且无重大偏差； 服务期和服务地点：满足磋商文件要求； 付款方式：磋商文件不允许偏差时，响应文件无负偏差；</w:t>
            </w:r>
          </w:p>
        </w:tc>
        <w:tc>
          <w:tcPr>
            <w:tcW w:type="dxa" w:w="1661"/>
          </w:tcPr>
          <w:p>
            <w:pPr>
              <w:pStyle w:val="null3"/>
            </w:pPr>
            <w:r>
              <w:rPr>
                <w:rFonts w:ascii="仿宋_GB2312" w:hAnsi="仿宋_GB2312" w:cs="仿宋_GB2312" w:eastAsia="仿宋_GB2312"/>
              </w:rPr>
              <w:t>响应文件封面 磋商响应报价表.docx 响应承诺书.docx 供应商应提交的相关资格证明材料.docx 中小企业声明函.docx 残疾人福利性单位声明函 偏离表.docx 标的清单 报价表 响应函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对项目的理解和认识</w:t>
            </w:r>
          </w:p>
        </w:tc>
        <w:tc>
          <w:tcPr>
            <w:tcW w:type="dxa" w:w="2492"/>
          </w:tcPr>
          <w:p>
            <w:pPr>
              <w:pStyle w:val="null3"/>
            </w:pPr>
            <w:r>
              <w:rPr>
                <w:rFonts w:ascii="仿宋_GB2312" w:hAnsi="仿宋_GB2312" w:cs="仿宋_GB2312" w:eastAsia="仿宋_GB2312"/>
              </w:rPr>
              <w:t>针对本项目的理解和认识（其中包括但不限于对项目基本情况的分析、对项目背景的研判等）（10分）。 对本项目提供理解和认识，根据内容深入性、可实施性、针对性进行评审： ①内容条理清晰、切实可行得10分； ②内容基本合理、具备一定的可行性得7分； ③内容存在明显不足得5分； ④未提供得0分。 注：评审要素每缺一项扣1分，有缺陷未完全紧扣评审标准的扣0.5分。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总体工作方案</w:t>
            </w:r>
          </w:p>
        </w:tc>
        <w:tc>
          <w:tcPr>
            <w:tcW w:type="dxa" w:w="2492"/>
          </w:tcPr>
          <w:p>
            <w:pPr>
              <w:pStyle w:val="null3"/>
            </w:pPr>
            <w:r>
              <w:rPr>
                <w:rFonts w:ascii="仿宋_GB2312" w:hAnsi="仿宋_GB2312" w:cs="仿宋_GB2312" w:eastAsia="仿宋_GB2312"/>
              </w:rPr>
              <w:t>针对本项目的总体工作方案（其中包括但不限于总体工作思路、总体工作计划、具体工作目标及内容等）（5分）。 对本项目提供总体工作方案，根据内容深入性、可实施性、针对性进行评审: ①内容条理清晰、切实可行得5分； ②内容基本合理、具备一定的可行性得4分； ③内容存在明显不足得3分； ④未提供得0分。 注：评审要素每缺一项扣1分，有缺陷未完全紧扣评审标准的扣0.5分。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遥感监测方案</w:t>
            </w:r>
          </w:p>
        </w:tc>
        <w:tc>
          <w:tcPr>
            <w:tcW w:type="dxa" w:w="2492"/>
          </w:tcPr>
          <w:p>
            <w:pPr>
              <w:pStyle w:val="null3"/>
            </w:pPr>
            <w:r>
              <w:rPr>
                <w:rFonts w:ascii="仿宋_GB2312" w:hAnsi="仿宋_GB2312" w:cs="仿宋_GB2312" w:eastAsia="仿宋_GB2312"/>
              </w:rPr>
              <w:t>针对本项目的遥感监测方案（其中包括但不限于遥感监测工作目标、遥感监测工作方案等）（5分）。 对本项目提供遥感监测方案，根据内容深入性、可实施性、针对性进行评审:①内容条理清晰、切实可行得5分； ②内容基本合理、具备一定的可行性得4分； ③内容存在明显不足得3分； ④未提供得0分。 注：评审要素每缺一项扣1分，有缺陷未完全紧扣评审标准的扣0.5分。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设备配置</w:t>
            </w:r>
          </w:p>
        </w:tc>
        <w:tc>
          <w:tcPr>
            <w:tcW w:type="dxa" w:w="2492"/>
          </w:tcPr>
          <w:p>
            <w:pPr>
              <w:pStyle w:val="null3"/>
            </w:pPr>
            <w:r>
              <w:rPr>
                <w:rFonts w:ascii="仿宋_GB2312" w:hAnsi="仿宋_GB2312" w:cs="仿宋_GB2312" w:eastAsia="仿宋_GB2312"/>
              </w:rPr>
              <w:t>针对本项目的设备配置（其中包括但不限于设备配置专业性、设备配置方案等）（5分）。 对本项目提供设备配置，根据内容深入性、可实施性、针对性进行评审: ①内容条理清晰、切实可行得5分； ②内容基本合理、具备一定的可行性得4分； ③内容存在明显不足得3分； ④未提供得0分。 注：评审要素每缺一项扣1分，有缺陷未完全紧扣评审标准的扣0.5分。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项目进度安排</w:t>
            </w:r>
          </w:p>
        </w:tc>
        <w:tc>
          <w:tcPr>
            <w:tcW w:type="dxa" w:w="2492"/>
          </w:tcPr>
          <w:p>
            <w:pPr>
              <w:pStyle w:val="null3"/>
            </w:pPr>
            <w:r>
              <w:rPr>
                <w:rFonts w:ascii="仿宋_GB2312" w:hAnsi="仿宋_GB2312" w:cs="仿宋_GB2312" w:eastAsia="仿宋_GB2312"/>
              </w:rPr>
              <w:t>针对本项目的进度安排（其中包括但不限于本项目时间节点安排、进度保障措施、应急处理能力等）（5分）。 对本项目提供进度安排，根据内容深入性、可实施性、针对性进行评审: ①内容条理清晰、切实可行得5分； ②内容基本合理、具备一定的可行性得4分； ③内容存在明显不足得3分； ④未提供得0分。 注：评审要素每缺一项扣1分，有缺陷未完全紧扣评审标准的扣0.5分。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针对本项目质量保障措施（其中包括但不限于质量控制目标、质量控制措施等）（5分）。 对本项目提供质量保障措施，根据内容深入性、可实施性、针对性进行评审: ①内容条理清晰、切实可行得5分； ②内容基本合理、具备一定的可行性得4分； ③内容存在明显不足得3分； ④未提供得0分。 注：评审要素每缺一项扣1分，有缺陷未完全紧扣评审标准的扣0.5分。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实施保障措施</w:t>
            </w:r>
          </w:p>
        </w:tc>
        <w:tc>
          <w:tcPr>
            <w:tcW w:type="dxa" w:w="2492"/>
          </w:tcPr>
          <w:p>
            <w:pPr>
              <w:pStyle w:val="null3"/>
            </w:pPr>
            <w:r>
              <w:rPr>
                <w:rFonts w:ascii="仿宋_GB2312" w:hAnsi="仿宋_GB2312" w:cs="仿宋_GB2312" w:eastAsia="仿宋_GB2312"/>
              </w:rPr>
              <w:t>针对本项目的实施保障措施（其中包括但不限于人员保障措施、时效保障措施、成果文件质量保障措施等）（5分）。 对本项目提供实施保障措施，根据内容深入性、可实施性、针对性进行评审:①内容条理清晰、切实可行得5分； ②内容基本合理、具备一定的可行性得4分； ③内容存在明显不足得3分； ④未提供得0分。 注：评审要素每缺一项扣1分，有缺陷未完全紧扣评审标准的扣0.5分。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重难点分析及应对措施</w:t>
            </w:r>
          </w:p>
        </w:tc>
        <w:tc>
          <w:tcPr>
            <w:tcW w:type="dxa" w:w="2492"/>
          </w:tcPr>
          <w:p>
            <w:pPr>
              <w:pStyle w:val="null3"/>
            </w:pPr>
            <w:r>
              <w:rPr>
                <w:rFonts w:ascii="仿宋_GB2312" w:hAnsi="仿宋_GB2312" w:cs="仿宋_GB2312" w:eastAsia="仿宋_GB2312"/>
              </w:rPr>
              <w:t>针对本项目的重难点分析及应对措施（其中包括但不限于重点难点分析、具体应对措施等）（5分）。 对本项目提供重难点分析及应对措施，根据内容深入性、可实施性、针对性进行评审: ①内容条理清晰、切实可行得5分； ②内容基本合理、具备一定的可行性得4分； ③内容存在明显不足得3分； ④未提供得0分。 注：评审要素每缺一项扣1分，有缺陷未完全紧扣评审标准的扣0.5分。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为本项目提出合理化建议（其中包括但不限于进度控制方面建议、质量控制方面建议等）（5分） 对本项目提供合理化建议，根据内容深入性、可实施性、针对性进行评审： ①内容条理清晰、切实可行得5分； ②内容基本合理、具备一定的可行性得4分； ③内容存在明显不足得3分； ④未提供得0分。 注：评审要素每缺一项扣1分，有缺陷未完全紧扣评审标准的扣0.5分。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针对本项目的保密措施（其中包括但不限于保密管理制度、监督执行措施等）（5分）。 对本项目提供保密措施，根据内容深入性、可实施性、针对性进行评审： ①内容条理清晰、切实可行得5分； ②内容基本合理、具备一定的可行性得4分； ③内容存在明显不足得3分； ④未提供得0分。 注：评审要素每缺一项扣1分，有缺陷未完全紧扣评审标准的扣0.5分。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人员配置1</w:t>
            </w:r>
          </w:p>
        </w:tc>
        <w:tc>
          <w:tcPr>
            <w:tcW w:type="dxa" w:w="2492"/>
          </w:tcPr>
          <w:p>
            <w:pPr>
              <w:pStyle w:val="null3"/>
            </w:pPr>
            <w:r>
              <w:rPr>
                <w:rFonts w:ascii="仿宋_GB2312" w:hAnsi="仿宋_GB2312" w:cs="仿宋_GB2312" w:eastAsia="仿宋_GB2312"/>
              </w:rPr>
              <w:t>拟派项目负责人同时具有测绘相关专业高级工程师职称、注册测绘师资格证书计3分，没有不计分；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人员配置2</w:t>
            </w:r>
          </w:p>
        </w:tc>
        <w:tc>
          <w:tcPr>
            <w:tcW w:type="dxa" w:w="2492"/>
          </w:tcPr>
          <w:p>
            <w:pPr>
              <w:pStyle w:val="null3"/>
            </w:pPr>
            <w:r>
              <w:rPr>
                <w:rFonts w:ascii="仿宋_GB2312" w:hAnsi="仿宋_GB2312" w:cs="仿宋_GB2312" w:eastAsia="仿宋_GB2312"/>
              </w:rPr>
              <w:t>项目组成员（项目负责人除外）：具有测绘相关专业中级及以上职称，每1人得1分；本项最多得7分，未提供不得分；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人员配置3</w:t>
            </w:r>
          </w:p>
        </w:tc>
        <w:tc>
          <w:tcPr>
            <w:tcW w:type="dxa" w:w="2492"/>
          </w:tcPr>
          <w:p>
            <w:pPr>
              <w:pStyle w:val="null3"/>
            </w:pPr>
            <w:r>
              <w:rPr>
                <w:rFonts w:ascii="仿宋_GB2312" w:hAnsi="仿宋_GB2312" w:cs="仿宋_GB2312" w:eastAsia="仿宋_GB2312"/>
              </w:rPr>
              <w:t>人员配置方案（其中包括但不限于人员配置方案、岗位职责、人员管理制度等）（5分） 对本项目提供人员配置方案，根据内容深入性、可实施性、针对性进行评审： ①内容条理清晰、切实可行得5分； ②内容基本合理、具备一定的可行性得4分； ③内容存在明显不足得3分； ④未提供得0分。 注：评审要素每缺一项扣1分，有缺陷未完全紧扣评审标准的扣0.5分。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提供有利于本项目实施的服务承诺（其中包括但不限于质量保障承诺、进度保障承诺、响应时间承诺等）（5分） 对本项目提供服务承诺，根据内容深入性、可实施性、针对性进行评审： ①内容条理清晰、切实可行得5分； ②内容基本合理、具备一定的可行性得4分； ③内容存在明显不足得3分； ④未提供得0分。 注：评审要素每缺一项扣1分，有缺陷未完全紧扣评审标准的扣0.5分。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成果交付保障</w:t>
            </w:r>
          </w:p>
        </w:tc>
        <w:tc>
          <w:tcPr>
            <w:tcW w:type="dxa" w:w="2492"/>
          </w:tcPr>
          <w:p>
            <w:pPr>
              <w:pStyle w:val="null3"/>
            </w:pPr>
            <w:r>
              <w:rPr>
                <w:rFonts w:ascii="仿宋_GB2312" w:hAnsi="仿宋_GB2312" w:cs="仿宋_GB2312" w:eastAsia="仿宋_GB2312"/>
              </w:rPr>
              <w:t>针对本项目的成果交付保障（其中包括但不限于卫星遥感数据生产方法、工作总结报告编制时间控制等）（5分） 对本项目提供成果交付保障，根据内容深入性、可实施性、针对性进行评审： ①内容条理清晰、切实可行得5分； ②内容基本合理、具备一定的可行性得4分； ③内容存在明显不足得3分； ④未提供得0分。 注：评审要素每缺一项扣1分，有缺陷未完全紧扣评审标准的扣0.5分。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供应商提供近三年（2022年10月01日至今）同类项目业绩，响应文件中附有其业绩证明材料，业绩以合同文件或中标（成交）通知书为依据，每提供一个计2分，满分10分。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 符合磋商文件规定的小微企业、监狱企业、残疾人福利性单位优惠条件的供应商，价格给予10%的扣除，用扣除后的价格参与评审。</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中小企业声明函.docx 残疾人福利性单位声明函 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详见附件：磋商响应报价表.docx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详见附件：偏离表.docx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详见附件：中小企业声明函.docx</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详见附件：响应承诺书.docx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