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版本号：2025-HZZB-08220251011002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两院区锅炉外包服务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2025-HZZB-082</w:t>
      </w:r>
      <w:r>
        <w:br/>
      </w:r>
      <w:r>
        <w:br/>
      </w:r>
      <w:r>
        <w:br/>
      </w:r>
    </w:p>
    <w:p>
      <w:pPr>
        <w:pStyle w:val="null3"/>
        <w:jc w:val="center"/>
        <w:outlineLvl w:val="2"/>
      </w:pPr>
      <w:r>
        <w:rPr>
          <w:rFonts w:ascii="仿宋_GB2312" w:hAnsi="仿宋_GB2312" w:cs="仿宋_GB2312" w:eastAsia="仿宋_GB2312"/>
          <w:sz w:val="28"/>
          <w:b/>
        </w:rPr>
        <w:t>西北妇女儿童医院</w:t>
      </w:r>
    </w:p>
    <w:p>
      <w:pPr>
        <w:pStyle w:val="null3"/>
        <w:jc w:val="center"/>
        <w:outlineLvl w:val="2"/>
      </w:pPr>
      <w:r>
        <w:rPr>
          <w:rFonts w:ascii="仿宋_GB2312" w:hAnsi="仿宋_GB2312" w:cs="仿宋_GB2312" w:eastAsia="仿宋_GB2312"/>
          <w:sz w:val="28"/>
          <w:b/>
        </w:rPr>
        <w:t>衡正国际工程咨询有限公司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衡正国际工程咨询有限公司</w:t>
      </w:r>
      <w:r>
        <w:rPr>
          <w:rFonts w:ascii="仿宋_GB2312" w:hAnsi="仿宋_GB2312" w:cs="仿宋_GB2312" w:eastAsia="仿宋_GB2312"/>
        </w:rPr>
        <w:t>（以下简称“代理机构”）受</w:t>
      </w:r>
      <w:r>
        <w:rPr>
          <w:rFonts w:ascii="仿宋_GB2312" w:hAnsi="仿宋_GB2312" w:cs="仿宋_GB2312" w:eastAsia="仿宋_GB2312"/>
        </w:rPr>
        <w:t>西北妇女儿童医院</w:t>
      </w:r>
      <w:r>
        <w:rPr>
          <w:rFonts w:ascii="仿宋_GB2312" w:hAnsi="仿宋_GB2312" w:cs="仿宋_GB2312" w:eastAsia="仿宋_GB2312"/>
        </w:rPr>
        <w:t>委托，拟对</w:t>
      </w:r>
      <w:r>
        <w:rPr>
          <w:rFonts w:ascii="仿宋_GB2312" w:hAnsi="仿宋_GB2312" w:cs="仿宋_GB2312" w:eastAsia="仿宋_GB2312"/>
        </w:rPr>
        <w:t>两院区锅炉外包服务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2025-HZZB-082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两院区锅炉外包服务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本项目包含西北妇女儿童医院曲江院区燃气锅炉系统全年运行管理、维护保养及年检服务；后宰门院区燃气锅炉系统全年维护保养服务、应急运行管理；社会路家属院锅炉系统采暖季运行管理、维护保养。</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采购包1（两院区锅炉外包服务）：属于专门面向中小企业采购。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其他组织或自然人：具有独立承担民事责任的能力，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授权委托书：法定代表人参加投标须提供《法定代表人身份证明》及身份证复印件；法定代表人授权他人参加投标，须提供《法定代表人授权委托书》及委托代理人身份证复印件。（供应商需在项目电子化交易系统中按要求上传相应证明文件并进行电子签章。）</w:t>
      </w:r>
    </w:p>
    <w:p>
      <w:pPr>
        <w:pStyle w:val="null3"/>
      </w:pPr>
      <w:r>
        <w:rPr>
          <w:rFonts w:ascii="仿宋_GB2312" w:hAnsi="仿宋_GB2312" w:cs="仿宋_GB2312" w:eastAsia="仿宋_GB2312"/>
        </w:rPr>
        <w:t>3、具有履行合同所必需的设备和专业技术能力：具有履行合同所必需的设备和专业技术能力，提供声明文件。</w:t>
      </w:r>
    </w:p>
    <w:p>
      <w:pPr>
        <w:pStyle w:val="null3"/>
      </w:pPr>
      <w:r>
        <w:rPr>
          <w:rFonts w:ascii="仿宋_GB2312" w:hAnsi="仿宋_GB2312" w:cs="仿宋_GB2312" w:eastAsia="仿宋_GB2312"/>
        </w:rPr>
        <w:t>4、具有依法缴纳税收的良好记录：提供缴费所属日期为投标截止时间前12个月内任一月份（投标截止时间当月不计入）的增值税（或所得税）缴费凭据或税务机关出具的完税证明/在法规范围内不需提供的应出具书面说明和证明文件； 或具有依法缴纳税收的诚信声明； 以上二种形式的资料提供任何一种即可。</w:t>
      </w:r>
    </w:p>
    <w:p>
      <w:pPr>
        <w:pStyle w:val="null3"/>
      </w:pPr>
      <w:r>
        <w:rPr>
          <w:rFonts w:ascii="仿宋_GB2312" w:hAnsi="仿宋_GB2312" w:cs="仿宋_GB2312" w:eastAsia="仿宋_GB2312"/>
        </w:rPr>
        <w:t>5、具有依法缴纳社会保障资金的良好记录： 提供缴费所属日期为投标截止时间前12个月内任一月份（投标截止时间当月不计入）的缴费凭据或社保机关出具的缴费证明/在法规范围内不需提供的应出具书面说明和证明文件； 或具有依法缴纳社会保障资金的缴纳记录的诚信声明； 以上二种形式的资料提供任何一种即可。</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财务状况：提供2023年度或2024年度经审计的已赋码且完整的财务报告（包括“四表一注”即《资产负债表》《利润表》《现金流量表》《所有者权益变动表》及其附注和会计师事务所营业执照，报告正文应当有会计师事务所公章，2个注册会计师的签字和盖章）；事业法人提供部门决算报告； /或在开标日期前六个月内其基本开户银行出具的资信证明（附《基本存款账户信息》或《银行开户许可证》复印件）； /或财政部门认可的政府采购专业担保机构出具的投标担保函； /或表明具有良好的商业信誉和健全的财务会计制度的诚信声明； 以上四种形式的资料提供任何一种即可。</w:t>
      </w:r>
    </w:p>
    <w:p>
      <w:pPr>
        <w:pStyle w:val="null3"/>
      </w:pPr>
      <w:r>
        <w:rPr>
          <w:rFonts w:ascii="仿宋_GB2312" w:hAnsi="仿宋_GB2312" w:cs="仿宋_GB2312" w:eastAsia="仿宋_GB2312"/>
        </w:rPr>
        <w:t>8、供应商信用记录：供应商应在磋商截止日前未被列入失信被执行人、重大税收违法失信主体、政府采购严重违法失信行为记录名单（处罚期限届满的除外）（以“信用中国”网站（www.creditchina.gov.cn）或中国政府采购网（www.ccgp.gov.cn）查询结果为准。</w:t>
      </w:r>
    </w:p>
    <w:p>
      <w:pPr>
        <w:pStyle w:val="null3"/>
      </w:pPr>
      <w:r>
        <w:rPr>
          <w:rFonts w:ascii="仿宋_GB2312" w:hAnsi="仿宋_GB2312" w:cs="仿宋_GB2312" w:eastAsia="仿宋_GB2312"/>
        </w:rPr>
        <w:t>9、关联关系：单位负责人为同一人或者存在直接控股、管理关系的不同供应商不得参加同一合同项下的政府采购活动；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10、非联合体声明：本项目不接受联合体投标,不得转包、不得再次分包（须提供声明函）。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西北妇女儿童医院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西安市雁翔路1616号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寇老师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029-89550667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衡正国际工程咨询有限公司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陕西省西安市雁塔区科技西路绿地博海大厦1603室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杨旭、仵严佳、张进花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029-88720501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采购包1：774,000.00元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开户名称：衡正国际工程咨询有限公司</w:t>
            </w:r>
          </w:p>
          <w:p>
            <w:pPr>
              <w:pStyle w:val="null3"/>
            </w:pPr>
            <w:r>
              <w:rPr>
                <w:rFonts w:ascii="仿宋_GB2312" w:hAnsi="仿宋_GB2312" w:cs="仿宋_GB2312" w:eastAsia="仿宋_GB2312"/>
              </w:rPr>
              <w:t>开户银行：中国银行西安科技路西段支行</w:t>
            </w:r>
          </w:p>
          <w:p>
            <w:pPr>
              <w:pStyle w:val="null3"/>
            </w:pPr>
            <w:r>
              <w:rPr>
                <w:rFonts w:ascii="仿宋_GB2312" w:hAnsi="仿宋_GB2312" w:cs="仿宋_GB2312" w:eastAsia="仿宋_GB2312"/>
              </w:rPr>
              <w:t>银行账号：103674378316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代理服务费收费标准：代理服务费收费标准：参照按国家计委颁发的《招标代理服务收费管理暂行办法》（计价格[2002]1980号）的规定标准下浮20%，成交单位在领取成交通知书时向代理机构支付代理服务费。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踏勘时间：2025-10-20 09:00:00</w:t>
            </w:r>
          </w:p>
          <w:p>
            <w:pPr>
              <w:pStyle w:val="null3"/>
              <w:ind w:firstLine="975"/>
            </w:pPr>
            <w:r>
              <w:rPr>
                <w:rFonts w:ascii="仿宋_GB2312" w:hAnsi="仿宋_GB2312" w:cs="仿宋_GB2312" w:eastAsia="仿宋_GB2312"/>
              </w:rPr>
              <w:t>踏勘地点：西北妇女儿童医院曲江院区</w:t>
            </w:r>
          </w:p>
          <w:p>
            <w:pPr>
              <w:pStyle w:val="null3"/>
              <w:ind w:firstLine="975"/>
            </w:pPr>
            <w:r>
              <w:rPr>
                <w:rFonts w:ascii="仿宋_GB2312" w:hAnsi="仿宋_GB2312" w:cs="仿宋_GB2312" w:eastAsia="仿宋_GB2312"/>
              </w:rPr>
              <w:t>联系人：安老师</w:t>
            </w:r>
          </w:p>
          <w:p>
            <w:pPr>
              <w:pStyle w:val="null3"/>
              <w:ind w:firstLine="975"/>
            </w:pPr>
            <w:r>
              <w:rPr>
                <w:rFonts w:ascii="仿宋_GB2312" w:hAnsi="仿宋_GB2312" w:cs="仿宋_GB2312" w:eastAsia="仿宋_GB2312"/>
              </w:rPr>
              <w:t>联系电话号码：13689196168</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西北妇女儿童医院</w:t>
      </w:r>
      <w:r>
        <w:rPr>
          <w:rFonts w:ascii="仿宋_GB2312" w:hAnsi="仿宋_GB2312" w:cs="仿宋_GB2312" w:eastAsia="仿宋_GB2312"/>
        </w:rPr>
        <w:t>和</w:t>
      </w:r>
      <w:r>
        <w:rPr>
          <w:rFonts w:ascii="仿宋_GB2312" w:hAnsi="仿宋_GB2312" w:cs="仿宋_GB2312" w:eastAsia="仿宋_GB2312"/>
        </w:rPr>
        <w:t>衡正国际工程咨询有限公司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西北妇女儿童医院</w:t>
      </w:r>
      <w:r>
        <w:rPr>
          <w:rFonts w:ascii="仿宋_GB2312" w:hAnsi="仿宋_GB2312" w:cs="仿宋_GB2312" w:eastAsia="仿宋_GB2312"/>
        </w:rPr>
        <w:t>负责解释。除上述磋商文件内容，其他内容由</w:t>
      </w:r>
      <w:r>
        <w:rPr>
          <w:rFonts w:ascii="仿宋_GB2312" w:hAnsi="仿宋_GB2312" w:cs="仿宋_GB2312" w:eastAsia="仿宋_GB2312"/>
        </w:rPr>
        <w:t>衡正国际工程咨询有限公司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西北妇女儿童医院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衡正国际工程咨询有限公司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以竞争性磋商文件、投标文件及合同约定为准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衡正国际工程咨询有限公司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衡正国际工程咨询有限公司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衡正国际工程咨询有限公司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联系人：杨旭</w:t>
      </w:r>
    </w:p>
    <w:p>
      <w:pPr>
        <w:pStyle w:val="null3"/>
      </w:pPr>
      <w:r>
        <w:rPr>
          <w:rFonts w:ascii="仿宋_GB2312" w:hAnsi="仿宋_GB2312" w:cs="仿宋_GB2312" w:eastAsia="仿宋_GB2312"/>
        </w:rPr>
        <w:t>联系电话：029-88720501</w:t>
      </w:r>
    </w:p>
    <w:p>
      <w:pPr>
        <w:pStyle w:val="null3"/>
      </w:pPr>
      <w:r>
        <w:rPr>
          <w:rFonts w:ascii="仿宋_GB2312" w:hAnsi="仿宋_GB2312" w:cs="仿宋_GB2312" w:eastAsia="仿宋_GB2312"/>
        </w:rPr>
        <w:t>地址：陕西省西安市雁塔区科技西路绿地博海大厦11603室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本项目包含西北妇女儿童医院曲江院区燃气锅炉系统全年运行管理、维护保养及年检服务；后宰门院区燃气锅炉系统全年维护保养服务、应急运行管理；社会路家属院锅炉系统采暖季运行管理、维护保养。</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774,000.00</w:t>
      </w:r>
    </w:p>
    <w:p>
      <w:pPr>
        <w:pStyle w:val="null3"/>
      </w:pPr>
      <w:r>
        <w:rPr>
          <w:rFonts w:ascii="仿宋_GB2312" w:hAnsi="仿宋_GB2312" w:cs="仿宋_GB2312" w:eastAsia="仿宋_GB2312"/>
        </w:rPr>
        <w:t>采购包最高限价（元）: 774,000.00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两院区锅炉外包服务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774,000.00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标的名称：两院区锅炉外包服务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b/>
              </w:rPr>
              <w:t>3.1采购项目概况</w:t>
            </w:r>
          </w:p>
          <w:p>
            <w:pPr>
              <w:pStyle w:val="null3"/>
            </w:pPr>
            <w:r>
              <w:rPr>
                <w:rFonts w:ascii="仿宋_GB2312" w:hAnsi="仿宋_GB2312" w:cs="仿宋_GB2312" w:eastAsia="仿宋_GB2312"/>
              </w:rPr>
              <w:t>本项目包含西北妇女儿童医院曲江院区燃气锅炉系统全年运行管理、维护保养及年检服务；后宰门院区燃气锅炉系统全年维护保养服务、应急运行管理；社会路家属院锅炉系统采暖季运行管理、维护保养。</w:t>
            </w:r>
            <w:r>
              <w:br/>
            </w:r>
            <w:r>
              <w:rPr>
                <w:rFonts w:ascii="仿宋_GB2312" w:hAnsi="仿宋_GB2312" w:cs="仿宋_GB2312" w:eastAsia="仿宋_GB2312"/>
              </w:rPr>
              <w:t xml:space="preserve">  </w:t>
            </w:r>
            <w:r>
              <w:rPr>
                <w:rFonts w:ascii="仿宋_GB2312" w:hAnsi="仿宋_GB2312" w:cs="仿宋_GB2312" w:eastAsia="仿宋_GB2312"/>
              </w:rPr>
              <w:t>（一）</w:t>
            </w:r>
            <w:r>
              <w:rPr>
                <w:rFonts w:ascii="仿宋_GB2312" w:hAnsi="仿宋_GB2312" w:cs="仿宋_GB2312" w:eastAsia="仿宋_GB2312"/>
              </w:rPr>
              <w:t>曲江院区建筑面积</w:t>
            </w:r>
            <w:r>
              <w:rPr>
                <w:rFonts w:ascii="仿宋_GB2312" w:hAnsi="仿宋_GB2312" w:cs="仿宋_GB2312" w:eastAsia="仿宋_GB2312"/>
              </w:rPr>
              <w:t>15万平方米，2015年投入使用。共有8吨热水锅炉3台、10吨热水锅炉1台、0.5吨蒸汽锅炉2台，及换热站等配套辅助设备。锅炉系统全年运行。</w:t>
            </w:r>
          </w:p>
          <w:p>
            <w:pPr>
              <w:pStyle w:val="null3"/>
              <w:ind w:firstLine="200"/>
            </w:pPr>
            <w:r>
              <w:rPr>
                <w:rFonts w:ascii="仿宋_GB2312" w:hAnsi="仿宋_GB2312" w:cs="仿宋_GB2312" w:eastAsia="仿宋_GB2312"/>
              </w:rPr>
              <w:t>（二）</w:t>
            </w:r>
            <w:r>
              <w:rPr>
                <w:rFonts w:ascii="仿宋_GB2312" w:hAnsi="仿宋_GB2312" w:cs="仿宋_GB2312" w:eastAsia="仿宋_GB2312"/>
              </w:rPr>
              <w:t>后宰门院区建筑面积</w:t>
            </w:r>
            <w:r>
              <w:rPr>
                <w:rFonts w:ascii="仿宋_GB2312" w:hAnsi="仿宋_GB2312" w:cs="仿宋_GB2312" w:eastAsia="仿宋_GB2312"/>
              </w:rPr>
              <w:t>1.7万平方米，共有2吨热水锅炉1台，市政供暖故障时应急启用。</w:t>
            </w:r>
          </w:p>
          <w:p>
            <w:pPr>
              <w:pStyle w:val="null3"/>
              <w:ind w:firstLine="200"/>
            </w:pPr>
            <w:r>
              <w:rPr>
                <w:rFonts w:ascii="仿宋_GB2312" w:hAnsi="仿宋_GB2312" w:cs="仿宋_GB2312" w:eastAsia="仿宋_GB2312"/>
              </w:rPr>
              <w:t>（三）</w:t>
            </w:r>
            <w:r>
              <w:rPr>
                <w:rFonts w:ascii="仿宋_GB2312" w:hAnsi="仿宋_GB2312" w:cs="仿宋_GB2312" w:eastAsia="仿宋_GB2312"/>
              </w:rPr>
              <w:t>社会路家属院建筑面积约</w:t>
            </w:r>
            <w:r>
              <w:rPr>
                <w:rFonts w:ascii="仿宋_GB2312" w:hAnsi="仿宋_GB2312" w:cs="仿宋_GB2312" w:eastAsia="仿宋_GB2312"/>
              </w:rPr>
              <w:t>1.2万平方米，0.5吨热水锅炉3台。锅炉系统采暖季运行（实际运行时间以采购人要求为准）</w:t>
            </w:r>
            <w:r>
              <w:rPr>
                <w:rFonts w:ascii="仿宋_GB2312" w:hAnsi="仿宋_GB2312" w:cs="仿宋_GB2312" w:eastAsia="仿宋_GB2312"/>
              </w:rPr>
              <w:t>。</w:t>
            </w:r>
          </w:p>
          <w:p>
            <w:pPr>
              <w:pStyle w:val="null3"/>
              <w:ind w:firstLine="200"/>
            </w:pPr>
            <w:r>
              <w:rPr>
                <w:rFonts w:ascii="仿宋_GB2312" w:hAnsi="仿宋_GB2312" w:cs="仿宋_GB2312" w:eastAsia="仿宋_GB2312"/>
              </w:rPr>
              <w:t>（四）</w:t>
            </w:r>
            <w:r>
              <w:rPr>
                <w:rFonts w:ascii="仿宋_GB2312" w:hAnsi="仿宋_GB2312" w:cs="仿宋_GB2312" w:eastAsia="仿宋_GB2312"/>
              </w:rPr>
              <w:t>维保界限划分。室内部分：锅炉房、换热站内；室外部分：锅炉房、换热站外墙</w:t>
            </w:r>
            <w:r>
              <w:rPr>
                <w:rFonts w:ascii="仿宋_GB2312" w:hAnsi="仿宋_GB2312" w:cs="仿宋_GB2312" w:eastAsia="仿宋_GB2312"/>
              </w:rPr>
              <w:t>2米内管网。</w:t>
            </w:r>
          </w:p>
          <w:p>
            <w:pPr>
              <w:pStyle w:val="null3"/>
              <w:ind w:firstLine="200"/>
            </w:pPr>
            <w:r>
              <w:rPr>
                <w:rFonts w:ascii="仿宋_GB2312" w:hAnsi="仿宋_GB2312" w:cs="仿宋_GB2312" w:eastAsia="仿宋_GB2312"/>
              </w:rPr>
              <w:t xml:space="preserve"> </w:t>
            </w:r>
            <w:r>
              <w:rPr>
                <w:rFonts w:ascii="仿宋_GB2312" w:hAnsi="仿宋_GB2312" w:cs="仿宋_GB2312" w:eastAsia="仿宋_GB2312"/>
                <w:sz w:val="28"/>
                <w:b/>
              </w:rPr>
              <w:t>3.2服务内容及服务要求</w:t>
            </w:r>
          </w:p>
          <w:p>
            <w:pPr>
              <w:pStyle w:val="null3"/>
              <w:ind w:firstLine="241"/>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w:t>
            </w:r>
            <w:r>
              <w:rPr>
                <w:rFonts w:ascii="仿宋_GB2312" w:hAnsi="仿宋_GB2312" w:cs="仿宋_GB2312" w:eastAsia="仿宋_GB2312"/>
              </w:rPr>
              <w:t>1：</w:t>
            </w:r>
          </w:p>
          <w:p>
            <w:pPr>
              <w:pStyle w:val="null3"/>
            </w:pPr>
            <w:r>
              <w:rPr>
                <w:rFonts w:ascii="仿宋_GB2312" w:hAnsi="仿宋_GB2312" w:cs="仿宋_GB2312" w:eastAsia="仿宋_GB2312"/>
              </w:rPr>
              <w:t>采购包预算金额（元）</w:t>
            </w:r>
            <w:r>
              <w:rPr>
                <w:rFonts w:ascii="仿宋_GB2312" w:hAnsi="仿宋_GB2312" w:cs="仿宋_GB2312" w:eastAsia="仿宋_GB2312"/>
              </w:rPr>
              <w:t xml:space="preserve">: </w:t>
            </w:r>
            <w:r>
              <w:rPr>
                <w:rFonts w:ascii="仿宋_GB2312" w:hAnsi="仿宋_GB2312" w:cs="仿宋_GB2312" w:eastAsia="仿宋_GB2312"/>
              </w:rPr>
              <w:t>774</w:t>
            </w:r>
            <w:r>
              <w:rPr>
                <w:rFonts w:ascii="仿宋_GB2312" w:hAnsi="仿宋_GB2312" w:cs="仿宋_GB2312" w:eastAsia="仿宋_GB2312"/>
              </w:rPr>
              <w:t>000.00</w:t>
            </w:r>
          </w:p>
          <w:p>
            <w:pPr>
              <w:pStyle w:val="null3"/>
            </w:pPr>
            <w:r>
              <w:rPr>
                <w:rFonts w:ascii="仿宋_GB2312" w:hAnsi="仿宋_GB2312" w:cs="仿宋_GB2312" w:eastAsia="仿宋_GB2312"/>
              </w:rPr>
              <w:t>采购包最高限价（元）</w:t>
            </w:r>
            <w:r>
              <w:rPr>
                <w:rFonts w:ascii="仿宋_GB2312" w:hAnsi="仿宋_GB2312" w:cs="仿宋_GB2312" w:eastAsia="仿宋_GB2312"/>
              </w:rPr>
              <w:t xml:space="preserve">: </w:t>
            </w:r>
            <w:r>
              <w:rPr>
                <w:rFonts w:ascii="仿宋_GB2312" w:hAnsi="仿宋_GB2312" w:cs="仿宋_GB2312" w:eastAsia="仿宋_GB2312"/>
              </w:rPr>
              <w:t>774</w:t>
            </w:r>
            <w:r>
              <w:rPr>
                <w:rFonts w:ascii="仿宋_GB2312" w:hAnsi="仿宋_GB2312" w:cs="仿宋_GB2312" w:eastAsia="仿宋_GB2312"/>
              </w:rPr>
              <w:t>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Borders>
                <w:top w:val="none" w:color="000000" w:sz="4"/>
                <w:left w:val="none" w:color="000000" w:sz="4"/>
                <w:bottom w:val="none" w:color="000000" w:sz="4"/>
                <w:right w:val="none" w:color="000000" w:sz="4"/>
                <w:insideH w:val="none"/>
                <w:insideV w:val="none"/>
              </w:tblBorders>
            </w:tblPr>
            <w:tblGrid>
              <w:gridCol w:w="255"/>
              <w:gridCol w:w="255"/>
              <w:gridCol w:w="255"/>
              <w:gridCol w:w="255"/>
              <w:gridCol w:w="255"/>
              <w:gridCol w:w="255"/>
              <w:gridCol w:w="255"/>
              <w:gridCol w:w="255"/>
              <w:gridCol w:w="255"/>
              <w:gridCol w:w="255"/>
            </w:tblGrid>
            <w:tr>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标的名称</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数量</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标的金额</w:t>
                  </w:r>
                  <w:r>
                    <w:rPr>
                      <w:rFonts w:ascii="仿宋_GB2312" w:hAnsi="仿宋_GB2312" w:cs="仿宋_GB2312" w:eastAsia="仿宋_GB2312"/>
                      <w:sz w:val="19"/>
                    </w:rPr>
                    <w:t>（元）</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计量单位</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所属行业</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是否核心产品</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是否允许进口产品</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是否属于节能产品</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是否属于环境标志产品</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两院区锅炉外包服务项目</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9"/>
                    </w:rPr>
                    <w:t>1.00</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9"/>
                    </w:rPr>
                    <w:t>774</w:t>
                  </w:r>
                  <w:r>
                    <w:rPr>
                      <w:rFonts w:ascii="仿宋_GB2312" w:hAnsi="仿宋_GB2312" w:cs="仿宋_GB2312" w:eastAsia="仿宋_GB2312"/>
                      <w:sz w:val="19"/>
                    </w:rPr>
                    <w:t>,000.00</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其他未列明行业</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否</w:t>
                  </w:r>
                </w:p>
              </w:tc>
            </w:tr>
          </w:tbl>
          <w:p>
            <w:pPr>
              <w:pStyle w:val="null3"/>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w:t>
            </w:r>
            <w:r>
              <w:rPr>
                <w:rFonts w:ascii="仿宋_GB2312" w:hAnsi="仿宋_GB2312" w:cs="仿宋_GB2312" w:eastAsia="仿宋_GB2312"/>
              </w:rPr>
              <w:t>1：</w:t>
            </w:r>
          </w:p>
          <w:p>
            <w:pPr>
              <w:pStyle w:val="null3"/>
            </w:pPr>
            <w:r>
              <w:rPr>
                <w:rFonts w:ascii="仿宋_GB2312" w:hAnsi="仿宋_GB2312" w:cs="仿宋_GB2312" w:eastAsia="仿宋_GB2312"/>
              </w:rPr>
              <w:t xml:space="preserve"> </w:t>
            </w: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w:t>
            </w:r>
            <w:r>
              <w:rPr>
                <w:rFonts w:ascii="仿宋_GB2312" w:hAnsi="仿宋_GB2312" w:cs="仿宋_GB2312" w:eastAsia="仿宋_GB2312"/>
              </w:rPr>
              <w:t>两院区锅炉外包服务项目</w:t>
            </w:r>
            <w:r>
              <w:br/>
            </w:r>
            <w:r>
              <w:rPr>
                <w:rFonts w:ascii="仿宋_GB2312" w:hAnsi="仿宋_GB2312" w:cs="仿宋_GB2312" w:eastAsia="仿宋_GB2312"/>
                <w:b/>
              </w:rPr>
              <w:t>（</w:t>
            </w:r>
            <w:r>
              <w:rPr>
                <w:rFonts w:ascii="仿宋_GB2312" w:hAnsi="仿宋_GB2312" w:cs="仿宋_GB2312" w:eastAsia="仿宋_GB2312"/>
                <w:b/>
              </w:rPr>
              <w:t>一</w:t>
            </w:r>
            <w:r>
              <w:rPr>
                <w:rFonts w:ascii="仿宋_GB2312" w:hAnsi="仿宋_GB2312" w:cs="仿宋_GB2312" w:eastAsia="仿宋_GB2312"/>
                <w:b/>
              </w:rPr>
              <w:t>）</w:t>
            </w:r>
            <w:r>
              <w:rPr>
                <w:rFonts w:ascii="仿宋_GB2312" w:hAnsi="仿宋_GB2312" w:cs="仿宋_GB2312" w:eastAsia="仿宋_GB2312"/>
                <w:b/>
              </w:rPr>
              <w:t>主要设备清单</w:t>
            </w:r>
            <w:r>
              <w:br/>
            </w:r>
            <w:r>
              <w:rPr>
                <w:rFonts w:ascii="仿宋_GB2312" w:hAnsi="仿宋_GB2312" w:cs="仿宋_GB2312" w:eastAsia="仿宋_GB2312"/>
                <w:b/>
              </w:rPr>
              <w:t>1、曲江院区</w:t>
            </w:r>
          </w:p>
          <w:tbl>
            <w:tblPr>
              <w:tblBorders>
                <w:top w:val="none" w:color="000000" w:sz="4"/>
                <w:left w:val="none" w:color="000000" w:sz="4"/>
                <w:bottom w:val="none" w:color="000000" w:sz="4"/>
                <w:right w:val="none" w:color="000000" w:sz="4"/>
                <w:insideH w:val="none"/>
                <w:insideV w:val="none"/>
              </w:tblBorders>
            </w:tblPr>
            <w:tblGrid>
              <w:gridCol w:w="235"/>
              <w:gridCol w:w="407"/>
              <w:gridCol w:w="723"/>
              <w:gridCol w:w="226"/>
              <w:gridCol w:w="470"/>
              <w:gridCol w:w="493"/>
            </w:tblGrid>
            <w:tr>
              <w:tc>
                <w:tcPr>
                  <w:tcW w:type="dxa" w:w="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4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名称</w:t>
                  </w:r>
                </w:p>
              </w:tc>
              <w:tc>
                <w:tcPr>
                  <w:tcW w:type="dxa" w:w="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规格或型号</w:t>
                  </w:r>
                </w:p>
              </w:tc>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c>
                <w:tcPr>
                  <w:tcW w:type="dxa" w:w="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c>
                <w:tcPr>
                  <w:tcW w:type="dxa" w:w="4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备注</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燃气热水锅炉</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WNS7.0-1.0-95/70-Q配余热回收器</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锅炉本体采用三回程湿背式，尤尼瓦斯燃烧器</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燃气热水锅炉</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WNS5.6-1.0-95/70-Q配余热回收器</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锅炉本体采用三回程湿背式，尤尼瓦斯燃烧器</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循环水泵</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L=212m ³/h  H=40mH２o  N=37KW</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配减震台座</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循环水泵</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L=264m ³/h  H=40mH２o  N=45KW</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一台备用</w:t>
                  </w:r>
                </w:p>
                <w:p>
                  <w:pPr>
                    <w:pStyle w:val="null3"/>
                    <w:jc w:val="center"/>
                  </w:pPr>
                  <w:r>
                    <w:rPr>
                      <w:rFonts w:ascii="仿宋_GB2312" w:hAnsi="仿宋_GB2312" w:cs="仿宋_GB2312" w:eastAsia="仿宋_GB2312"/>
                      <w:sz w:val="20"/>
                    </w:rPr>
                    <w:t>配减震台座</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逆流再生钠离子交换器</w:t>
                  </w:r>
                  <w:r>
                    <w:rPr>
                      <w:rFonts w:ascii="仿宋_GB2312" w:hAnsi="仿宋_GB2312" w:cs="仿宋_GB2312" w:eastAsia="仿宋_GB2312"/>
                      <w:sz w:val="20"/>
                    </w:rPr>
                    <w:t>连续出水型</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Q=30~40m ³/h</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方形隔板水箱</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V=25m ³4600×3000×2000(H)</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不锈钢软水箱</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除氧水泵</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80-65-160 L=51m ³/h  H=32mH２o  N=11KW</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一台备用</w:t>
                  </w:r>
                </w:p>
                <w:p>
                  <w:pPr>
                    <w:pStyle w:val="null3"/>
                    <w:jc w:val="center"/>
                  </w:pPr>
                  <w:r>
                    <w:rPr>
                      <w:rFonts w:ascii="仿宋_GB2312" w:hAnsi="仿宋_GB2312" w:cs="仿宋_GB2312" w:eastAsia="仿宋_GB2312"/>
                      <w:sz w:val="20"/>
                    </w:rPr>
                    <w:t>威乐</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常温过滤式除氧器</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YHC40  L=30~40m ³/h</w:t>
                  </w:r>
                </w:p>
                <w:p>
                  <w:pPr>
                    <w:pStyle w:val="null3"/>
                    <w:jc w:val="center"/>
                  </w:pPr>
                  <w:r>
                    <w:rPr>
                      <w:rFonts w:ascii="仿宋_GB2312" w:hAnsi="仿宋_GB2312" w:cs="仿宋_GB2312" w:eastAsia="仿宋_GB2312"/>
                      <w:sz w:val="20"/>
                    </w:rPr>
                    <w:t>N=600W</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自动控制</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方形水箱</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V=15m ³3600×2400×2000(H)</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除氧水箱</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补水泵</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65-40-200  L=34m ³/h  H=51mH２o  N=11KW</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威乐一台备用</w:t>
                  </w:r>
                </w:p>
                <w:p>
                  <w:pPr>
                    <w:pStyle w:val="null3"/>
                    <w:jc w:val="center"/>
                  </w:pPr>
                  <w:r>
                    <w:rPr>
                      <w:rFonts w:ascii="仿宋_GB2312" w:hAnsi="仿宋_GB2312" w:cs="仿宋_GB2312" w:eastAsia="仿宋_GB2312"/>
                      <w:sz w:val="20"/>
                    </w:rPr>
                    <w:t>变频控制</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自动反冲洗排污过滤器</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ZSH-1-400   DN400  Pg=1.6Mpa</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分、集水缸</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1000  L=3100mm</w:t>
                  </w:r>
                </w:p>
                <w:p>
                  <w:pPr>
                    <w:pStyle w:val="null3"/>
                    <w:jc w:val="center"/>
                  </w:pPr>
                  <w:r>
                    <w:rPr>
                      <w:rFonts w:ascii="仿宋_GB2312" w:hAnsi="仿宋_GB2312" w:cs="仿宋_GB2312" w:eastAsia="仿宋_GB2312"/>
                      <w:sz w:val="20"/>
                    </w:rPr>
                    <w:t>δ=9mm  Pg=1.6Mpa</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各</w:t>
                  </w:r>
                  <w:r>
                    <w:rPr>
                      <w:rFonts w:ascii="仿宋_GB2312" w:hAnsi="仿宋_GB2312" w:cs="仿宋_GB2312" w:eastAsia="仿宋_GB2312"/>
                      <w:sz w:val="20"/>
                    </w:rPr>
                    <w:t>1</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应力式涡流流量传感器</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DN200</w:t>
                  </w:r>
                </w:p>
                <w:p>
                  <w:pPr>
                    <w:pStyle w:val="null3"/>
                    <w:jc w:val="center"/>
                  </w:pPr>
                  <w:r>
                    <w:rPr>
                      <w:rFonts w:ascii="仿宋_GB2312" w:hAnsi="仿宋_GB2312" w:cs="仿宋_GB2312" w:eastAsia="仿宋_GB2312"/>
                      <w:sz w:val="20"/>
                    </w:rPr>
                    <w:t>DN250</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热水型</w:t>
                  </w:r>
                  <w:r>
                    <w:rPr>
                      <w:rFonts w:ascii="仿宋_GB2312" w:hAnsi="仿宋_GB2312" w:cs="仿宋_GB2312" w:eastAsia="仿宋_GB2312"/>
                      <w:sz w:val="20"/>
                    </w:rPr>
                    <w:t xml:space="preserve">  </w:t>
                  </w:r>
                  <w:r>
                    <w:rPr>
                      <w:rFonts w:ascii="仿宋_GB2312" w:hAnsi="仿宋_GB2312" w:cs="仿宋_GB2312" w:eastAsia="仿宋_GB2312"/>
                      <w:sz w:val="20"/>
                    </w:rPr>
                    <w:t>配仪表</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壁式轴流风机</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SWT-5  L=7127m ³/h  H=154pa   N=0.55KW</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防爆型</w:t>
                  </w:r>
                  <w:r>
                    <w:rPr>
                      <w:rFonts w:ascii="仿宋_GB2312" w:hAnsi="仿宋_GB2312" w:cs="仿宋_GB2312" w:eastAsia="仿宋_GB2312"/>
                      <w:sz w:val="20"/>
                    </w:rPr>
                    <w:t xml:space="preserve">  </w:t>
                  </w:r>
                  <w:r>
                    <w:rPr>
                      <w:rFonts w:ascii="仿宋_GB2312" w:hAnsi="仿宋_GB2312" w:cs="仿宋_GB2312" w:eastAsia="仿宋_GB2312"/>
                      <w:sz w:val="20"/>
                    </w:rPr>
                    <w:t>Ws=0.06 &lt;0.32</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燃气蒸汽锅炉</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WNS0.5-1.0-Q</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逆流再生钠离子交换器</w:t>
                  </w:r>
                  <w:r>
                    <w:rPr>
                      <w:rFonts w:ascii="仿宋_GB2312" w:hAnsi="仿宋_GB2312" w:cs="仿宋_GB2312" w:eastAsia="仿宋_GB2312"/>
                      <w:sz w:val="20"/>
                    </w:rPr>
                    <w:t xml:space="preserve">  </w:t>
                  </w:r>
                  <w:r>
                    <w:rPr>
                      <w:rFonts w:ascii="仿宋_GB2312" w:hAnsi="仿宋_GB2312" w:cs="仿宋_GB2312" w:eastAsia="仿宋_GB2312"/>
                      <w:sz w:val="20"/>
                    </w:rPr>
                    <w:t>连续出水型</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Q=1.6~2.2m ³/h</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方形水箱</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V=1m ³1400×900×1100(H)</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不锈钢</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给水泵</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CR3-25 L=2.5m ³/h  H=130mH２o  N=2.2KW</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一台备用</w:t>
                  </w:r>
                </w:p>
                <w:p>
                  <w:pPr>
                    <w:pStyle w:val="null3"/>
                    <w:jc w:val="center"/>
                  </w:pPr>
                  <w:r>
                    <w:rPr>
                      <w:rFonts w:ascii="仿宋_GB2312" w:hAnsi="仿宋_GB2312" w:cs="仿宋_GB2312" w:eastAsia="仿宋_GB2312"/>
                      <w:sz w:val="20"/>
                    </w:rPr>
                    <w:t>威乐</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应力式涡流流量传感器</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DN40</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蒸汽型</w:t>
                  </w:r>
                  <w:r>
                    <w:rPr>
                      <w:rFonts w:ascii="仿宋_GB2312" w:hAnsi="仿宋_GB2312" w:cs="仿宋_GB2312" w:eastAsia="仿宋_GB2312"/>
                      <w:sz w:val="20"/>
                    </w:rPr>
                    <w:t xml:space="preserve">  </w:t>
                  </w:r>
                  <w:r>
                    <w:rPr>
                      <w:rFonts w:ascii="仿宋_GB2312" w:hAnsi="仿宋_GB2312" w:cs="仿宋_GB2312" w:eastAsia="仿宋_GB2312"/>
                      <w:sz w:val="20"/>
                    </w:rPr>
                    <w:t>配仪表</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锅炉房控制室</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锅炉、及其电气设备</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0"/>
                    </w:rPr>
                    <w:t>详见技术要求</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热交换站</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站内所有设施设备</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包括不限于</w:t>
                  </w:r>
                  <w:r>
                    <w:rPr>
                      <w:rFonts w:ascii="仿宋_GB2312" w:hAnsi="仿宋_GB2312" w:cs="仿宋_GB2312" w:eastAsia="仿宋_GB2312"/>
                      <w:sz w:val="20"/>
                    </w:rPr>
                    <w:t>11台换热设备</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0"/>
                    </w:rPr>
                    <w:t>以实际为准</w:t>
                  </w:r>
                </w:p>
              </w:tc>
            </w:tr>
          </w:tbl>
          <w:p>
            <w:pPr>
              <w:pStyle w:val="null3"/>
              <w:jc w:val="both"/>
            </w:pPr>
            <w:r>
              <w:rPr>
                <w:rFonts w:ascii="仿宋_GB2312" w:hAnsi="仿宋_GB2312" w:cs="仿宋_GB2312" w:eastAsia="仿宋_GB2312"/>
                <w:sz w:val="20"/>
                <w:b/>
              </w:rPr>
              <w:t>（二）后宰门院区</w:t>
            </w:r>
          </w:p>
          <w:tbl>
            <w:tblPr>
              <w:tblBorders>
                <w:top w:val="none" w:color="000000" w:sz="4"/>
                <w:left w:val="none" w:color="000000" w:sz="4"/>
                <w:bottom w:val="none" w:color="000000" w:sz="4"/>
                <w:right w:val="none" w:color="000000" w:sz="4"/>
                <w:insideH w:val="none"/>
                <w:insideV w:val="none"/>
              </w:tblBorders>
            </w:tblPr>
            <w:tblGrid>
              <w:gridCol w:w="205"/>
              <w:gridCol w:w="513"/>
              <w:gridCol w:w="914"/>
              <w:gridCol w:w="223"/>
              <w:gridCol w:w="223"/>
              <w:gridCol w:w="459"/>
            </w:tblGrid>
            <w:tr>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5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名</w:t>
                  </w:r>
                  <w:r>
                    <w:rPr>
                      <w:rFonts w:ascii="仿宋_GB2312" w:hAnsi="仿宋_GB2312" w:cs="仿宋_GB2312" w:eastAsia="仿宋_GB2312"/>
                      <w:sz w:val="20"/>
                      <w:b/>
                    </w:rPr>
                    <w:t xml:space="preserve">  </w:t>
                  </w:r>
                  <w:r>
                    <w:rPr>
                      <w:rFonts w:ascii="仿宋_GB2312" w:hAnsi="仿宋_GB2312" w:cs="仿宋_GB2312" w:eastAsia="仿宋_GB2312"/>
                      <w:sz w:val="20"/>
                      <w:b/>
                    </w:rPr>
                    <w:t>称</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型号及规格</w:t>
                  </w:r>
                </w:p>
              </w:tc>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4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燃气热水锅炉</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RBI LB-4800</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循环水泵</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L=112m ³/h  H=40mH２o  N=27KW</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配减震台座</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循环水泵</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L=164m ³/h  H=40mH２o  N=30KW</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一台备用</w:t>
                  </w:r>
                </w:p>
                <w:p>
                  <w:pPr>
                    <w:pStyle w:val="null3"/>
                    <w:jc w:val="center"/>
                  </w:pPr>
                  <w:r>
                    <w:rPr>
                      <w:rFonts w:ascii="仿宋_GB2312" w:hAnsi="仿宋_GB2312" w:cs="仿宋_GB2312" w:eastAsia="仿宋_GB2312"/>
                      <w:sz w:val="20"/>
                    </w:rPr>
                    <w:t>配减震台座</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逆流再生钠离子交换器</w:t>
                  </w:r>
                  <w:r>
                    <w:rPr>
                      <w:rFonts w:ascii="仿宋_GB2312" w:hAnsi="仿宋_GB2312" w:cs="仿宋_GB2312" w:eastAsia="仿宋_GB2312"/>
                      <w:sz w:val="20"/>
                    </w:rPr>
                    <w:t>连续出水型</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Q=8~10m ³/h</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方形隔板水箱</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V=25m ³4600×3000×2000(H)</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不锈钢软水箱</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补水泵</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65-40-200  L=34m ³/h  H=51mH２o  N=11KW</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威乐一台备用</w:t>
                  </w:r>
                </w:p>
                <w:p>
                  <w:pPr>
                    <w:pStyle w:val="null3"/>
                    <w:jc w:val="center"/>
                  </w:pPr>
                  <w:r>
                    <w:rPr>
                      <w:rFonts w:ascii="仿宋_GB2312" w:hAnsi="仿宋_GB2312" w:cs="仿宋_GB2312" w:eastAsia="仿宋_GB2312"/>
                      <w:sz w:val="20"/>
                    </w:rPr>
                    <w:t>变频控制</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自动反冲洗排污过滤器</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ZSH-1-400   DN200  Pg=1.6Mpa</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分、集水缸</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800  L=2100mm</w:t>
                  </w:r>
                </w:p>
                <w:p>
                  <w:pPr>
                    <w:pStyle w:val="null3"/>
                    <w:jc w:val="center"/>
                  </w:pPr>
                  <w:r>
                    <w:rPr>
                      <w:rFonts w:ascii="仿宋_GB2312" w:hAnsi="仿宋_GB2312" w:cs="仿宋_GB2312" w:eastAsia="仿宋_GB2312"/>
                      <w:sz w:val="20"/>
                    </w:rPr>
                    <w:t>δ=9mm  Pg=1.6Mpa</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各</w:t>
                  </w:r>
                  <w:r>
                    <w:rPr>
                      <w:rFonts w:ascii="仿宋_GB2312" w:hAnsi="仿宋_GB2312" w:cs="仿宋_GB2312" w:eastAsia="仿宋_GB2312"/>
                      <w:sz w:val="20"/>
                    </w:rPr>
                    <w:t>1</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壁式轴流风机</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SWT-5  L=7127m ³/h  H=154pa   N=0.55KW</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防爆型</w:t>
                  </w:r>
                  <w:r>
                    <w:rPr>
                      <w:rFonts w:ascii="仿宋_GB2312" w:hAnsi="仿宋_GB2312" w:cs="仿宋_GB2312" w:eastAsia="仿宋_GB2312"/>
                      <w:sz w:val="20"/>
                    </w:rPr>
                    <w:t xml:space="preserve">  </w:t>
                  </w:r>
                  <w:r>
                    <w:rPr>
                      <w:rFonts w:ascii="仿宋_GB2312" w:hAnsi="仿宋_GB2312" w:cs="仿宋_GB2312" w:eastAsia="仿宋_GB2312"/>
                      <w:sz w:val="20"/>
                    </w:rPr>
                    <w:t>Ws=0.06 &lt;0.32</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锅炉房控制室</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锅炉、及其电气设备</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0"/>
                    </w:rPr>
                    <w:t>详见技术要求</w:t>
                  </w:r>
                </w:p>
              </w:tc>
            </w:tr>
          </w:tbl>
          <w:p>
            <w:pPr>
              <w:pStyle w:val="null3"/>
              <w:jc w:val="both"/>
            </w:pPr>
            <w:r>
              <w:rPr>
                <w:rFonts w:ascii="仿宋_GB2312" w:hAnsi="仿宋_GB2312" w:cs="仿宋_GB2312" w:eastAsia="仿宋_GB2312"/>
                <w:sz w:val="20"/>
                <w:b/>
              </w:rPr>
              <w:t>（三）社会路家属院</w:t>
            </w:r>
          </w:p>
          <w:tbl>
            <w:tblPr>
              <w:tblBorders>
                <w:top w:val="none" w:color="000000" w:sz="4"/>
                <w:left w:val="none" w:color="000000" w:sz="4"/>
                <w:bottom w:val="none" w:color="000000" w:sz="4"/>
                <w:right w:val="none" w:color="000000" w:sz="4"/>
                <w:insideH w:val="none"/>
                <w:insideV w:val="none"/>
              </w:tblBorders>
            </w:tblPr>
            <w:tblGrid>
              <w:gridCol w:w="237"/>
              <w:gridCol w:w="475"/>
              <w:gridCol w:w="845"/>
              <w:gridCol w:w="290"/>
              <w:gridCol w:w="255"/>
              <w:gridCol w:w="444"/>
            </w:tblGrid>
            <w:tr>
              <w:tc>
                <w:tcPr>
                  <w:tcW w:type="dxa" w:w="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4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名称</w:t>
                  </w:r>
                </w:p>
              </w:tc>
              <w:tc>
                <w:tcPr>
                  <w:tcW w:type="dxa" w:w="8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型号及规格</w:t>
                  </w:r>
                </w:p>
              </w:tc>
              <w:tc>
                <w:tcPr>
                  <w:tcW w:type="dxa" w:w="2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4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燃气热水锅炉</w:t>
                  </w:r>
                </w:p>
              </w:tc>
              <w:tc>
                <w:tcPr>
                  <w:tcW w:type="dxa" w:w="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RBI LB-1200</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循环水泵</w:t>
                  </w:r>
                </w:p>
              </w:tc>
              <w:tc>
                <w:tcPr>
                  <w:tcW w:type="dxa" w:w="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格兰富</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补水泵</w:t>
                  </w:r>
                </w:p>
              </w:tc>
              <w:tc>
                <w:tcPr>
                  <w:tcW w:type="dxa" w:w="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格兰富</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逆流再生钠离子交换器</w:t>
                  </w:r>
                </w:p>
              </w:tc>
              <w:tc>
                <w:tcPr>
                  <w:tcW w:type="dxa" w:w="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Q=2m ³/h</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方形隔板水箱</w:t>
                  </w:r>
                </w:p>
              </w:tc>
              <w:tc>
                <w:tcPr>
                  <w:tcW w:type="dxa" w:w="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0"/>
              </w:rPr>
              <w:t>备注：以上清单，仅供参考，具体数量以现场实际为准。</w:t>
            </w:r>
            <w:r>
              <w:br/>
            </w:r>
            <w:r>
              <w:rPr>
                <w:rFonts w:ascii="仿宋_GB2312" w:hAnsi="仿宋_GB2312" w:cs="仿宋_GB2312" w:eastAsia="仿宋_GB2312"/>
                <w:sz w:val="20"/>
                <w:b/>
              </w:rPr>
              <w:t>（四）运行管理及维保内容：</w:t>
            </w:r>
          </w:p>
          <w:p>
            <w:pPr>
              <w:pStyle w:val="null3"/>
              <w:jc w:val="both"/>
            </w:pPr>
            <w:r>
              <w:rPr>
                <w:rFonts w:ascii="仿宋_GB2312" w:hAnsi="仿宋_GB2312" w:cs="仿宋_GB2312" w:eastAsia="仿宋_GB2312"/>
                <w:sz w:val="20"/>
              </w:rPr>
              <w:t>曲江院区、后宰门院区及社会路家属院的燃气锅炉系统的运行管理和维保服务，保证锅炉系统正常运行，锅炉和压力管道年度监测、能效测试等。严格遵守《特种设备安全法》《锅炉安全技术监察规程》等法规标准，确保锅炉系统安全、稳定、高效运行，满足医院供暖、消毒等用热需求，延长设备使用寿命。</w:t>
            </w:r>
          </w:p>
          <w:p>
            <w:pPr>
              <w:pStyle w:val="null3"/>
              <w:jc w:val="both"/>
            </w:pPr>
            <w:r>
              <w:rPr>
                <w:rFonts w:ascii="仿宋_GB2312" w:hAnsi="仿宋_GB2312" w:cs="仿宋_GB2312" w:eastAsia="仿宋_GB2312"/>
                <w:sz w:val="20"/>
                <w:b/>
              </w:rPr>
              <w:t>（五）维修响应时间要求</w:t>
            </w:r>
          </w:p>
          <w:p>
            <w:pPr>
              <w:pStyle w:val="null3"/>
              <w:jc w:val="both"/>
            </w:pPr>
            <w:r>
              <w:rPr>
                <w:rFonts w:ascii="仿宋_GB2312" w:hAnsi="仿宋_GB2312" w:cs="仿宋_GB2312" w:eastAsia="仿宋_GB2312"/>
                <w:sz w:val="20"/>
              </w:rPr>
              <w:t>1、不需更换配件的故障（如阀门轻微泄漏、仪表校准等），在故障出现后1小时内得到解决。</w:t>
            </w:r>
          </w:p>
          <w:p>
            <w:pPr>
              <w:pStyle w:val="null3"/>
              <w:jc w:val="both"/>
            </w:pPr>
            <w:r>
              <w:rPr>
                <w:rFonts w:ascii="仿宋_GB2312" w:hAnsi="仿宋_GB2312" w:cs="仿宋_GB2312" w:eastAsia="仿宋_GB2312"/>
                <w:sz w:val="20"/>
              </w:rPr>
              <w:t>2、需要更换配件的故障：</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1）若该配件是市场上可购买到的通用配件（如普通阀门、压力表等），故障要求在3小时内得到解决。</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2）需要更换设备厂家的专用配件（如燃烧器部件、专用传感器等），在配件到达现场后2小时内解决（无需停炉的常规配件更换）。</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3）需要更换设备厂家的专用配件且需停炉更换（如给水泵电机、小型燃烧器组件等），在配件到达现场后12小时内解决。</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4）特大故障（如锅炉炉胆轻微渗漏、燃烧器主体更换、安全阀故障等），在配件到达现场起72小时内解决，期间需提供临时供暖/供汽方案（如启用备用设备、协调外部临时热源等）。</w:t>
            </w:r>
          </w:p>
          <w:p>
            <w:pPr>
              <w:pStyle w:val="null3"/>
              <w:jc w:val="both"/>
            </w:pPr>
            <w:r>
              <w:rPr>
                <w:rFonts w:ascii="仿宋_GB2312" w:hAnsi="仿宋_GB2312" w:cs="仿宋_GB2312" w:eastAsia="仿宋_GB2312"/>
                <w:sz w:val="20"/>
              </w:rPr>
              <w:t>3、如在规定期限内不能解决故障，每超过4个小时，对供应商进行罚款，每次罚款金额为2000元；若因故障导致医院停热/停汽超过24小时，额外扣除当月服务费的10%。</w:t>
            </w:r>
          </w:p>
          <w:p>
            <w:pPr>
              <w:pStyle w:val="null3"/>
              <w:jc w:val="both"/>
            </w:pPr>
            <w:r>
              <w:rPr>
                <w:rFonts w:ascii="仿宋_GB2312" w:hAnsi="仿宋_GB2312" w:cs="仿宋_GB2312" w:eastAsia="仿宋_GB2312"/>
                <w:sz w:val="20"/>
                <w:b/>
              </w:rPr>
              <w:t>（六）其他维保注意事项</w:t>
            </w:r>
          </w:p>
          <w:p>
            <w:pPr>
              <w:pStyle w:val="null3"/>
              <w:jc w:val="both"/>
            </w:pPr>
            <w:r>
              <w:rPr>
                <w:rFonts w:ascii="仿宋_GB2312" w:hAnsi="仿宋_GB2312" w:cs="仿宋_GB2312" w:eastAsia="仿宋_GB2312"/>
                <w:sz w:val="20"/>
              </w:rPr>
              <w:t>1、锅炉开机前需按《锅炉安全技术监察规程》要求进行全面检查，每年定期配合特种设备检验检测机构完成锅炉定期检验（年检、能效测试等），相关检测费用由供应商承担（含特种设备检验机构收取的法定检验费）。</w:t>
            </w:r>
          </w:p>
          <w:p>
            <w:pPr>
              <w:pStyle w:val="null3"/>
              <w:jc w:val="both"/>
            </w:pPr>
            <w:r>
              <w:rPr>
                <w:rFonts w:ascii="仿宋_GB2312" w:hAnsi="仿宋_GB2312" w:cs="仿宋_GB2312" w:eastAsia="仿宋_GB2312"/>
                <w:sz w:val="20"/>
              </w:rPr>
              <w:t>2、安全阀、压力表等安全附件需按法规要求定期校验（安全阀每半年至少1次整定校验，压力表每半年至少1次检定），校验需由具备资质的单位实施，费用由供应商承担。</w:t>
            </w:r>
          </w:p>
          <w:p>
            <w:pPr>
              <w:pStyle w:val="null3"/>
              <w:jc w:val="both"/>
            </w:pPr>
            <w:r>
              <w:rPr>
                <w:rFonts w:ascii="仿宋_GB2312" w:hAnsi="仿宋_GB2312" w:cs="仿宋_GB2312" w:eastAsia="仿宋_GB2312"/>
                <w:sz w:val="20"/>
              </w:rPr>
              <w:t>3、当空气传播性疾病在当地暴发流行时（即国家正式公布为疫区时），成交供应商应当每周对锅炉机房通风系统、操作区域进行清洁消毒，对锅炉水质加强监测（增加水质检测频次至每周2次），确保水质达标。</w:t>
            </w:r>
          </w:p>
          <w:p>
            <w:pPr>
              <w:pStyle w:val="null3"/>
              <w:jc w:val="both"/>
            </w:pPr>
            <w:r>
              <w:rPr>
                <w:rFonts w:ascii="仿宋_GB2312" w:hAnsi="仿宋_GB2312" w:cs="仿宋_GB2312" w:eastAsia="仿宋_GB2312"/>
                <w:sz w:val="20"/>
              </w:rPr>
              <w:t>4、针对锅炉可能发生的突发事件（如缺水、超压、熄火、燃气泄漏等）制订详细的应急预案及应急演练方案，应急演练每季度组织进行一次，演练记录需提交院方备案。</w:t>
            </w:r>
          </w:p>
          <w:p>
            <w:pPr>
              <w:pStyle w:val="null3"/>
              <w:jc w:val="both"/>
            </w:pPr>
            <w:r>
              <w:rPr>
                <w:rFonts w:ascii="仿宋_GB2312" w:hAnsi="仿宋_GB2312" w:cs="仿宋_GB2312" w:eastAsia="仿宋_GB2312"/>
              </w:rPr>
              <w:t xml:space="preserve"> </w:t>
            </w:r>
          </w:p>
          <w:p>
            <w:pPr>
              <w:pStyle w:val="null3"/>
            </w:pPr>
            <w:r>
              <w:rPr>
                <w:rFonts w:ascii="仿宋_GB2312" w:hAnsi="仿宋_GB2312" w:cs="仿宋_GB2312" w:eastAsia="仿宋_GB2312"/>
                <w:sz w:val="22"/>
                <w:b/>
              </w:rPr>
              <w:t>（</w:t>
            </w:r>
            <w:r>
              <w:rPr>
                <w:rFonts w:ascii="仿宋_GB2312" w:hAnsi="仿宋_GB2312" w:cs="仿宋_GB2312" w:eastAsia="仿宋_GB2312"/>
                <w:sz w:val="21"/>
                <w:b/>
              </w:rPr>
              <w:t>七）维保服务内容、周期及考核标准</w:t>
            </w:r>
          </w:p>
          <w:p>
            <w:pPr>
              <w:pStyle w:val="null3"/>
              <w:jc w:val="both"/>
            </w:pPr>
            <w:r>
              <w:rPr>
                <w:rFonts w:ascii="仿宋_GB2312" w:hAnsi="仿宋_GB2312" w:cs="仿宋_GB2312" w:eastAsia="仿宋_GB2312"/>
                <w:sz w:val="21"/>
                <w:b/>
              </w:rPr>
              <w:t>1.日常巡查内容及标准</w:t>
            </w:r>
          </w:p>
          <w:tbl>
            <w:tblPr>
              <w:tblBorders>
                <w:top w:val="none" w:color="000000" w:sz="4"/>
                <w:left w:val="none" w:color="000000" w:sz="4"/>
                <w:bottom w:val="none" w:color="000000" w:sz="4"/>
                <w:right w:val="none" w:color="000000" w:sz="4"/>
                <w:insideH w:val="none"/>
                <w:insideV w:val="none"/>
              </w:tblBorders>
            </w:tblPr>
            <w:tblGrid>
              <w:gridCol w:w="203"/>
              <w:gridCol w:w="272"/>
              <w:gridCol w:w="1103"/>
              <w:gridCol w:w="354"/>
              <w:gridCol w:w="613"/>
            </w:tblGrid>
            <w:tr>
              <w:tc>
                <w:tcPr>
                  <w:tcW w:type="dxa" w:w="203"/>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b/>
                    </w:rPr>
                    <w:t>巡查区域</w:t>
                  </w:r>
                  <w:r>
                    <w:rPr>
                      <w:rFonts w:ascii="仿宋_GB2312" w:hAnsi="仿宋_GB2312" w:cs="仿宋_GB2312" w:eastAsia="仿宋_GB2312"/>
                      <w:sz w:val="21"/>
                      <w:b/>
                    </w:rPr>
                    <w:t>/系统</w:t>
                  </w:r>
                </w:p>
              </w:tc>
              <w:tc>
                <w:tcPr>
                  <w:tcW w:type="dxa" w:w="272"/>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b/>
                    </w:rPr>
                    <w:t>巡查项目</w:t>
                  </w:r>
                </w:p>
              </w:tc>
              <w:tc>
                <w:tcPr>
                  <w:tcW w:type="dxa" w:w="1103"/>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b/>
                    </w:rPr>
                    <w:t>检查标准</w:t>
                  </w:r>
                  <w:r>
                    <w:rPr>
                      <w:rFonts w:ascii="仿宋_GB2312" w:hAnsi="仿宋_GB2312" w:cs="仿宋_GB2312" w:eastAsia="仿宋_GB2312"/>
                      <w:sz w:val="21"/>
                      <w:b/>
                    </w:rPr>
                    <w:t>/要求</w:t>
                  </w:r>
                </w:p>
              </w:tc>
              <w:tc>
                <w:tcPr>
                  <w:tcW w:type="dxa" w:w="354"/>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b/>
                    </w:rPr>
                    <w:t>记录要求</w:t>
                  </w:r>
                </w:p>
              </w:tc>
              <w:tc>
                <w:tcPr>
                  <w:tcW w:type="dxa" w:w="613"/>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b/>
                    </w:rPr>
                    <w:t>异常处理要求</w:t>
                  </w:r>
                </w:p>
              </w:tc>
            </w:tr>
            <w:tr>
              <w:tc>
                <w:tcPr>
                  <w:tcW w:type="dxa" w:w="203"/>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锅炉机房</w:t>
                  </w:r>
                </w:p>
              </w:tc>
              <w:tc>
                <w:tcPr>
                  <w:tcW w:type="dxa" w:w="27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锅炉本体运行状态</w:t>
                  </w:r>
                </w:p>
              </w:tc>
              <w:tc>
                <w:tcPr>
                  <w:tcW w:type="dxa" w:w="110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蒸汽锅炉：蒸汽压力、温度在额定范围，水位在正常水位线</w:t>
                  </w:r>
                  <w:r>
                    <w:rPr>
                      <w:rFonts w:ascii="仿宋_GB2312" w:hAnsi="仿宋_GB2312" w:cs="仿宋_GB2312" w:eastAsia="仿宋_GB2312"/>
                      <w:sz w:val="21"/>
                    </w:rPr>
                    <w:t>±50mm内；热水锅炉：出水/回水温度、压力符合设定值；炉体无异常振动、异响、泄漏（蒸汽、热水、燃气）。</w:t>
                  </w:r>
                </w:p>
              </w:tc>
              <w:tc>
                <w:tcPr>
                  <w:tcW w:type="dxa" w:w="35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每小时记录</w:t>
                  </w:r>
                  <w:r>
                    <w:rPr>
                      <w:rFonts w:ascii="仿宋_GB2312" w:hAnsi="仿宋_GB2312" w:cs="仿宋_GB2312" w:eastAsia="仿宋_GB2312"/>
                      <w:sz w:val="21"/>
                    </w:rPr>
                    <w:t>1次关键运行参数（压力、温度、水位）</w:t>
                  </w:r>
                </w:p>
              </w:tc>
              <w:tc>
                <w:tcPr>
                  <w:tcW w:type="dxa" w:w="61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立即停炉（若出现超压、缺水等紧急情况），启动应急预案，记录异常现象并上报院方。</w:t>
                  </w:r>
                </w:p>
              </w:tc>
            </w:tr>
            <w:tr>
              <w:tc>
                <w:tcPr>
                  <w:tcW w:type="dxa" w:w="203"/>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p>
              </w:tc>
              <w:tc>
                <w:tcPr>
                  <w:tcW w:type="dxa" w:w="27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燃烧器运行状态</w:t>
                  </w:r>
                </w:p>
              </w:tc>
              <w:tc>
                <w:tcPr>
                  <w:tcW w:type="dxa" w:w="110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点火正常，火焰呈淡蓝色且稳定，无脱火、回火、熄火现象；燃气压力稳定在额定范围（</w:t>
                  </w:r>
                  <w:r>
                    <w:rPr>
                      <w:rFonts w:ascii="仿宋_GB2312" w:hAnsi="仿宋_GB2312" w:cs="仿宋_GB2312" w:eastAsia="仿宋_GB2312"/>
                      <w:sz w:val="21"/>
                    </w:rPr>
                    <w:t>0.02-0.03MPa）；风压、油压（若有）符合设备要求。</w:t>
                  </w:r>
                </w:p>
              </w:tc>
              <w:tc>
                <w:tcPr>
                  <w:tcW w:type="dxa" w:w="35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每</w:t>
                  </w:r>
                  <w:r>
                    <w:rPr>
                      <w:rFonts w:ascii="仿宋_GB2312" w:hAnsi="仿宋_GB2312" w:cs="仿宋_GB2312" w:eastAsia="仿宋_GB2312"/>
                      <w:sz w:val="21"/>
                    </w:rPr>
                    <w:t>2小时记录1次燃烧器运行参数</w:t>
                  </w:r>
                </w:p>
              </w:tc>
              <w:tc>
                <w:tcPr>
                  <w:tcW w:type="dxa" w:w="61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立即关闭燃气阀门（若出现熄火、回火），排查原因并修复，修复前禁止重新点火。</w:t>
                  </w:r>
                </w:p>
              </w:tc>
            </w:tr>
            <w:tr>
              <w:tc>
                <w:tcPr>
                  <w:tcW w:type="dxa" w:w="203"/>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p>
              </w:tc>
              <w:tc>
                <w:tcPr>
                  <w:tcW w:type="dxa" w:w="27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给水泵</w:t>
                  </w:r>
                  <w:r>
                    <w:rPr>
                      <w:rFonts w:ascii="仿宋_GB2312" w:hAnsi="仿宋_GB2312" w:cs="仿宋_GB2312" w:eastAsia="仿宋_GB2312"/>
                      <w:sz w:val="21"/>
                    </w:rPr>
                    <w:t>/循环泵/补水泵</w:t>
                  </w:r>
                </w:p>
              </w:tc>
              <w:tc>
                <w:tcPr>
                  <w:tcW w:type="dxa" w:w="110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运行平稳，无异常噪音、振动、过热（轴承温度</w:t>
                  </w:r>
                  <w:r>
                    <w:rPr>
                      <w:rFonts w:ascii="仿宋_GB2312" w:hAnsi="仿宋_GB2312" w:cs="仿宋_GB2312" w:eastAsia="仿宋_GB2312"/>
                      <w:sz w:val="21"/>
                    </w:rPr>
                    <w:t>≤75℃）；进出口压力正常，无泄漏；电机电流、电压在额定范围。</w:t>
                  </w:r>
                </w:p>
              </w:tc>
              <w:tc>
                <w:tcPr>
                  <w:tcW w:type="dxa" w:w="35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每</w:t>
                  </w:r>
                  <w:r>
                    <w:rPr>
                      <w:rFonts w:ascii="仿宋_GB2312" w:hAnsi="仿宋_GB2312" w:cs="仿宋_GB2312" w:eastAsia="仿宋_GB2312"/>
                      <w:sz w:val="21"/>
                    </w:rPr>
                    <w:t>2小时记录1次运行状态、压力、电流</w:t>
                  </w:r>
                </w:p>
              </w:tc>
              <w:tc>
                <w:tcPr>
                  <w:tcW w:type="dxa" w:w="61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记录异常，及时停机报修，若为关键泵组，立即切换至备用泵。</w:t>
                  </w:r>
                </w:p>
              </w:tc>
            </w:tr>
            <w:tr>
              <w:tc>
                <w:tcPr>
                  <w:tcW w:type="dxa" w:w="203"/>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p>
              </w:tc>
              <w:tc>
                <w:tcPr>
                  <w:tcW w:type="dxa" w:w="27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引风机</w:t>
                  </w:r>
                  <w:r>
                    <w:rPr>
                      <w:rFonts w:ascii="仿宋_GB2312" w:hAnsi="仿宋_GB2312" w:cs="仿宋_GB2312" w:eastAsia="仿宋_GB2312"/>
                      <w:sz w:val="21"/>
                    </w:rPr>
                    <w:t>/鼓风机</w:t>
                  </w:r>
                </w:p>
              </w:tc>
              <w:tc>
                <w:tcPr>
                  <w:tcW w:type="dxa" w:w="110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运行平稳，无异常噪音、振动；风量、风压符合锅炉运行需求；电机电流、电压正常，轴承温度</w:t>
                  </w:r>
                  <w:r>
                    <w:rPr>
                      <w:rFonts w:ascii="仿宋_GB2312" w:hAnsi="仿宋_GB2312" w:cs="仿宋_GB2312" w:eastAsia="仿宋_GB2312"/>
                      <w:sz w:val="21"/>
                    </w:rPr>
                    <w:t>≤75℃。</w:t>
                  </w:r>
                </w:p>
              </w:tc>
              <w:tc>
                <w:tcPr>
                  <w:tcW w:type="dxa" w:w="35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每</w:t>
                  </w:r>
                  <w:r>
                    <w:rPr>
                      <w:rFonts w:ascii="仿宋_GB2312" w:hAnsi="仿宋_GB2312" w:cs="仿宋_GB2312" w:eastAsia="仿宋_GB2312"/>
                      <w:sz w:val="21"/>
                    </w:rPr>
                    <w:t>2小时记录1次运行状态、电流</w:t>
                  </w:r>
                </w:p>
              </w:tc>
              <w:tc>
                <w:tcPr>
                  <w:tcW w:type="dxa" w:w="61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记录异常，及时停机报修，若影响锅炉燃烧，可适当降低锅炉负荷并紧急维修。</w:t>
                  </w:r>
                </w:p>
              </w:tc>
            </w:tr>
            <w:tr>
              <w:tc>
                <w:tcPr>
                  <w:tcW w:type="dxa" w:w="203"/>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p>
              </w:tc>
              <w:tc>
                <w:tcPr>
                  <w:tcW w:type="dxa" w:w="27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水处理设备（软水器、除氧器）</w:t>
                  </w:r>
                </w:p>
              </w:tc>
              <w:tc>
                <w:tcPr>
                  <w:tcW w:type="dxa" w:w="110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软水器出水硬度</w:t>
                  </w:r>
                  <w:r>
                    <w:rPr>
                      <w:rFonts w:ascii="仿宋_GB2312" w:hAnsi="仿宋_GB2312" w:cs="仿宋_GB2312" w:eastAsia="仿宋_GB2312"/>
                      <w:sz w:val="21"/>
                    </w:rPr>
                    <w:t>≤0.03mmol/L；除氧器出水含氧量≤0.05mg/L；设备运行程序正常，再生系统无故障。</w:t>
                  </w:r>
                </w:p>
              </w:tc>
              <w:tc>
                <w:tcPr>
                  <w:tcW w:type="dxa" w:w="35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每日记录</w:t>
                  </w:r>
                  <w:r>
                    <w:rPr>
                      <w:rFonts w:ascii="仿宋_GB2312" w:hAnsi="仿宋_GB2312" w:cs="仿宋_GB2312" w:eastAsia="仿宋_GB2312"/>
                      <w:sz w:val="21"/>
                    </w:rPr>
                    <w:t>2次水质检测数据（硬度、含氧量）</w:t>
                  </w:r>
                </w:p>
              </w:tc>
              <w:tc>
                <w:tcPr>
                  <w:tcW w:type="dxa" w:w="61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立即停机检修水处理设备，若水质超标，暂停锅炉补水并更换备用软水，待水质达标后恢复补水。</w:t>
                  </w:r>
                </w:p>
              </w:tc>
            </w:tr>
            <w:tr>
              <w:tc>
                <w:tcPr>
                  <w:tcW w:type="dxa" w:w="203"/>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p>
              </w:tc>
              <w:tc>
                <w:tcPr>
                  <w:tcW w:type="dxa" w:w="27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安全附件（安全阀、压力表、水位计）</w:t>
                  </w:r>
                </w:p>
              </w:tc>
              <w:tc>
                <w:tcPr>
                  <w:tcW w:type="dxa" w:w="110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安全阀铅封完好，无泄漏；压力表指针灵活，读数准确（与标准表比对误差</w:t>
                  </w:r>
                  <w:r>
                    <w:rPr>
                      <w:rFonts w:ascii="仿宋_GB2312" w:hAnsi="仿宋_GB2312" w:cs="仿宋_GB2312" w:eastAsia="仿宋_GB2312"/>
                      <w:sz w:val="21"/>
                    </w:rPr>
                    <w:t>≤0.05MPa）；水位计清晰，水位显示准确，无结垢、泄漏。</w:t>
                  </w:r>
                </w:p>
              </w:tc>
              <w:tc>
                <w:tcPr>
                  <w:tcW w:type="dxa" w:w="35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每小时检查</w:t>
                  </w:r>
                  <w:r>
                    <w:rPr>
                      <w:rFonts w:ascii="仿宋_GB2312" w:hAnsi="仿宋_GB2312" w:cs="仿宋_GB2312" w:eastAsia="仿宋_GB2312"/>
                      <w:sz w:val="21"/>
                    </w:rPr>
                    <w:t>1次安全附件状态</w:t>
                  </w:r>
                </w:p>
              </w:tc>
              <w:tc>
                <w:tcPr>
                  <w:tcW w:type="dxa" w:w="61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立即停用故障安全附件，更换备用件并联系校验单位，未修复前锅炉不得运行。</w:t>
                  </w:r>
                </w:p>
              </w:tc>
            </w:tr>
            <w:tr>
              <w:tc>
                <w:tcPr>
                  <w:tcW w:type="dxa" w:w="203"/>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p>
              </w:tc>
              <w:tc>
                <w:tcPr>
                  <w:tcW w:type="dxa" w:w="27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燃气管道及阀门</w:t>
                  </w:r>
                </w:p>
              </w:tc>
              <w:tc>
                <w:tcPr>
                  <w:tcW w:type="dxa" w:w="110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燃气管道无泄漏（用肥皂水检测接口）；阀门开关灵活，无卡滞、泄漏；燃气报警仪正常工作（定期测试报警功能）。</w:t>
                  </w:r>
                </w:p>
              </w:tc>
              <w:tc>
                <w:tcPr>
                  <w:tcW w:type="dxa" w:w="35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每</w:t>
                  </w:r>
                  <w:r>
                    <w:rPr>
                      <w:rFonts w:ascii="仿宋_GB2312" w:hAnsi="仿宋_GB2312" w:cs="仿宋_GB2312" w:eastAsia="仿宋_GB2312"/>
                      <w:sz w:val="21"/>
                    </w:rPr>
                    <w:t>2小时检查1次燃气管道及阀门，每日测试1次燃气报警仪</w:t>
                  </w:r>
                </w:p>
              </w:tc>
              <w:tc>
                <w:tcPr>
                  <w:tcW w:type="dxa" w:w="61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立即关闭燃气总阀（若发现泄漏），通风换气后排查泄漏点并修复，修复后需进行气密性测试。</w:t>
                  </w:r>
                </w:p>
              </w:tc>
            </w:tr>
            <w:tr>
              <w:tc>
                <w:tcPr>
                  <w:tcW w:type="dxa" w:w="203"/>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机房环境</w:t>
                  </w:r>
                </w:p>
              </w:tc>
              <w:tc>
                <w:tcPr>
                  <w:tcW w:type="dxa" w:w="27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机房温度、通风</w:t>
                  </w:r>
                </w:p>
              </w:tc>
              <w:tc>
                <w:tcPr>
                  <w:tcW w:type="dxa" w:w="110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机房温度</w:t>
                  </w:r>
                  <w:r>
                    <w:rPr>
                      <w:rFonts w:ascii="仿宋_GB2312" w:hAnsi="仿宋_GB2312" w:cs="仿宋_GB2312" w:eastAsia="仿宋_GB2312"/>
                      <w:sz w:val="21"/>
                    </w:rPr>
                    <w:t>≤40℃，通风良好；无易燃易爆物品堆放；消防器材完备且在有效期内。</w:t>
                  </w:r>
                </w:p>
              </w:tc>
              <w:tc>
                <w:tcPr>
                  <w:tcW w:type="dxa" w:w="35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每日记录</w:t>
                  </w:r>
                  <w:r>
                    <w:rPr>
                      <w:rFonts w:ascii="仿宋_GB2312" w:hAnsi="仿宋_GB2312" w:cs="仿宋_GB2312" w:eastAsia="仿宋_GB2312"/>
                      <w:sz w:val="21"/>
                    </w:rPr>
                    <w:t>2次机房温度</w:t>
                  </w:r>
                </w:p>
              </w:tc>
              <w:tc>
                <w:tcPr>
                  <w:tcW w:type="dxa" w:w="61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开启机房通风设备（若温度过高），清理易燃物品，更换过期消防器材。</w:t>
                  </w:r>
                </w:p>
              </w:tc>
            </w:tr>
          </w:tbl>
          <w:p>
            <w:pPr>
              <w:pStyle w:val="null3"/>
              <w:jc w:val="center"/>
            </w:pPr>
            <w:r>
              <w:rPr>
                <w:rFonts w:ascii="仿宋_GB2312" w:hAnsi="仿宋_GB2312" w:cs="仿宋_GB2312" w:eastAsia="仿宋_GB2312"/>
                <w:sz w:val="21"/>
                <w:b/>
              </w:rPr>
              <w:t>2. 月度维保内容及标准</w:t>
            </w:r>
          </w:p>
          <w:tbl>
            <w:tblPr>
              <w:tblBorders>
                <w:top w:val="none" w:color="000000" w:sz="4"/>
                <w:left w:val="none" w:color="000000" w:sz="4"/>
                <w:bottom w:val="none" w:color="000000" w:sz="4"/>
                <w:right w:val="none" w:color="000000" w:sz="4"/>
                <w:insideH w:val="none"/>
                <w:insideV w:val="none"/>
              </w:tblBorders>
            </w:tblPr>
            <w:tblGrid>
              <w:gridCol w:w="230"/>
              <w:gridCol w:w="230"/>
              <w:gridCol w:w="570"/>
              <w:gridCol w:w="526"/>
              <w:gridCol w:w="366"/>
              <w:gridCol w:w="623"/>
            </w:tblGrid>
            <w:tr>
              <w:tc>
                <w:tcPr>
                  <w:tcW w:type="dxa" w:w="230"/>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b/>
                    </w:rPr>
                    <w:t>维保区域</w:t>
                  </w:r>
                  <w:r>
                    <w:rPr>
                      <w:rFonts w:ascii="仿宋_GB2312" w:hAnsi="仿宋_GB2312" w:cs="仿宋_GB2312" w:eastAsia="仿宋_GB2312"/>
                      <w:sz w:val="21"/>
                      <w:b/>
                    </w:rPr>
                    <w:t>/系统</w:t>
                  </w:r>
                </w:p>
              </w:tc>
              <w:tc>
                <w:tcPr>
                  <w:tcW w:type="dxa" w:w="230"/>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b/>
                    </w:rPr>
                    <w:t>维保项目</w:t>
                  </w:r>
                </w:p>
              </w:tc>
              <w:tc>
                <w:tcPr>
                  <w:tcW w:type="dxa" w:w="570"/>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b/>
                    </w:rPr>
                    <w:t>具体内容</w:t>
                  </w:r>
                </w:p>
              </w:tc>
              <w:tc>
                <w:tcPr>
                  <w:tcW w:type="dxa" w:w="526"/>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b/>
                    </w:rPr>
                    <w:t>标准</w:t>
                  </w:r>
                  <w:r>
                    <w:rPr>
                      <w:rFonts w:ascii="仿宋_GB2312" w:hAnsi="仿宋_GB2312" w:cs="仿宋_GB2312" w:eastAsia="仿宋_GB2312"/>
                      <w:sz w:val="21"/>
                      <w:b/>
                    </w:rPr>
                    <w:t>/要求</w:t>
                  </w:r>
                </w:p>
              </w:tc>
              <w:tc>
                <w:tcPr>
                  <w:tcW w:type="dxa" w:w="366"/>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b/>
                    </w:rPr>
                    <w:t>记录要求</w:t>
                  </w:r>
                </w:p>
              </w:tc>
              <w:tc>
                <w:tcPr>
                  <w:tcW w:type="dxa" w:w="623"/>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b/>
                    </w:rPr>
                    <w:t>异常处理要求</w:t>
                  </w:r>
                </w:p>
              </w:tc>
            </w:tr>
            <w:tr>
              <w:tc>
                <w:tcPr>
                  <w:tcW w:type="dxa" w:w="230"/>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锅炉本体</w:t>
                  </w:r>
                </w:p>
              </w:tc>
              <w:tc>
                <w:tcPr>
                  <w:tcW w:type="dxa" w:w="23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本体清洁与检查</w:t>
                  </w:r>
                </w:p>
              </w:tc>
              <w:tc>
                <w:tcPr>
                  <w:tcW w:type="dxa" w:w="57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清理锅炉本体外表面灰尘、油污；2. 检查炉胆、炉管外观，查看有无腐蚀、鼓包、裂纹；3. 检查人孔、手孔密封情况，有无泄漏</w:t>
                  </w:r>
                </w:p>
              </w:tc>
              <w:tc>
                <w:tcPr>
                  <w:tcW w:type="dxa" w:w="52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本体表面无明显积尘、油污；2. 炉胆、炉管无可见腐蚀、鼓包、裂纹；3. 人孔、手孔密封良好，无蒸汽/热水泄漏</w:t>
                  </w:r>
                </w:p>
              </w:tc>
              <w:tc>
                <w:tcPr>
                  <w:tcW w:type="dxa" w:w="36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填写《锅炉月度维保记录表》，详细记录外观检查结果、密封情况</w:t>
                  </w:r>
                </w:p>
              </w:tc>
              <w:tc>
                <w:tcPr>
                  <w:tcW w:type="dxa" w:w="62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若发现轻微腐蚀，需记录位置、面积，下次维保重点复查；2. 若存在密封泄漏，立即更换密封垫片并重新紧固；3. 若发现鼓包、裂纹，立即停炉，联系专业机构检测，严禁继续使用</w:t>
                  </w:r>
                </w:p>
              </w:tc>
            </w:tr>
            <w:tr>
              <w:tc>
                <w:tcPr>
                  <w:tcW w:type="dxa" w:w="230"/>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燃烧系统</w:t>
                  </w:r>
                </w:p>
              </w:tc>
              <w:tc>
                <w:tcPr>
                  <w:tcW w:type="dxa" w:w="23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燃烧器维护</w:t>
                  </w:r>
                </w:p>
              </w:tc>
              <w:tc>
                <w:tcPr>
                  <w:tcW w:type="dxa" w:w="57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拆卸燃烧器火焰探测器（光电管/紫外线探头），用酒精清洁探头表面；2. 检查燃烧器喷嘴、点火电极，清理积碳；3. 检查燃气阀组密封性，用肥皂水测试接口</w:t>
                  </w:r>
                </w:p>
              </w:tc>
              <w:tc>
                <w:tcPr>
                  <w:tcW w:type="dxa" w:w="52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火焰探测器清洁后，信号检测正常（设备显示无故障）；2. 喷嘴、电极无积碳，点火火花强劲、稳定；3. 燃气阀组接口无气泡（无泄漏）</w:t>
                  </w:r>
                </w:p>
              </w:tc>
              <w:tc>
                <w:tcPr>
                  <w:tcW w:type="dxa" w:w="36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记录燃烧器清洁过程、检测数据（如点火电压）、密封测试结果</w:t>
                  </w:r>
                </w:p>
              </w:tc>
              <w:tc>
                <w:tcPr>
                  <w:tcW w:type="dxa" w:w="62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若火焰探测器信号异常，更换探头；2. 若喷嘴积碳严重无法清理，更换喷嘴；3. 若燃气阀组泄漏，关闭燃气总阀，更换密封件并重新测试，合格后方可启用</w:t>
                  </w:r>
                </w:p>
              </w:tc>
            </w:tr>
            <w:tr>
              <w:tc>
                <w:tcPr>
                  <w:tcW w:type="dxa" w:w="230"/>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水循环</w:t>
                  </w:r>
                  <w:r>
                    <w:rPr>
                      <w:rFonts w:ascii="仿宋_GB2312" w:hAnsi="仿宋_GB2312" w:cs="仿宋_GB2312" w:eastAsia="仿宋_GB2312"/>
                      <w:sz w:val="21"/>
                    </w:rPr>
                    <w:t>/水汽系统</w:t>
                  </w:r>
                </w:p>
              </w:tc>
              <w:tc>
                <w:tcPr>
                  <w:tcW w:type="dxa" w:w="23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水泵维护</w:t>
                  </w:r>
                </w:p>
              </w:tc>
              <w:tc>
                <w:tcPr>
                  <w:tcW w:type="dxa" w:w="57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检查给水泵/循环泵/补水泵轴承温度，添加润滑脂（若不足）；2. 检查泵体密封填料，查看有无渗漏；3. 测试水泵启停功能及运行电流</w:t>
                  </w:r>
                </w:p>
              </w:tc>
              <w:tc>
                <w:tcPr>
                  <w:tcW w:type="dxa" w:w="52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轴承温度≤75℃，润滑脂充足且无变质；2. 密封填料渗漏量≤10滴/分钟；3. 水泵启停正常，运行电流在额定范围±5%内</w:t>
                  </w:r>
                </w:p>
              </w:tc>
              <w:tc>
                <w:tcPr>
                  <w:tcW w:type="dxa" w:w="36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记录水泵轴承温度、润滑脂添加量、密封渗漏情况、运行电流</w:t>
                  </w:r>
                </w:p>
              </w:tc>
              <w:tc>
                <w:tcPr>
                  <w:tcW w:type="dxa" w:w="62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若轴承温度过高，检查润滑脂是否变质，必要时更换轴承；2. 若密封渗漏超标，调整填料压盖或更换填料；3. 若电流异常，检查电机绕组绝缘，必要时联系电机维修单位</w:t>
                  </w:r>
                </w:p>
              </w:tc>
            </w:tr>
            <w:tr>
              <w:tc>
                <w:tcPr>
                  <w:tcW w:type="dxa" w:w="230"/>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安全附件</w:t>
                  </w:r>
                </w:p>
              </w:tc>
              <w:tc>
                <w:tcPr>
                  <w:tcW w:type="dxa" w:w="23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安全阀</w:t>
                  </w:r>
                  <w:r>
                    <w:rPr>
                      <w:rFonts w:ascii="仿宋_GB2312" w:hAnsi="仿宋_GB2312" w:cs="仿宋_GB2312" w:eastAsia="仿宋_GB2312"/>
                      <w:sz w:val="21"/>
                    </w:rPr>
                    <w:t>/压力表检查</w:t>
                  </w:r>
                </w:p>
              </w:tc>
              <w:tc>
                <w:tcPr>
                  <w:tcW w:type="dxa" w:w="57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检查安全阀铅封完整性，手动试验安全阀起跳灵活性（蒸汽锅炉缓慢开启手动排气阀，热水锅炉按规程测试）；2. 检查压力表指针灵活性，与标准压力表比对误差</w:t>
                  </w:r>
                </w:p>
              </w:tc>
              <w:tc>
                <w:tcPr>
                  <w:tcW w:type="dxa" w:w="52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安全阀铅封完好，手动试验时起跳、回座正常；2. 压力表误差≤1.6级精度允许范围（如量程0-2.5MPa，误差≤0.04MPa）</w:t>
                  </w:r>
                </w:p>
              </w:tc>
              <w:tc>
                <w:tcPr>
                  <w:tcW w:type="dxa" w:w="36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记录安全阀铅封状态、手动试验结果，压力表比对数据、误差值</w:t>
                  </w:r>
                </w:p>
              </w:tc>
              <w:tc>
                <w:tcPr>
                  <w:tcW w:type="dxa" w:w="62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若安全阀铅封破损或起跳异常，立即停用，联系具备资质单位重新校验；2. 若压力表误差超标，更换压力表并送检定机构检定</w:t>
                  </w:r>
                </w:p>
              </w:tc>
            </w:tr>
            <w:tr>
              <w:tc>
                <w:tcPr>
                  <w:tcW w:type="dxa" w:w="230"/>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水处理系统</w:t>
                  </w:r>
                </w:p>
              </w:tc>
              <w:tc>
                <w:tcPr>
                  <w:tcW w:type="dxa" w:w="23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软水器</w:t>
                  </w:r>
                  <w:r>
                    <w:rPr>
                      <w:rFonts w:ascii="仿宋_GB2312" w:hAnsi="仿宋_GB2312" w:cs="仿宋_GB2312" w:eastAsia="仿宋_GB2312"/>
                      <w:sz w:val="21"/>
                    </w:rPr>
                    <w:t>/除氧器维护</w:t>
                  </w:r>
                </w:p>
              </w:tc>
              <w:tc>
                <w:tcPr>
                  <w:tcW w:type="dxa" w:w="57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检查软水器树脂状态，查看有无污染、老化；2. 手动触发软水器再生流程，测试再生阀组运行；3. 检查除氧器加热元件，测试温控功能</w:t>
                  </w:r>
                </w:p>
              </w:tc>
              <w:tc>
                <w:tcPr>
                  <w:tcW w:type="dxa" w:w="52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树脂无明显发黑、结块（污染）；2. 软水器再生流程正常，再生后出水硬度≤0.03mmol/L；3. 除氧器加热正常，水温能达到104℃（蒸汽锅炉），含氧量≤0.05mg/L</w:t>
                  </w:r>
                </w:p>
              </w:tc>
              <w:tc>
                <w:tcPr>
                  <w:tcW w:type="dxa" w:w="366"/>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记录树脂外观、软水器再生时间、出水硬度数据、除氧器水温及含氧量</w:t>
                  </w:r>
                </w:p>
              </w:tc>
              <w:tc>
                <w:tcPr>
                  <w:tcW w:type="dxa" w:w="623"/>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若树脂污染，进行树脂再生处理；若老化严重，更换树脂；2. 若软水器再生故障，排查控制阀或管路，修复后重新测试出水硬度；3. 若除氧器加热异常，检查加热元件、温控器，必要时更换配件</w:t>
                  </w:r>
                </w:p>
              </w:tc>
            </w:tr>
          </w:tbl>
          <w:p>
            <w:pPr>
              <w:pStyle w:val="null3"/>
              <w:jc w:val="both"/>
            </w:pPr>
            <w:r>
              <w:rPr>
                <w:rFonts w:ascii="仿宋_GB2312" w:hAnsi="仿宋_GB2312" w:cs="仿宋_GB2312" w:eastAsia="仿宋_GB2312"/>
                <w:sz w:val="21"/>
                <w:b/>
              </w:rPr>
              <w:t>3. 季度维保内容及标准</w:t>
            </w:r>
          </w:p>
          <w:tbl>
            <w:tblPr>
              <w:tblBorders>
                <w:top w:val="none" w:color="000000" w:sz="4"/>
                <w:left w:val="none" w:color="000000" w:sz="4"/>
                <w:bottom w:val="none" w:color="000000" w:sz="4"/>
                <w:right w:val="none" w:color="000000" w:sz="4"/>
                <w:insideH w:val="none"/>
                <w:insideV w:val="none"/>
              </w:tblBorders>
            </w:tblPr>
            <w:tblGrid>
              <w:gridCol w:w="222"/>
              <w:gridCol w:w="222"/>
              <w:gridCol w:w="599"/>
              <w:gridCol w:w="545"/>
              <w:gridCol w:w="404"/>
              <w:gridCol w:w="555"/>
            </w:tblGrid>
            <w:tr>
              <w:tc>
                <w:tcPr>
                  <w:tcW w:type="dxa" w:w="22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b/>
                    </w:rPr>
                    <w:t>维保区域</w:t>
                  </w:r>
                  <w:r>
                    <w:rPr>
                      <w:rFonts w:ascii="仿宋_GB2312" w:hAnsi="仿宋_GB2312" w:cs="仿宋_GB2312" w:eastAsia="仿宋_GB2312"/>
                      <w:sz w:val="21"/>
                      <w:b/>
                    </w:rPr>
                    <w:t>/系统</w:t>
                  </w:r>
                </w:p>
              </w:tc>
              <w:tc>
                <w:tcPr>
                  <w:tcW w:type="dxa" w:w="222"/>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b/>
                    </w:rPr>
                    <w:t>维保项目</w:t>
                  </w:r>
                </w:p>
              </w:tc>
              <w:tc>
                <w:tcPr>
                  <w:tcW w:type="dxa" w:w="599"/>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b/>
                    </w:rPr>
                    <w:t>具体内容</w:t>
                  </w:r>
                </w:p>
              </w:tc>
              <w:tc>
                <w:tcPr>
                  <w:tcW w:type="dxa" w:w="545"/>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b/>
                    </w:rPr>
                    <w:t>标准</w:t>
                  </w:r>
                  <w:r>
                    <w:rPr>
                      <w:rFonts w:ascii="仿宋_GB2312" w:hAnsi="仿宋_GB2312" w:cs="仿宋_GB2312" w:eastAsia="仿宋_GB2312"/>
                      <w:sz w:val="21"/>
                      <w:b/>
                    </w:rPr>
                    <w:t>/要求</w:t>
                  </w:r>
                </w:p>
              </w:tc>
              <w:tc>
                <w:tcPr>
                  <w:tcW w:type="dxa" w:w="404"/>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b/>
                    </w:rPr>
                    <w:t>记录要求</w:t>
                  </w:r>
                </w:p>
              </w:tc>
              <w:tc>
                <w:tcPr>
                  <w:tcW w:type="dxa" w:w="555"/>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b/>
                    </w:rPr>
                    <w:t>异常处理要求</w:t>
                  </w:r>
                </w:p>
              </w:tc>
            </w:tr>
            <w:tr>
              <w:tc>
                <w:tcPr>
                  <w:tcW w:type="dxa" w:w="222"/>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锅炉本体</w:t>
                  </w:r>
                </w:p>
              </w:tc>
              <w:tc>
                <w:tcPr>
                  <w:tcW w:type="dxa" w:w="22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烟管</w:t>
                  </w:r>
                  <w:r>
                    <w:rPr>
                      <w:rFonts w:ascii="仿宋_GB2312" w:hAnsi="仿宋_GB2312" w:cs="仿宋_GB2312" w:eastAsia="仿宋_GB2312"/>
                      <w:sz w:val="21"/>
                    </w:rPr>
                    <w:t>/烟道清理</w:t>
                  </w:r>
                </w:p>
              </w:tc>
              <w:tc>
                <w:tcPr>
                  <w:tcW w:type="dxa" w:w="59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拆卸烟道挡板，清理烟道内积灰；2. 用压缩空气（0.4-0.6MPa）吹扫锅炉烟管内积灰；3. 检查烟道腐蚀情况</w:t>
                  </w:r>
                </w:p>
              </w:tc>
              <w:tc>
                <w:tcPr>
                  <w:tcW w:type="dxa" w:w="54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烟道、烟管内无明显积灰（吹扫后无块状积灰掉落）；2. 烟道内壁无严重腐蚀（无穿孔、大面积锈层）</w:t>
                  </w:r>
                </w:p>
              </w:tc>
              <w:tc>
                <w:tcPr>
                  <w:tcW w:type="dxa" w:w="40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填写《锅炉季度维保记录表》，记录烟道清理情况、烟管通畅度、烟道腐蚀检查结果</w:t>
                  </w:r>
                </w:p>
              </w:tc>
              <w:tc>
                <w:tcPr>
                  <w:tcW w:type="dxa" w:w="55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若烟管积灰难以吹扫，使用专用清灰工具清理，确保烟管通畅；2. 若烟道腐蚀严重，评估是否影响结构安全，必要时更换烟道段</w:t>
                  </w:r>
                </w:p>
              </w:tc>
            </w:tr>
            <w:tr>
              <w:tc>
                <w:tcPr>
                  <w:tcW w:type="dxa" w:w="222"/>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燃烧系统</w:t>
                  </w:r>
                </w:p>
              </w:tc>
              <w:tc>
                <w:tcPr>
                  <w:tcW w:type="dxa" w:w="22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燃气管道与过滤器维护</w:t>
                  </w:r>
                </w:p>
              </w:tc>
              <w:tc>
                <w:tcPr>
                  <w:tcW w:type="dxa" w:w="59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拆卸燃气过滤器，清理滤芯内杂质；2. 检查燃气管道支架，查看有无松动、变形；3. 测试燃气紧急切断阀动作可靠性（触发紧急按钮，检查阀门是否关闭）</w:t>
                  </w:r>
                </w:p>
              </w:tc>
              <w:tc>
                <w:tcPr>
                  <w:tcW w:type="dxa" w:w="54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滤芯清洁无杂质，燃气流通顺畅；2. 管道支架牢固，无松动、变形；3. 紧急切断阀触发后10秒内完全关闭</w:t>
                  </w:r>
                </w:p>
              </w:tc>
              <w:tc>
                <w:tcPr>
                  <w:tcW w:type="dxa" w:w="40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记录滤芯清洁情况、管道支架检查结果、紧急切断阀动作时间</w:t>
                  </w:r>
                </w:p>
              </w:tc>
              <w:tc>
                <w:tcPr>
                  <w:tcW w:type="dxa" w:w="55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若滤芯破损，更换同型号滤芯；2. 若支架松动，重新紧固；若变形，更换支架；3. 若紧急切断阀动作迟缓或无法关闭，立即停用燃烧系统，维修或更换阀门</w:t>
                  </w:r>
                </w:p>
              </w:tc>
            </w:tr>
            <w:tr>
              <w:tc>
                <w:tcPr>
                  <w:tcW w:type="dxa" w:w="222"/>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电气控制系统</w:t>
                  </w:r>
                </w:p>
              </w:tc>
              <w:tc>
                <w:tcPr>
                  <w:tcW w:type="dxa" w:w="22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控制箱与线路检查</w:t>
                  </w:r>
                </w:p>
              </w:tc>
              <w:tc>
                <w:tcPr>
                  <w:tcW w:type="dxa" w:w="59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打开控制箱，清理内部灰尘；2. 检查接触器、继电器触点，查看有无烧蚀；3. 检查线路接头，有无松动、氧化；4. 测试控制系统报警功能（如超压、缺水报警）</w:t>
                  </w:r>
                </w:p>
              </w:tc>
              <w:tc>
                <w:tcPr>
                  <w:tcW w:type="dxa" w:w="54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控制箱内无明显积尘；2. 触点无明显烧蚀（若有轻微烧蚀，用细砂纸打磨）；3. 线路接头牢固、无氧化；4. 报警功能正常（触发报警后，声光报警启动，锅炉停机）</w:t>
                  </w:r>
                </w:p>
              </w:tc>
              <w:tc>
                <w:tcPr>
                  <w:tcW w:type="dxa" w:w="40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记录控制箱清洁情况、触点状态、线路检查结果、报警测试情况</w:t>
                  </w:r>
                </w:p>
              </w:tc>
              <w:tc>
                <w:tcPr>
                  <w:tcW w:type="dxa" w:w="55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若触点烧蚀严重，更换接触器/继电器；2. 若线路接头氧化，清理氧化层并重新紧固；3. 若报警功能失效，排查传感器、线路或控制器，修复后重新测试</w:t>
                  </w:r>
                </w:p>
              </w:tc>
            </w:tr>
            <w:tr>
              <w:tc>
                <w:tcPr>
                  <w:tcW w:type="dxa" w:w="222"/>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水循环</w:t>
                  </w:r>
                  <w:r>
                    <w:rPr>
                      <w:rFonts w:ascii="仿宋_GB2312" w:hAnsi="仿宋_GB2312" w:cs="仿宋_GB2312" w:eastAsia="仿宋_GB2312"/>
                      <w:sz w:val="21"/>
                    </w:rPr>
                    <w:t>/水汽系统</w:t>
                  </w:r>
                </w:p>
              </w:tc>
              <w:tc>
                <w:tcPr>
                  <w:tcW w:type="dxa" w:w="22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阀门维护</w:t>
                  </w:r>
                </w:p>
              </w:tc>
              <w:tc>
                <w:tcPr>
                  <w:tcW w:type="dxa" w:w="59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检查锅炉进出口阀门、排污阀开关灵活性；2. 对阀门丝杆涂抹防锈油脂；3. 测试排污阀密封性（关闭后无渗漏）</w:t>
                  </w:r>
                </w:p>
              </w:tc>
              <w:tc>
                <w:tcPr>
                  <w:tcW w:type="dxa" w:w="54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阀门开关无卡滞，操作顺畅；2. 丝杆无锈蚀，防锈油脂均匀；3. 排污阀关闭后，阀后管道无渗漏</w:t>
                  </w:r>
                </w:p>
              </w:tc>
              <w:tc>
                <w:tcPr>
                  <w:tcW w:type="dxa" w:w="40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记录阀门开关状态、丝杆防锈处理情况、排污阀密封测试结果</w:t>
                  </w:r>
                </w:p>
              </w:tc>
              <w:tc>
                <w:tcPr>
                  <w:tcW w:type="dxa" w:w="55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若阀门开关卡滞，拆解阀门清理阀芯杂质；若无法修复，更换阀门；2. 若排污阀渗漏，研磨阀芯或更换密封件，确保密封良好</w:t>
                  </w:r>
                </w:p>
              </w:tc>
            </w:tr>
          </w:tbl>
          <w:p>
            <w:pPr>
              <w:pStyle w:val="null3"/>
              <w:jc w:val="center"/>
            </w:pPr>
            <w:r>
              <w:rPr>
                <w:rFonts w:ascii="仿宋_GB2312" w:hAnsi="仿宋_GB2312" w:cs="仿宋_GB2312" w:eastAsia="仿宋_GB2312"/>
                <w:sz w:val="21"/>
                <w:b/>
              </w:rPr>
              <w:t>4. 半年维保内容和标准</w:t>
            </w:r>
          </w:p>
          <w:tbl>
            <w:tblPr>
              <w:tblBorders>
                <w:top w:val="none" w:color="000000" w:sz="4"/>
                <w:left w:val="none" w:color="000000" w:sz="4"/>
                <w:bottom w:val="none" w:color="000000" w:sz="4"/>
                <w:right w:val="none" w:color="000000" w:sz="4"/>
                <w:insideH w:val="none"/>
                <w:insideV w:val="none"/>
              </w:tblBorders>
            </w:tblPr>
            <w:tblGrid>
              <w:gridCol w:w="234"/>
              <w:gridCol w:w="239"/>
              <w:gridCol w:w="600"/>
              <w:gridCol w:w="547"/>
              <w:gridCol w:w="420"/>
              <w:gridCol w:w="505"/>
            </w:tblGrid>
            <w:tr>
              <w:tc>
                <w:tcPr>
                  <w:tcW w:type="dxa" w:w="234"/>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b/>
                    </w:rPr>
                    <w:t>维保区域</w:t>
                  </w:r>
                  <w:r>
                    <w:rPr>
                      <w:rFonts w:ascii="仿宋_GB2312" w:hAnsi="仿宋_GB2312" w:cs="仿宋_GB2312" w:eastAsia="仿宋_GB2312"/>
                      <w:sz w:val="21"/>
                      <w:b/>
                    </w:rPr>
                    <w:t>/系统</w:t>
                  </w:r>
                </w:p>
              </w:tc>
              <w:tc>
                <w:tcPr>
                  <w:tcW w:type="dxa" w:w="239"/>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b/>
                    </w:rPr>
                    <w:t>维保项目</w:t>
                  </w:r>
                </w:p>
              </w:tc>
              <w:tc>
                <w:tcPr>
                  <w:tcW w:type="dxa" w:w="600"/>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b/>
                    </w:rPr>
                    <w:t>具体内容</w:t>
                  </w:r>
                </w:p>
              </w:tc>
              <w:tc>
                <w:tcPr>
                  <w:tcW w:type="dxa" w:w="547"/>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b/>
                    </w:rPr>
                    <w:t>标准</w:t>
                  </w:r>
                  <w:r>
                    <w:rPr>
                      <w:rFonts w:ascii="仿宋_GB2312" w:hAnsi="仿宋_GB2312" w:cs="仿宋_GB2312" w:eastAsia="仿宋_GB2312"/>
                      <w:sz w:val="21"/>
                      <w:b/>
                    </w:rPr>
                    <w:t>/要求</w:t>
                  </w:r>
                </w:p>
              </w:tc>
              <w:tc>
                <w:tcPr>
                  <w:tcW w:type="dxa" w:w="420"/>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b/>
                    </w:rPr>
                    <w:t>记录要求</w:t>
                  </w:r>
                </w:p>
              </w:tc>
              <w:tc>
                <w:tcPr>
                  <w:tcW w:type="dxa" w:w="505"/>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b/>
                    </w:rPr>
                    <w:t>异常处理要求</w:t>
                  </w:r>
                </w:p>
              </w:tc>
            </w:tr>
            <w:tr>
              <w:tc>
                <w:tcPr>
                  <w:tcW w:type="dxa" w:w="234"/>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锅炉本体</w:t>
                  </w:r>
                </w:p>
              </w:tc>
              <w:tc>
                <w:tcPr>
                  <w:tcW w:type="dxa" w:w="23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本体壁厚检测</w:t>
                  </w:r>
                </w:p>
              </w:tc>
              <w:tc>
                <w:tcPr>
                  <w:tcW w:type="dxa" w:w="60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委托具备资质人员，使用超声波测厚仪，在炉胆、炉管关键部位（如受热面、焊缝附近）检测壁厚；2. 检查锅炉基础，查看有无沉降、开裂</w:t>
                  </w:r>
                </w:p>
              </w:tc>
              <w:tc>
                <w:tcPr>
                  <w:tcW w:type="dxa" w:w="54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壁厚检测值不低于设计壁厚的80%（无超标腐蚀）；2. 基础无明显沉降（地面无裂缝，锅炉无倾斜）</w:t>
                  </w:r>
                </w:p>
              </w:tc>
              <w:tc>
                <w:tcPr>
                  <w:tcW w:type="dxa" w:w="42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填写《锅炉半年维保记录表》，附超声波测厚报告（含检测位置、壁厚数据），记录基础检查结果</w:t>
                  </w:r>
                </w:p>
              </w:tc>
              <w:tc>
                <w:tcPr>
                  <w:tcW w:type="dxa" w:w="50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若壁厚检测值低于标准，评估剩余使用寿命，制定维修或更换计划；2. 若基础沉降，联系土建单位评估，采取加固措施，期间限制锅炉负荷</w:t>
                  </w:r>
                </w:p>
              </w:tc>
            </w:tr>
            <w:tr>
              <w:tc>
                <w:tcPr>
                  <w:tcW w:type="dxa" w:w="234"/>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燃烧系统</w:t>
                  </w:r>
                </w:p>
              </w:tc>
              <w:tc>
                <w:tcPr>
                  <w:tcW w:type="dxa" w:w="23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燃烧器性能调试</w:t>
                  </w:r>
                </w:p>
              </w:tc>
              <w:tc>
                <w:tcPr>
                  <w:tcW w:type="dxa" w:w="60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启动燃烧器，用烟气分析仪检测排烟成分（O₂、CO含量）；2. 根据检测结果，调整燃烧器风门、燃气阀开度，优化空燃比；3. 测试燃烧器在不同负荷下的稳定性</w:t>
                  </w:r>
                </w:p>
              </w:tc>
              <w:tc>
                <w:tcPr>
                  <w:tcW w:type="dxa" w:w="54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排烟O₂含量控制在3%-6%（燃气锅炉），CO含量≤100ppm；2. 不同负荷下燃烧稳定，无脱火、回火现象</w:t>
                  </w:r>
                </w:p>
              </w:tc>
              <w:tc>
                <w:tcPr>
                  <w:tcW w:type="dxa" w:w="42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记录烟气分析数据、空燃比调整参数、不同负荷下燃烧状态</w:t>
                  </w:r>
                </w:p>
              </w:tc>
              <w:tc>
                <w:tcPr>
                  <w:tcW w:type="dxa" w:w="50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若排烟成分超标，反复调整空燃比，直至达标；2. 若调整后仍无法达标，检查燃烧器喷嘴、风机风量，必要时更换燃烧器部件</w:t>
                  </w:r>
                </w:p>
              </w:tc>
            </w:tr>
            <w:tr>
              <w:tc>
                <w:tcPr>
                  <w:tcW w:type="dxa" w:w="234"/>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水处理系统</w:t>
                  </w:r>
                </w:p>
              </w:tc>
              <w:tc>
                <w:tcPr>
                  <w:tcW w:type="dxa" w:w="23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软水器树脂再生与除氧器检修</w:t>
                  </w:r>
                </w:p>
              </w:tc>
              <w:tc>
                <w:tcPr>
                  <w:tcW w:type="dxa" w:w="60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对软水器进行树脂反洗、再生、置换全过程测试，检测再生后出水硬度；2. 拆卸除氧器内部填料（如鲍尔环），清理杂质；3. 检查除氧器排气阀，测试排气功能</w:t>
                  </w:r>
                </w:p>
              </w:tc>
              <w:tc>
                <w:tcPr>
                  <w:tcW w:type="dxa" w:w="54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软水器再生后出水硬度≤0.03mmol/L；2. 除氧器填料清洁无杂质，堆积均匀；3. 排气阀开启正常，无堵塞</w:t>
                  </w:r>
                </w:p>
              </w:tc>
              <w:tc>
                <w:tcPr>
                  <w:tcW w:type="dxa" w:w="42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记录软水器再生各步骤时间、出水硬度数据，除氧器填料清理情况、排气阀测试结果</w:t>
                  </w:r>
                </w:p>
              </w:tc>
              <w:tc>
                <w:tcPr>
                  <w:tcW w:type="dxa" w:w="50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若软水器再生后硬度仍超标，检查再生剂用量、树脂状态，必要时增加再生剂用量或更换树脂；2. 若除氧器排气阀堵塞，清理阀芯或更换阀门</w:t>
                  </w:r>
                </w:p>
              </w:tc>
            </w:tr>
            <w:tr>
              <w:tc>
                <w:tcPr>
                  <w:tcW w:type="dxa" w:w="234"/>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安全附件</w:t>
                  </w:r>
                </w:p>
              </w:tc>
              <w:tc>
                <w:tcPr>
                  <w:tcW w:type="dxa" w:w="23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安全阀送检与压力表检定</w:t>
                  </w:r>
                </w:p>
              </w:tc>
              <w:tc>
                <w:tcPr>
                  <w:tcW w:type="dxa" w:w="60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拆除安全阀，送具备资质的检验机构进行整定校验；2. 拆除压力表，送检定机构进行计量检定</w:t>
                  </w:r>
                </w:p>
              </w:tc>
              <w:tc>
                <w:tcPr>
                  <w:tcW w:type="dxa" w:w="54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安全阀校验合格，取得校验报告，铅封完好；2. 压力表检定合格，粘贴检定合格标签，在检定有效期内</w:t>
                  </w:r>
                </w:p>
              </w:tc>
              <w:tc>
                <w:tcPr>
                  <w:tcW w:type="dxa" w:w="420"/>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记录安全阀送检时间、校验结果（整定压力）、返校时间，压力表检定时间、检定结果、有效期</w:t>
                  </w:r>
                </w:p>
              </w:tc>
              <w:tc>
                <w:tcPr>
                  <w:tcW w:type="dxa" w:w="50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若安全阀校验不合格，更换同型号、同规格安全阀并重新校验；2. 若压力表检定不合格，更换压力表并送检，合格后方可安装使用</w:t>
                  </w:r>
                </w:p>
              </w:tc>
            </w:tr>
          </w:tbl>
          <w:p>
            <w:pPr>
              <w:pStyle w:val="null3"/>
              <w:jc w:val="center"/>
            </w:pPr>
            <w:r>
              <w:rPr>
                <w:rFonts w:ascii="仿宋_GB2312" w:hAnsi="仿宋_GB2312" w:cs="仿宋_GB2312" w:eastAsia="仿宋_GB2312"/>
                <w:sz w:val="21"/>
                <w:b/>
              </w:rPr>
              <w:t>5. 年度维保内容和标准</w:t>
            </w:r>
          </w:p>
          <w:tbl>
            <w:tblPr>
              <w:tblBorders>
                <w:top w:val="none" w:color="000000" w:sz="4"/>
                <w:left w:val="none" w:color="000000" w:sz="4"/>
                <w:bottom w:val="none" w:color="000000" w:sz="4"/>
                <w:right w:val="none" w:color="000000" w:sz="4"/>
                <w:insideH w:val="none"/>
                <w:insideV w:val="none"/>
              </w:tblBorders>
            </w:tblPr>
            <w:tblGrid>
              <w:gridCol w:w="228"/>
              <w:gridCol w:w="202"/>
              <w:gridCol w:w="679"/>
              <w:gridCol w:w="537"/>
              <w:gridCol w:w="369"/>
              <w:gridCol w:w="528"/>
            </w:tblGrid>
            <w:tr>
              <w:tc>
                <w:tcPr>
                  <w:tcW w:type="dxa" w:w="228"/>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b/>
                    </w:rPr>
                    <w:t>维保区域</w:t>
                  </w:r>
                  <w:r>
                    <w:rPr>
                      <w:rFonts w:ascii="仿宋_GB2312" w:hAnsi="仿宋_GB2312" w:cs="仿宋_GB2312" w:eastAsia="仿宋_GB2312"/>
                      <w:sz w:val="21"/>
                      <w:b/>
                    </w:rPr>
                    <w:t>/系统</w:t>
                  </w:r>
                </w:p>
              </w:tc>
              <w:tc>
                <w:tcPr>
                  <w:tcW w:type="dxa" w:w="202"/>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b/>
                    </w:rPr>
                    <w:t>维保项目</w:t>
                  </w:r>
                </w:p>
              </w:tc>
              <w:tc>
                <w:tcPr>
                  <w:tcW w:type="dxa" w:w="679"/>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b/>
                    </w:rPr>
                    <w:t>具体内容</w:t>
                  </w:r>
                </w:p>
              </w:tc>
              <w:tc>
                <w:tcPr>
                  <w:tcW w:type="dxa" w:w="537"/>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b/>
                    </w:rPr>
                    <w:t>标准</w:t>
                  </w:r>
                  <w:r>
                    <w:rPr>
                      <w:rFonts w:ascii="仿宋_GB2312" w:hAnsi="仿宋_GB2312" w:cs="仿宋_GB2312" w:eastAsia="仿宋_GB2312"/>
                      <w:sz w:val="21"/>
                      <w:b/>
                    </w:rPr>
                    <w:t>/要求</w:t>
                  </w:r>
                </w:p>
              </w:tc>
              <w:tc>
                <w:tcPr>
                  <w:tcW w:type="dxa" w:w="369"/>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b/>
                    </w:rPr>
                    <w:t>记录要求</w:t>
                  </w:r>
                </w:p>
              </w:tc>
              <w:tc>
                <w:tcPr>
                  <w:tcW w:type="dxa" w:w="528"/>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b/>
                    </w:rPr>
                    <w:t>异常处理要求</w:t>
                  </w:r>
                </w:p>
              </w:tc>
            </w:tr>
            <w:tr>
              <w:tc>
                <w:tcPr>
                  <w:tcW w:type="dxa" w:w="228"/>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锅炉整体</w:t>
                  </w:r>
                </w:p>
              </w:tc>
              <w:tc>
                <w:tcPr>
                  <w:tcW w:type="dxa" w:w="20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年度全面检测</w:t>
                  </w:r>
                </w:p>
              </w:tc>
              <w:tc>
                <w:tcPr>
                  <w:tcW w:type="dxa" w:w="67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配合特种设备检验检测机构完成锅炉年度定期检验（含水压试验、内部检验）；2. 检查锅炉本体与附属设备连接管路，有无腐蚀、变形；3. 评估锅炉整体运行状况，制定下一年度维保重点</w:t>
                  </w:r>
                </w:p>
              </w:tc>
              <w:tc>
                <w:tcPr>
                  <w:tcW w:type="dxa" w:w="53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取得《锅炉定期检验报告》，结论为“合格”；2. 连接管路无腐蚀、变形，支架牢固；3. 形成年度维保评估报告，明确下一年度重点维保项</w:t>
                  </w:r>
                </w:p>
              </w:tc>
              <w:tc>
                <w:tcPr>
                  <w:tcW w:type="dxa" w:w="36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填写《锅炉年度维保记录表》，附《锅炉定期检验报告》复印件，记录管路检查结果、年度评估结论</w:t>
                  </w:r>
                </w:p>
              </w:tc>
              <w:tc>
                <w:tcPr>
                  <w:tcW w:type="dxa" w:w="52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若定期检验发现问题（如轻度腐蚀），按检验机构要求制定整改计划，限期完成；2. 若检验结论为“不合格”，立即停炉，落实整改后重新检验，合格后方可启用</w:t>
                  </w:r>
                </w:p>
              </w:tc>
            </w:tr>
            <w:tr>
              <w:tc>
                <w:tcPr>
                  <w:tcW w:type="dxa" w:w="228"/>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燃烧系统</w:t>
                  </w:r>
                </w:p>
              </w:tc>
              <w:tc>
                <w:tcPr>
                  <w:tcW w:type="dxa" w:w="20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燃烧器全面拆解维护</w:t>
                  </w:r>
                </w:p>
              </w:tc>
              <w:tc>
                <w:tcPr>
                  <w:tcW w:type="dxa" w:w="67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完全拆解燃烧器，清理燃烧室、风机叶轮积尘；2. 检查燃烧器电机绝缘电阻（用兆欧表测试，≥0.5MΩ）；3. 更换燃烧器易损件（如密封垫、滤芯）</w:t>
                  </w:r>
                </w:p>
              </w:tc>
              <w:tc>
                <w:tcPr>
                  <w:tcW w:type="dxa" w:w="53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燃烧室、风机叶轮无积尘，电机绝缘电阻达标；2. 易损件更换后，燃烧器组装完整，无部件遗漏；3. 启动燃烧器，运行平稳，无异常噪音</w:t>
                  </w:r>
                </w:p>
              </w:tc>
              <w:tc>
                <w:tcPr>
                  <w:tcW w:type="dxa" w:w="36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记录燃烧器拆解步骤、电机绝缘电阻值、易损件更换型号及数量、组装后运行状态</w:t>
                  </w:r>
                </w:p>
              </w:tc>
              <w:tc>
                <w:tcPr>
                  <w:tcW w:type="dxa" w:w="52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若电机绝缘电阻不达标，干燥电机绕组；若仍不达标，更换燃烧器电机；2. 若拆解后发现部件损坏（如风机叶轮裂纹），更换损坏部件后再组装</w:t>
                  </w:r>
                </w:p>
              </w:tc>
            </w:tr>
            <w:tr>
              <w:tc>
                <w:tcPr>
                  <w:tcW w:type="dxa" w:w="228"/>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电气控制系统</w:t>
                  </w:r>
                </w:p>
              </w:tc>
              <w:tc>
                <w:tcPr>
                  <w:tcW w:type="dxa" w:w="20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控制器与传感器校准</w:t>
                  </w:r>
                </w:p>
              </w:tc>
              <w:tc>
                <w:tcPr>
                  <w:tcW w:type="dxa" w:w="67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校准锅炉温度传感器、压力传感器（与标准仪表比对）；2. 检查PLC控制器程序，测试逻辑控制功能（如启停连锁、报警连锁）；3. 备份控制器参数，更新控制软件（若有新版本）</w:t>
                  </w:r>
                </w:p>
              </w:tc>
              <w:tc>
                <w:tcPr>
                  <w:tcW w:type="dxa" w:w="53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传感器校准后，误差≤±0.5℃（温度）、±0.02MPa（压力）；2. 逻辑控制功能正常（如超压时自动停炉、缺水时禁止点火）；3. 参数备份完成，软件更新后无故障</w:t>
                  </w:r>
                </w:p>
              </w:tc>
              <w:tc>
                <w:tcPr>
                  <w:tcW w:type="dxa" w:w="36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记录传感器校准数据（原误差、校准后误差）、逻辑测试结果、参数备份情况、软件版本</w:t>
                  </w:r>
                </w:p>
              </w:tc>
              <w:tc>
                <w:tcPr>
                  <w:tcW w:type="dxa" w:w="52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若传感器校准后误差仍超标，更换传感器；2. 若PLC逻辑故障，排查程序或硬件，联系控制器厂家技术支持修复</w:t>
                  </w:r>
                </w:p>
              </w:tc>
            </w:tr>
            <w:tr>
              <w:tc>
                <w:tcPr>
                  <w:tcW w:type="dxa" w:w="228"/>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机房配套设施</w:t>
                  </w:r>
                </w:p>
              </w:tc>
              <w:tc>
                <w:tcPr>
                  <w:tcW w:type="dxa" w:w="20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消防与通风系统检查</w:t>
                  </w:r>
                </w:p>
              </w:tc>
              <w:tc>
                <w:tcPr>
                  <w:tcW w:type="dxa" w:w="67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检查机房内灭火器压力、有效期，更换过期或压力不足的灭火器；2. 测试机房通风系统（排风扇、新风阀）运行状态；3. 检查燃气报警系统，用标准气样测试报警灵敏度</w:t>
                  </w:r>
                </w:p>
              </w:tc>
              <w:tc>
                <w:tcPr>
                  <w:tcW w:type="dxa" w:w="53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灭火器全部在有效期内，压力正常；2. 通风系统运行正常，风量满足机房散热需求；3. 燃气报警系统在燃气浓度达到爆炸下限20%时触发报警</w:t>
                  </w:r>
                </w:p>
              </w:tc>
              <w:tc>
                <w:tcPr>
                  <w:tcW w:type="dxa" w:w="36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记录灭火器检查结果（数量、有效期）、通风系统运行参数、燃气报警测试浓度及响应时间</w:t>
                  </w:r>
                </w:p>
              </w:tc>
              <w:tc>
                <w:tcPr>
                  <w:tcW w:type="dxa" w:w="52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若灭火器过期或压力不足，立即更换；2. 若通风系统故障，维修或更换风机/阀门，确保机房通风；3. 若燃气报警系统灵敏度不达标，校准传感器或更换报警器</w:t>
                  </w:r>
                </w:p>
              </w:tc>
            </w:tr>
          </w:tbl>
          <w:p>
            <w:pPr>
              <w:pStyle w:val="null3"/>
              <w:jc w:val="both"/>
            </w:pPr>
            <w:r>
              <w:rPr>
                <w:rFonts w:ascii="仿宋_GB2312" w:hAnsi="仿宋_GB2312" w:cs="仿宋_GB2312" w:eastAsia="仿宋_GB2312"/>
                <w:sz w:val="21"/>
                <w:b/>
              </w:rPr>
              <w:t>6. 日常免费维修项目清单</w:t>
            </w:r>
          </w:p>
          <w:tbl>
            <w:tblPr>
              <w:tblBorders>
                <w:top w:val="none" w:color="000000" w:sz="4"/>
                <w:left w:val="none" w:color="000000" w:sz="4"/>
                <w:bottom w:val="none" w:color="000000" w:sz="4"/>
                <w:right w:val="none" w:color="000000" w:sz="4"/>
                <w:insideH w:val="none"/>
                <w:insideV w:val="none"/>
              </w:tblBorders>
            </w:tblPr>
            <w:tblGrid>
              <w:gridCol w:w="287"/>
              <w:gridCol w:w="432"/>
              <w:gridCol w:w="498"/>
              <w:gridCol w:w="500"/>
              <w:gridCol w:w="362"/>
              <w:gridCol w:w="466"/>
            </w:tblGrid>
            <w:tr>
              <w:tc>
                <w:tcPr>
                  <w:tcW w:type="dxa" w:w="287"/>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b/>
                    </w:rPr>
                    <w:t>项目类别</w:t>
                  </w:r>
                </w:p>
              </w:tc>
              <w:tc>
                <w:tcPr>
                  <w:tcW w:type="dxa" w:w="43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b/>
                    </w:rPr>
                    <w:t>具体维修项目</w:t>
                  </w:r>
                </w:p>
              </w:tc>
              <w:tc>
                <w:tcPr>
                  <w:tcW w:type="dxa" w:w="498"/>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b/>
                    </w:rPr>
                    <w:t>维修范围界定</w:t>
                  </w:r>
                </w:p>
              </w:tc>
              <w:tc>
                <w:tcPr>
                  <w:tcW w:type="dxa" w:w="500"/>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b/>
                    </w:rPr>
                    <w:t>维修标准</w:t>
                  </w:r>
                </w:p>
              </w:tc>
              <w:tc>
                <w:tcPr>
                  <w:tcW w:type="dxa" w:w="362"/>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b/>
                    </w:rPr>
                    <w:t>记录要求</w:t>
                  </w:r>
                </w:p>
              </w:tc>
              <w:tc>
                <w:tcPr>
                  <w:tcW w:type="dxa" w:w="466"/>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b/>
                    </w:rPr>
                    <w:t>异常处理要求</w:t>
                  </w:r>
                </w:p>
                <w:p>
                  <w:pPr>
                    <w:pStyle w:val="null3"/>
                    <w:jc w:val="center"/>
                  </w:pPr>
                  <w:r>
                    <w:rPr>
                      <w:rFonts w:ascii="仿宋_GB2312" w:hAnsi="仿宋_GB2312" w:cs="仿宋_GB2312" w:eastAsia="仿宋_GB2312"/>
                      <w:sz w:val="21"/>
                      <w:b/>
                    </w:rPr>
                    <w:t>（超出免费范围）</w:t>
                  </w:r>
                </w:p>
              </w:tc>
            </w:tr>
            <w:tr>
              <w:tc>
                <w:tcPr>
                  <w:tcW w:type="dxa" w:w="287"/>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锅炉本体附件维修</w:t>
                  </w:r>
                </w:p>
              </w:tc>
              <w:tc>
                <w:tcPr>
                  <w:tcW w:type="dxa" w:w="432"/>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人孔/手孔密封垫片更换；2. 锅炉本体压力表、温度计更换（含常规型号）；3. 锅炉排污阀阀芯、密封件更换</w:t>
                  </w:r>
                </w:p>
              </w:tc>
              <w:tc>
                <w:tcPr>
                  <w:tcW w:type="dxa" w:w="498"/>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仅含常规规格密封垫片（如耐温≤200℃、耐压≤2.5MPa）；2. 压力表量程≤4MPa、精度1.6级，温度计量程≤200℃、精度1.5级；3. 排污阀规格≤DN50</w:t>
                  </w:r>
                </w:p>
              </w:tc>
              <w:tc>
                <w:tcPr>
                  <w:tcW w:type="dxa" w:w="500"/>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更换后密封良好，无泄漏；2. 新表计量准确（若有近期检定报告优先）；3. 排污阀开关灵活，关闭后无渗漏</w:t>
                  </w:r>
                </w:p>
              </w:tc>
              <w:tc>
                <w:tcPr>
                  <w:tcW w:type="dxa" w:w="362"/>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填写《日常维修记录表》，记录维修项目、更换配件型号</w:t>
                  </w:r>
                  <w:r>
                    <w:rPr>
                      <w:rFonts w:ascii="仿宋_GB2312" w:hAnsi="仿宋_GB2312" w:cs="仿宋_GB2312" w:eastAsia="仿宋_GB2312"/>
                      <w:sz w:val="21"/>
                    </w:rPr>
                    <w:t>/规格、维修时间、测试结果</w:t>
                  </w:r>
                </w:p>
              </w:tc>
              <w:tc>
                <w:tcPr>
                  <w:tcW w:type="dxa" w:w="466"/>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若需更换特殊规格垫片（如耐温＞200℃）、高精度仪表（精度＞1.6级），需额外计费；2. 若排污阀阀体损坏（非阀芯、密封件问题），更换阀体需额外计费</w:t>
                  </w:r>
                </w:p>
              </w:tc>
            </w:tr>
            <w:tr>
              <w:tc>
                <w:tcPr>
                  <w:tcW w:type="dxa" w:w="287"/>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燃烧系统维修</w:t>
                  </w:r>
                </w:p>
              </w:tc>
              <w:tc>
                <w:tcPr>
                  <w:tcW w:type="dxa" w:w="432"/>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燃烧器火焰探测器、点火电极更换（同型号）；2. 燃气过滤器滤芯更换；3. 燃烧器小风门、小燃气阀调整</w:t>
                  </w:r>
                </w:p>
              </w:tc>
              <w:tc>
                <w:tcPr>
                  <w:tcW w:type="dxa" w:w="498"/>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仅更换与原设备同品牌、同型号的探测器、电极；2. 滤芯规格与原过滤器匹配；3. 调整范围限于常规运行参数（非拆解大修）</w:t>
                  </w:r>
                </w:p>
              </w:tc>
              <w:tc>
                <w:tcPr>
                  <w:tcW w:type="dxa" w:w="500"/>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更换后燃烧器点火正常，火焰检测无故障；2. 滤芯更换后燃气流通顺畅，无杂质；3. 调整后燃烧稳定，排烟达标（O₂3%-6%、CO≤100ppm）</w:t>
                  </w:r>
                </w:p>
              </w:tc>
              <w:tc>
                <w:tcPr>
                  <w:tcW w:type="dxa" w:w="362"/>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记录更换配件型号、调整参数、维修后燃烧测试数据</w:t>
                  </w:r>
                </w:p>
              </w:tc>
              <w:tc>
                <w:tcPr>
                  <w:tcW w:type="dxa" w:w="466"/>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若需更换不同品牌/型号配件（需适配改造），额外计费；2. 若燃烧器需拆解大修（如电机维修、阀组更换），超出免费范围，需单独报价</w:t>
                  </w:r>
                </w:p>
              </w:tc>
            </w:tr>
            <w:tr>
              <w:tc>
                <w:tcPr>
                  <w:tcW w:type="dxa" w:w="287"/>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水循环</w:t>
                  </w:r>
                  <w:r>
                    <w:rPr>
                      <w:rFonts w:ascii="仿宋_GB2312" w:hAnsi="仿宋_GB2312" w:cs="仿宋_GB2312" w:eastAsia="仿宋_GB2312"/>
                      <w:sz w:val="21"/>
                    </w:rPr>
                    <w:t>/水汽系统维修</w:t>
                  </w:r>
                </w:p>
              </w:tc>
              <w:tc>
                <w:tcPr>
                  <w:tcW w:type="dxa" w:w="432"/>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给水泵/循环泵/补水泵密封填料更换；2. 水泵轴承润滑脂补充（常规型号锂基脂）；3. 水泵进出口阀门（≤DN80）阀芯、密封件更换</w:t>
                  </w:r>
                </w:p>
              </w:tc>
              <w:tc>
                <w:tcPr>
                  <w:tcW w:type="dxa" w:w="498"/>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密封填料为常规耐水型（如芳纶填料）；2. 润滑脂为锂基脂（耐温≤120℃）；3. 阀门规格限于DN80及以下，且为常规闸阀、截止阀</w:t>
                  </w:r>
                </w:p>
              </w:tc>
              <w:tc>
                <w:tcPr>
                  <w:tcW w:type="dxa" w:w="500"/>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填料更换后渗漏量≤10滴/分钟；2. 润滑脂补充后轴承温度≤75℃；3. 阀门更换配件后开关灵活，无泄漏</w:t>
                  </w:r>
                </w:p>
              </w:tc>
              <w:tc>
                <w:tcPr>
                  <w:tcW w:type="dxa" w:w="362"/>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记录更换填料型号、润滑脂品牌、阀门规格、维修后测试数据（如轴承温度、渗漏量）</w:t>
                  </w:r>
                </w:p>
              </w:tc>
              <w:tc>
                <w:tcPr>
                  <w:tcW w:type="dxa" w:w="466"/>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若需更换特殊填料（如耐温＞120℃）、专用润滑脂，额外计费；2. 若水泵电机损坏、阀门阀体破裂，需更换电机或阀体，超出免费范围，单独报价</w:t>
                  </w:r>
                </w:p>
              </w:tc>
            </w:tr>
            <w:tr>
              <w:tc>
                <w:tcPr>
                  <w:tcW w:type="dxa" w:w="287"/>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安全附件维修</w:t>
                  </w:r>
                </w:p>
              </w:tc>
              <w:tc>
                <w:tcPr>
                  <w:tcW w:type="dxa" w:w="432"/>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安全阀手动排气阀密封件更换；2. 安全阀铅封重新紧固（非校验原因）；3. 燃气紧急切断阀电磁线圈更换（同型号）</w:t>
                  </w:r>
                </w:p>
              </w:tc>
              <w:tc>
                <w:tcPr>
                  <w:tcW w:type="dxa" w:w="498"/>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仅含排气阀常规密封件；2. 铅封损坏为意外松动（非校验到期或违规拆卸）；3. 线圈型号与原阀门匹配</w:t>
                  </w:r>
                </w:p>
              </w:tc>
              <w:tc>
                <w:tcPr>
                  <w:tcW w:type="dxa" w:w="500"/>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密封件更换后无泄漏；2. 铅封重新紧固后完好，符合特种设备要求；3. 线圈更换后阀门动作正常（触发后10秒内关闭）</w:t>
                  </w:r>
                </w:p>
              </w:tc>
              <w:tc>
                <w:tcPr>
                  <w:tcW w:type="dxa" w:w="362"/>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记录维修原因、更换配件型号、铅封编号（若有）、阀门动作测试结果</w:t>
                  </w:r>
                </w:p>
              </w:tc>
              <w:tc>
                <w:tcPr>
                  <w:tcW w:type="dxa" w:w="466"/>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若安全阀需重新校验（到期或故障），校验费用超出免费范围；2. 若紧急切断阀阀体损坏，更换阀体需额外计费</w:t>
                  </w:r>
                </w:p>
              </w:tc>
            </w:tr>
            <w:tr>
              <w:tc>
                <w:tcPr>
                  <w:tcW w:type="dxa" w:w="287"/>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电气控制系统维修</w:t>
                  </w:r>
                </w:p>
              </w:tc>
              <w:tc>
                <w:tcPr>
                  <w:tcW w:type="dxa" w:w="432"/>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控制箱内接触器、继电器辅助触点清洁；2. 线路接头重新紧固（松动导致的故障）；3. 指示灯、按钮开关更换（同规格）</w:t>
                  </w:r>
                </w:p>
              </w:tc>
              <w:tc>
                <w:tcPr>
                  <w:tcW w:type="dxa" w:w="498"/>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rFonts w:ascii="仿宋_GB2312" w:hAnsi="仿宋_GB2312" w:cs="仿宋_GB2312" w:eastAsia="仿宋_GB2312"/>
                      <w:sz w:val="21"/>
                    </w:rPr>
                    <w:t>1. 仅清洁辅助触点（非主触点烧蚀）；2. 线路松动为安装或振动导致（非线路老化）；3. 指示灯、按钮规格</w:t>
                  </w:r>
                </w:p>
              </w:tc>
              <w:tc>
                <w:tcPr>
                  <w:tcW w:type="dxa" w:w="500"/>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p>
              </w:tc>
              <w:tc>
                <w:tcPr>
                  <w:tcW w:type="dxa" w:w="362"/>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tc>
              <w:tc>
                <w:tcPr>
                  <w:tcW w:type="dxa" w:w="466"/>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tc>
            </w:tr>
          </w:tbl>
          <w:p>
            <w:pPr>
              <w:pStyle w:val="null3"/>
              <w:jc w:val="both"/>
            </w:pPr>
            <w:r>
              <w:rPr>
                <w:rFonts w:ascii="仿宋_GB2312" w:hAnsi="仿宋_GB2312" w:cs="仿宋_GB2312" w:eastAsia="仿宋_GB2312"/>
                <w:sz w:val="21"/>
                <w:b/>
                <w:shd w:fill="FFFFFF" w:val="clear"/>
              </w:rPr>
              <w:t>7.锅炉维保月度考核表</w:t>
            </w:r>
          </w:p>
          <w:p>
            <w:pPr>
              <w:pStyle w:val="null3"/>
              <w:jc w:val="both"/>
            </w:pPr>
            <w:r>
              <w:rPr>
                <w:rFonts w:ascii="仿宋_GB2312" w:hAnsi="仿宋_GB2312" w:cs="仿宋_GB2312" w:eastAsia="仿宋_GB2312"/>
                <w:sz w:val="21"/>
                <w:b/>
                <w:shd w:fill="FFFFFF" w:val="clear"/>
              </w:rPr>
              <w:t>考核周期：</w:t>
            </w:r>
            <w:r>
              <w:rPr>
                <w:rFonts w:ascii="仿宋_GB2312" w:hAnsi="仿宋_GB2312" w:cs="仿宋_GB2312" w:eastAsia="仿宋_GB2312"/>
                <w:sz w:val="21"/>
                <w:b/>
                <w:shd w:fill="FFFFFF" w:val="clear"/>
              </w:rPr>
              <w:t>______年_______月</w:t>
            </w:r>
            <w:r>
              <w:br/>
            </w:r>
            <w:r>
              <w:rPr>
                <w:rFonts w:ascii="仿宋_GB2312" w:hAnsi="仿宋_GB2312" w:cs="仿宋_GB2312" w:eastAsia="仿宋_GB2312"/>
                <w:sz w:val="21"/>
                <w:b/>
                <w:shd w:fill="FFFFFF" w:val="clear"/>
              </w:rPr>
              <w:t>被考核单位：</w:t>
            </w:r>
          </w:p>
          <w:tbl>
            <w:tblPr>
              <w:tblBorders>
                <w:top w:val="none" w:color="000000" w:sz="4"/>
                <w:left w:val="none" w:color="000000" w:sz="4"/>
                <w:bottom w:val="none" w:color="000000" w:sz="4"/>
                <w:right w:val="none" w:color="000000" w:sz="4"/>
                <w:insideH w:val="none"/>
                <w:insideV w:val="none"/>
              </w:tblBorders>
            </w:tblPr>
            <w:tblGrid>
              <w:gridCol w:w="108"/>
              <w:gridCol w:w="273"/>
              <w:gridCol w:w="773"/>
              <w:gridCol w:w="183"/>
              <w:gridCol w:w="814"/>
              <w:gridCol w:w="137"/>
              <w:gridCol w:w="254"/>
            </w:tblGrid>
            <w:tr>
              <w:tc>
                <w:tcPr>
                  <w:tcW w:type="dxa" w:w="1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考核项目</w:t>
                  </w:r>
                </w:p>
              </w:tc>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考核内容与标准</w:t>
                  </w:r>
                </w:p>
              </w:tc>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分值</w:t>
                  </w:r>
                </w:p>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100分）</w:t>
                  </w:r>
                </w:p>
              </w:tc>
              <w:tc>
                <w:tcPr>
                  <w:tcW w:type="dxa" w:w="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评分细则</w:t>
                  </w:r>
                </w:p>
              </w:tc>
              <w:tc>
                <w:tcPr>
                  <w:tcW w:type="dxa" w:w="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实际得分</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扣分原因及事实描述</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243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日常巡检与预防性保养</w:t>
                  </w:r>
                  <w:r>
                    <w:rPr>
                      <w:rFonts w:ascii="仿宋_GB2312" w:hAnsi="仿宋_GB2312" w:cs="仿宋_GB2312" w:eastAsia="仿宋_GB2312"/>
                      <w:sz w:val="21"/>
                      <w:b/>
                    </w:rPr>
                    <w:t>(33分)</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巡检计划与执行</w:t>
                  </w:r>
                </w:p>
              </w:tc>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严格按照合同约定频次（如每日</w:t>
                  </w:r>
                  <w:r>
                    <w:rPr>
                      <w:rFonts w:ascii="仿宋_GB2312" w:hAnsi="仿宋_GB2312" w:cs="仿宋_GB2312" w:eastAsia="仿宋_GB2312"/>
                      <w:sz w:val="21"/>
                    </w:rPr>
                    <w:t>/每周/每月）对锅炉设备进行巡检，并有详细巡检记录。</w:t>
                  </w:r>
                </w:p>
              </w:tc>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巡检记录完整、规范，无遗漏，得</w:t>
                  </w:r>
                  <w:r>
                    <w:rPr>
                      <w:rFonts w:ascii="仿宋_GB2312" w:hAnsi="仿宋_GB2312" w:cs="仿宋_GB2312" w:eastAsia="仿宋_GB2312"/>
                      <w:sz w:val="21"/>
                    </w:rPr>
                    <w:t>10分。每少一次巡检或记录不完整/不规范，扣2分，扣完为止。</w:t>
                  </w:r>
                </w:p>
              </w:tc>
              <w:tc>
                <w:tcPr>
                  <w:tcW w:type="dxa" w:w="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设备运行状态</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巡检时准确判断设备运行状态，及时发现潜在问题并记录上报。</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设备运行参数在正常范围，潜在问题及时发现并上报，得</w:t>
                  </w:r>
                  <w:r>
                    <w:rPr>
                      <w:rFonts w:ascii="仿宋_GB2312" w:hAnsi="仿宋_GB2312" w:cs="仿宋_GB2312" w:eastAsia="仿宋_GB2312"/>
                      <w:sz w:val="21"/>
                    </w:rPr>
                    <w:t>8分。发现一处设备异常未及时上报或判断失误，扣2分，扣完为止。</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预防性保养实施</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严格按照合同约定的保养周期和项目进行预防性保养，并有保养记录和相关凭证。</w:t>
                  </w:r>
                </w:p>
              </w:tc>
              <w:tc>
                <w:tcPr>
                  <w:tcW w:type="dxa" w:w="1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8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保养项目齐全、到位，记录清晰，得</w:t>
                  </w:r>
                  <w:r>
                    <w:rPr>
                      <w:rFonts w:ascii="仿宋_GB2312" w:hAnsi="仿宋_GB2312" w:cs="仿宋_GB2312" w:eastAsia="仿宋_GB2312"/>
                      <w:sz w:val="21"/>
                    </w:rPr>
                    <w:t>10分。每遗漏一项保养或保养不到位，扣2分；记录不规范，扣1分/项，扣完为止。</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清洁与环境</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维保工作区域及设备表面清洁，工具材料摆放有序，无遗留垃圾。</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工作区域及设备清洁，工具材料整理到位，得</w:t>
                  </w:r>
                  <w:r>
                    <w:rPr>
                      <w:rFonts w:ascii="仿宋_GB2312" w:hAnsi="仿宋_GB2312" w:cs="仿宋_GB2312" w:eastAsia="仿宋_GB2312"/>
                      <w:sz w:val="21"/>
                    </w:rPr>
                    <w:t>5分。发现一处不清洁或工具材料乱放，扣1分，扣完为止。</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243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故障维修与应急处理</w:t>
                  </w:r>
                  <w:r>
                    <w:rPr>
                      <w:rFonts w:ascii="仿宋_GB2312" w:hAnsi="仿宋_GB2312" w:cs="仿宋_GB2312" w:eastAsia="仿宋_GB2312"/>
                      <w:sz w:val="21"/>
                      <w:b/>
                    </w:rPr>
                    <w:t>(30分)</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响应时间</w:t>
                  </w:r>
                </w:p>
              </w:tc>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接到故障报修后，按合同约定时间（</w:t>
                  </w:r>
                  <w:r>
                    <w:rPr>
                      <w:rFonts w:ascii="仿宋_GB2312" w:hAnsi="仿宋_GB2312" w:cs="仿宋_GB2312" w:eastAsia="仿宋_GB2312"/>
                      <w:sz w:val="21"/>
                    </w:rPr>
                    <w:t>5分钟内1小时响应，10小时内到达现场）到达现场处理。</w:t>
                  </w:r>
                </w:p>
              </w:tc>
              <w:tc>
                <w:tcPr>
                  <w:tcW w:type="dxa" w:w="18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81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100%按约定时间响应并到达，得10分。每延迟1小时（不足1小时按1小时计），扣1分，扣完为止。</w:t>
                  </w:r>
                </w:p>
              </w:tc>
              <w:tc>
                <w:tcPr>
                  <w:tcW w:type="dxa" w:w="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维修及时性</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一般故障在合同约定时间内（</w:t>
                  </w:r>
                  <w:r>
                    <w:rPr>
                      <w:rFonts w:ascii="仿宋_GB2312" w:hAnsi="仿宋_GB2312" w:cs="仿宋_GB2312" w:eastAsia="仿宋_GB2312"/>
                      <w:sz w:val="21"/>
                    </w:rPr>
                    <w:t>1小时）修复；重大故障提供书面方案并按方案时间修复或采取临时措施。</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一般故障按时修复，重大故障及时处理，得</w:t>
                  </w:r>
                  <w:r>
                    <w:rPr>
                      <w:rFonts w:ascii="仿宋_GB2312" w:hAnsi="仿宋_GB2312" w:cs="仿宋_GB2312" w:eastAsia="仿宋_GB2312"/>
                      <w:sz w:val="21"/>
                    </w:rPr>
                    <w:t>10分。一般故障每超期1小时，扣2分；重大故障未及时提供方案或未按方案执行，扣5分/次，扣完为止。</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维修质量</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故障修复彻底，短期内无重复发生；更换配件为原厂或同等质量合格产品，并有更换记录。</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故障彻底修复，无重复发生，配件合格，记录完整，得</w:t>
                  </w:r>
                  <w:r>
                    <w:rPr>
                      <w:rFonts w:ascii="仿宋_GB2312" w:hAnsi="仿宋_GB2312" w:cs="仿宋_GB2312" w:eastAsia="仿宋_GB2312"/>
                      <w:sz w:val="21"/>
                    </w:rPr>
                    <w:t>10分。同一故障一月内重复发生，扣5分/次；使用不合格配件，扣10分/次。</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应急处理能力</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接到紧急故障（如大面积停机、影响重要区域等）后，按合同约定最快时间到达并组织抢修，有应急方案并演练。</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应急响应迅速，处理得当，有效降低影响，得</w:t>
                  </w:r>
                  <w:r>
                    <w:rPr>
                      <w:rFonts w:ascii="仿宋_GB2312" w:hAnsi="仿宋_GB2312" w:cs="仿宋_GB2312" w:eastAsia="仿宋_GB2312"/>
                      <w:sz w:val="21"/>
                    </w:rPr>
                    <w:t>5分。响应迟缓或处理不当造成不良影响，扣3-5分。</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243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人员与管理</w:t>
                  </w:r>
                  <w:r>
                    <w:rPr>
                      <w:rFonts w:ascii="仿宋_GB2312" w:hAnsi="仿宋_GB2312" w:cs="仿宋_GB2312" w:eastAsia="仿宋_GB2312"/>
                      <w:sz w:val="21"/>
                      <w:b/>
                    </w:rPr>
                    <w:t>(18分)</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2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项目经理与培训</w:t>
                  </w:r>
                </w:p>
              </w:tc>
              <w:tc>
                <w:tcPr>
                  <w:tcW w:type="dxa" w:w="77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项目经理每周在岗时间不少于</w:t>
                  </w:r>
                  <w:r>
                    <w:rPr>
                      <w:rFonts w:ascii="仿宋_GB2312" w:hAnsi="仿宋_GB2312" w:cs="仿宋_GB2312" w:eastAsia="仿宋_GB2312"/>
                      <w:sz w:val="21"/>
                    </w:rPr>
                    <w:t>40小时。驻守人员着装统一规范，佩戴工牌；定期进行专业技能和医院相关规章制度培训。</w:t>
                  </w:r>
                </w:p>
              </w:tc>
              <w:tc>
                <w:tcPr>
                  <w:tcW w:type="dxa" w:w="18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81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项目经理每周在岗时间不少于</w:t>
                  </w:r>
                  <w:r>
                    <w:rPr>
                      <w:rFonts w:ascii="仿宋_GB2312" w:hAnsi="仿宋_GB2312" w:cs="仿宋_GB2312" w:eastAsia="仿宋_GB2312"/>
                      <w:sz w:val="21"/>
                    </w:rPr>
                    <w:t>40小时，得2分，少于40小时扣2分。人员资质符合要求，着装规范，得3分。发现无证上岗或着装不规范，扣1分/人；未提供培训记录，扣3分。</w:t>
                  </w:r>
                </w:p>
              </w:tc>
              <w:tc>
                <w:tcPr>
                  <w:tcW w:type="dxa" w:w="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安全操作</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严格遵守医院安全管理规定及操作规程，无安全事故发生（如触电、火灾、设备损坏等）。</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无安全事故，操作规范，得</w:t>
                  </w:r>
                  <w:r>
                    <w:rPr>
                      <w:rFonts w:ascii="仿宋_GB2312" w:hAnsi="仿宋_GB2312" w:cs="仿宋_GB2312" w:eastAsia="仿宋_GB2312"/>
                      <w:sz w:val="21"/>
                    </w:rPr>
                    <w:t>5分。发生一般安全隐患未造成损失，扣2分；发生安全事故，视情节扣5-10分，并追究相关责任。</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资料记录与提交</w:t>
                  </w: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按时提交月度维保总结报告、设备运行状况分析、耗材更换计划、维修记录等资料，内容真实、准确、完整。</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资料提交及时、完整、准确，得</w:t>
                  </w:r>
                  <w:r>
                    <w:rPr>
                      <w:rFonts w:ascii="仿宋_GB2312" w:hAnsi="仿宋_GB2312" w:cs="仿宋_GB2312" w:eastAsia="仿宋_GB2312"/>
                      <w:sz w:val="21"/>
                    </w:rPr>
                    <w:t>5分。每迟交1天扣1分；内容不完整或不准确，每项扣1分，扣完为止。</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2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备品备件管理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常用备品备件储备充足，能满足维修需求；更换下的废旧物料按医院规定处理。</w:t>
                  </w:r>
                </w:p>
              </w:tc>
              <w:tc>
                <w:tcPr>
                  <w:tcW w:type="dxa" w:w="1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8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备件充足，废旧物料处理规范，得</w:t>
                  </w:r>
                  <w:r>
                    <w:rPr>
                      <w:rFonts w:ascii="仿宋_GB2312" w:hAnsi="仿宋_GB2312" w:cs="仿宋_GB2312" w:eastAsia="仿宋_GB2312"/>
                      <w:sz w:val="21"/>
                    </w:rPr>
                    <w:t>3分。因备件不足导致维修延误，扣1分/次；废旧物料处理不当，扣1分/次。</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434"/>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服务质量与沟通</w:t>
                  </w:r>
                  <w:r>
                    <w:rPr>
                      <w:rFonts w:ascii="仿宋_GB2312" w:hAnsi="仿宋_GB2312" w:cs="仿宋_GB2312" w:eastAsia="仿宋_GB2312"/>
                      <w:sz w:val="21"/>
                    </w:rPr>
                    <w:t>(19分)</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4.1</w:t>
                  </w:r>
                </w:p>
              </w:tc>
              <w:tc>
                <w:tcPr>
                  <w:tcW w:type="dxa" w:w="2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服务态度</w:t>
                  </w:r>
                </w:p>
              </w:tc>
              <w:tc>
                <w:tcPr>
                  <w:tcW w:type="dxa" w:w="77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服务热情、主动，耐心解答疑问，虚心接受意见。</w:t>
                  </w:r>
                </w:p>
              </w:tc>
              <w:tc>
                <w:tcPr>
                  <w:tcW w:type="dxa" w:w="18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81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服务态度好，医患及院内科室反映良好，得</w:t>
                  </w:r>
                  <w:r>
                    <w:rPr>
                      <w:rFonts w:ascii="仿宋_GB2312" w:hAnsi="仿宋_GB2312" w:cs="仿宋_GB2312" w:eastAsia="仿宋_GB2312"/>
                      <w:sz w:val="21"/>
                    </w:rPr>
                    <w:t>3分。接到有效投诉一次，扣1-3分。</w:t>
                  </w:r>
                </w:p>
              </w:tc>
              <w:tc>
                <w:tcPr>
                  <w:tcW w:type="dxa" w:w="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4.2</w:t>
                  </w:r>
                </w:p>
              </w:tc>
              <w:tc>
                <w:tcPr>
                  <w:tcW w:type="dxa" w:w="2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沟通协调</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与医院后勤管理部门及使用科室保持良好沟通，重要事项及时汇报，积极配合医院工作安排。</w:t>
                  </w:r>
                </w:p>
              </w:tc>
              <w:tc>
                <w:tcPr>
                  <w:tcW w:type="dxa" w:w="1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8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沟通顺畅，配合积极，得</w:t>
                  </w:r>
                  <w:r>
                    <w:rPr>
                      <w:rFonts w:ascii="仿宋_GB2312" w:hAnsi="仿宋_GB2312" w:cs="仿宋_GB2312" w:eastAsia="仿宋_GB2312"/>
                      <w:sz w:val="21"/>
                    </w:rPr>
                    <w:t>3分。重要事项未及时汇报或配合不力，扣1-3分。</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4.3</w:t>
                  </w:r>
                </w:p>
              </w:tc>
              <w:tc>
                <w:tcPr>
                  <w:tcW w:type="dxa" w:w="2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投诉处理</w:t>
                  </w:r>
                </w:p>
              </w:tc>
              <w:tc>
                <w:tcPr>
                  <w:tcW w:type="dxa" w:w="7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对医院提出的投诉或异议，能及时响应并妥善处理。</w:t>
                  </w:r>
                </w:p>
              </w:tc>
              <w:tc>
                <w:tcPr>
                  <w:tcW w:type="dxa" w:w="1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8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投诉处理及时、满意，得</w:t>
                  </w:r>
                  <w:r>
                    <w:rPr>
                      <w:rFonts w:ascii="仿宋_GB2312" w:hAnsi="仿宋_GB2312" w:cs="仿宋_GB2312" w:eastAsia="仿宋_GB2312"/>
                      <w:sz w:val="21"/>
                    </w:rPr>
                    <w:t>3分。投诉处理不及时或处理结果不满意，扣1-3分。</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542"/>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shd w:fill="FFFFFF" w:val="clear"/>
                    </w:rPr>
                    <w:t>注：</w:t>
                  </w:r>
                </w:p>
                <w:p>
                  <w:pPr>
                    <w:pStyle w:val="null3"/>
                    <w:spacing w:after="105"/>
                    <w:ind w:firstLine="210"/>
                    <w:jc w:val="both"/>
                  </w:pPr>
                  <w:r>
                    <w:rPr>
                      <w:rFonts w:ascii="仿宋_GB2312" w:hAnsi="仿宋_GB2312" w:cs="仿宋_GB2312" w:eastAsia="仿宋_GB2312"/>
                      <w:sz w:val="21"/>
                    </w:rPr>
                    <w:t>1.本考核表将作为月度服务费用支付、合同续签及年度评价的重要依据。</w:t>
                  </w:r>
                </w:p>
                <w:p>
                  <w:pPr>
                    <w:pStyle w:val="null3"/>
                    <w:spacing w:after="105"/>
                    <w:ind w:firstLine="210"/>
                    <w:jc w:val="both"/>
                  </w:pPr>
                  <w:r>
                    <w:rPr>
                      <w:rFonts w:ascii="仿宋_GB2312" w:hAnsi="仿宋_GB2312" w:cs="仿宋_GB2312" w:eastAsia="仿宋_GB2312"/>
                      <w:sz w:val="21"/>
                    </w:rPr>
                    <w:t>2.“扣分原因及事实描述”栏应具体、客观，必要时可附照片、记录等佐证材料。</w:t>
                  </w:r>
                </w:p>
                <w:p>
                  <w:pPr>
                    <w:pStyle w:val="null3"/>
                    <w:spacing w:after="105"/>
                    <w:ind w:firstLine="210"/>
                    <w:jc w:val="both"/>
                  </w:pPr>
                  <w:r>
                    <w:rPr>
                      <w:rFonts w:ascii="仿宋_GB2312" w:hAnsi="仿宋_GB2312" w:cs="仿宋_GB2312" w:eastAsia="仿宋_GB2312"/>
                      <w:sz w:val="21"/>
                    </w:rPr>
                    <w:t>3.对于严重违反合同约定或造成重大损失的情况，除扣分外，医院有权依据“3.3.6违约责任及解决争议的方法”采取进一步措施</w:t>
                  </w:r>
                  <w:r>
                    <w:rPr>
                      <w:rFonts w:ascii="仿宋_GB2312" w:hAnsi="仿宋_GB2312" w:cs="仿宋_GB2312" w:eastAsia="仿宋_GB2312"/>
                      <w:sz w:val="21"/>
                    </w:rPr>
                    <w:t>。</w:t>
                  </w:r>
                </w:p>
                <w:p>
                  <w:pPr>
                    <w:pStyle w:val="null3"/>
                    <w:spacing w:after="105"/>
                    <w:ind w:firstLine="210"/>
                    <w:jc w:val="both"/>
                  </w:pPr>
                  <w:r>
                    <w:rPr>
                      <w:rFonts w:ascii="仿宋_GB2312" w:hAnsi="仿宋_GB2312" w:cs="仿宋_GB2312" w:eastAsia="仿宋_GB2312"/>
                      <w:sz w:val="21"/>
                    </w:rPr>
                    <w:t>4.两个院区，可分别打分后取平均值或按权重综合。</w:t>
                  </w:r>
                </w:p>
                <w:p>
                  <w:pPr>
                    <w:pStyle w:val="null3"/>
                    <w:spacing w:after="105"/>
                    <w:jc w:val="both"/>
                  </w:pPr>
                  <w:r>
                    <w:rPr>
                      <w:rFonts w:ascii="仿宋_GB2312" w:hAnsi="仿宋_GB2312" w:cs="仿宋_GB2312" w:eastAsia="仿宋_GB2312"/>
                      <w:sz w:val="21"/>
                    </w:rPr>
                    <w:t>考核</w:t>
                  </w:r>
                  <w:r>
                    <w:rPr>
                      <w:rFonts w:ascii="仿宋_GB2312" w:hAnsi="仿宋_GB2312" w:cs="仿宋_GB2312" w:eastAsia="仿宋_GB2312"/>
                      <w:sz w:val="21"/>
                    </w:rPr>
                    <w:t>结果应用：</w:t>
                  </w:r>
                </w:p>
                <w:p>
                  <w:pPr>
                    <w:pStyle w:val="null3"/>
                    <w:spacing w:after="105"/>
                    <w:ind w:firstLine="420"/>
                    <w:jc w:val="both"/>
                  </w:pPr>
                  <w:r>
                    <w:rPr>
                      <w:rFonts w:ascii="仿宋_GB2312" w:hAnsi="仿宋_GB2312" w:cs="仿宋_GB2312" w:eastAsia="仿宋_GB2312"/>
                      <w:sz w:val="21"/>
                    </w:rPr>
                    <w:t>95-100分：付</w:t>
                  </w:r>
                  <w:r>
                    <w:rPr>
                      <w:rFonts w:ascii="仿宋_GB2312" w:hAnsi="仿宋_GB2312" w:cs="仿宋_GB2312" w:eastAsia="仿宋_GB2312"/>
                      <w:sz w:val="21"/>
                    </w:rPr>
                    <w:t>当月服务费</w:t>
                  </w:r>
                  <w:r>
                    <w:rPr>
                      <w:rFonts w:ascii="仿宋_GB2312" w:hAnsi="仿宋_GB2312" w:cs="仿宋_GB2312" w:eastAsia="仿宋_GB2312"/>
                      <w:sz w:val="21"/>
                    </w:rPr>
                    <w:t>100％，；</w:t>
                  </w:r>
                </w:p>
                <w:p>
                  <w:pPr>
                    <w:pStyle w:val="null3"/>
                    <w:spacing w:after="105"/>
                    <w:ind w:firstLine="420"/>
                    <w:jc w:val="both"/>
                  </w:pPr>
                  <w:r>
                    <w:rPr>
                      <w:rFonts w:ascii="仿宋_GB2312" w:hAnsi="仿宋_GB2312" w:cs="仿宋_GB2312" w:eastAsia="仿宋_GB2312"/>
                      <w:sz w:val="21"/>
                    </w:rPr>
                    <w:t>94分（含）及以下：每低1分，按当月服务费扣除0.5％，并限期整改；</w:t>
                  </w:r>
                </w:p>
                <w:p>
                  <w:pPr>
                    <w:pStyle w:val="null3"/>
                    <w:spacing w:after="105"/>
                    <w:ind w:firstLine="420"/>
                    <w:jc w:val="both"/>
                  </w:pPr>
                  <w:r>
                    <w:rPr>
                      <w:rFonts w:ascii="仿宋_GB2312" w:hAnsi="仿宋_GB2312" w:cs="仿宋_GB2312" w:eastAsia="仿宋_GB2312"/>
                      <w:sz w:val="21"/>
                    </w:rPr>
                    <w:t>85-70分：每低1分，按当月服务费扣除0.5％，约谈</w:t>
                  </w:r>
                  <w:r>
                    <w:rPr>
                      <w:rFonts w:ascii="仿宋_GB2312" w:hAnsi="仿宋_GB2312" w:cs="仿宋_GB2312" w:eastAsia="仿宋_GB2312"/>
                      <w:sz w:val="21"/>
                    </w:rPr>
                    <w:t>服务单位</w:t>
                  </w:r>
                  <w:r>
                    <w:rPr>
                      <w:rFonts w:ascii="仿宋_GB2312" w:hAnsi="仿宋_GB2312" w:cs="仿宋_GB2312" w:eastAsia="仿宋_GB2312"/>
                      <w:sz w:val="21"/>
                    </w:rPr>
                    <w:t>负责人；</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70分：暂停付款，启动合同终止流程。</w:t>
                  </w:r>
                </w:p>
              </w:tc>
            </w:tr>
          </w:tbl>
          <w:p>
            <w:pPr>
              <w:pStyle w:val="null3"/>
              <w:jc w:val="both"/>
            </w:pPr>
            <w:r>
              <w:rPr>
                <w:rFonts w:ascii="仿宋_GB2312" w:hAnsi="仿宋_GB2312" w:cs="仿宋_GB2312" w:eastAsia="仿宋_GB2312"/>
              </w:rPr>
              <w:t xml:space="preserve"> </w:t>
            </w:r>
          </w:p>
          <w:p>
            <w:pPr>
              <w:pStyle w:val="null3"/>
            </w:pPr>
            <w:r>
              <w:rPr>
                <w:rFonts w:ascii="仿宋_GB2312" w:hAnsi="仿宋_GB2312" w:cs="仿宋_GB2312" w:eastAsia="仿宋_GB2312"/>
                <w:sz w:val="28"/>
                <w:b/>
              </w:rPr>
              <w:t>3.2.3人员配置要求</w:t>
            </w:r>
          </w:p>
          <w:p>
            <w:pPr>
              <w:pStyle w:val="null3"/>
              <w:jc w:val="both"/>
            </w:pPr>
            <w:r>
              <w:rPr>
                <w:rFonts w:ascii="仿宋_GB2312" w:hAnsi="仿宋_GB2312" w:cs="仿宋_GB2312" w:eastAsia="仿宋_GB2312"/>
              </w:rPr>
              <w:t>项目人员组成:年龄不超60周岁。</w:t>
            </w:r>
            <w:r>
              <w:br/>
            </w:r>
            <w:r>
              <w:rPr>
                <w:rFonts w:ascii="仿宋_GB2312" w:hAnsi="仿宋_GB2312" w:cs="仿宋_GB2312" w:eastAsia="仿宋_GB2312"/>
              </w:rPr>
              <w:t xml:space="preserve"> 基础能力：能看懂锅炉操作图纸、仪表数据，熟练使用操作设备。</w:t>
            </w:r>
            <w:r>
              <w:br/>
            </w:r>
            <w:r>
              <w:rPr>
                <w:rFonts w:ascii="仿宋_GB2312" w:hAnsi="仿宋_GB2312" w:cs="仿宋_GB2312" w:eastAsia="仿宋_GB2312"/>
              </w:rPr>
              <w:t xml:space="preserve"> 实操能力：掌握锅炉点火、升压、运行调节、排污、停炉等全流程操作，能判断并处理轻微故障（如压力异常、水位波动）</w:t>
            </w:r>
            <w:r>
              <w:br/>
            </w:r>
            <w:r>
              <w:rPr>
                <w:rFonts w:ascii="仿宋_GB2312" w:hAnsi="仿宋_GB2312" w:cs="仿宋_GB2312" w:eastAsia="仿宋_GB2312"/>
              </w:rPr>
              <w:t xml:space="preserve">       安全意识：严格遵守安全规程，熟悉消防、应急处置流程（如安全阀失效、缺水/满水事故处理）。需备具有工业锅炉司炉或电站锅炉司炉证书，至少配备电工和水工各1名，共8人提供驻场服务。其中曲江院区6人，社会路2人，社会路驻场要求为供暖季驻场，曲江院区驻场为整个合同服务期。</w:t>
            </w:r>
          </w:p>
          <w:p>
            <w:pPr>
              <w:pStyle w:val="null3"/>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w:t>
            </w:r>
            <w:r>
              <w:rPr>
                <w:rFonts w:ascii="仿宋_GB2312" w:hAnsi="仿宋_GB2312" w:cs="仿宋_GB2312" w:eastAsia="仿宋_GB2312"/>
              </w:rPr>
              <w:t>1：采购需求服务要求。满足采购需求。</w:t>
            </w:r>
            <w:r>
              <w:br/>
            </w: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w:t>
            </w:r>
            <w:r>
              <w:rPr>
                <w:rFonts w:ascii="仿宋_GB2312" w:hAnsi="仿宋_GB2312" w:cs="仿宋_GB2312" w:eastAsia="仿宋_GB2312"/>
              </w:rPr>
              <w:t xml:space="preserve">1： </w:t>
            </w:r>
            <w:r>
              <w:br/>
            </w:r>
            <w:r>
              <w:rPr>
                <w:rFonts w:ascii="仿宋_GB2312" w:hAnsi="仿宋_GB2312" w:cs="仿宋_GB2312" w:eastAsia="仿宋_GB2312"/>
              </w:rPr>
              <w:t>采购包</w:t>
            </w:r>
            <w:r>
              <w:rPr>
                <w:rFonts w:ascii="仿宋_GB2312" w:hAnsi="仿宋_GB2312" w:cs="仿宋_GB2312" w:eastAsia="仿宋_GB2312"/>
              </w:rPr>
              <w:t>1：</w:t>
            </w:r>
          </w:p>
          <w:p>
            <w:pPr>
              <w:pStyle w:val="null3"/>
            </w:pPr>
            <w:r>
              <w:rPr>
                <w:rFonts w:ascii="仿宋_GB2312" w:hAnsi="仿宋_GB2312" w:cs="仿宋_GB2312" w:eastAsia="仿宋_GB2312"/>
              </w:rPr>
              <w:t>本项目统一组织踏勘，踏勘时间为：</w:t>
            </w:r>
            <w:r>
              <w:rPr>
                <w:rFonts w:ascii="仿宋_GB2312" w:hAnsi="仿宋_GB2312" w:cs="仿宋_GB2312" w:eastAsia="仿宋_GB2312"/>
              </w:rPr>
              <w:t>2025-10-20 09:00:00</w:t>
            </w:r>
          </w:p>
          <w:p>
            <w:pPr>
              <w:pStyle w:val="null3"/>
            </w:pPr>
            <w:r>
              <w:rPr>
                <w:rFonts w:ascii="仿宋_GB2312" w:hAnsi="仿宋_GB2312" w:cs="仿宋_GB2312" w:eastAsia="仿宋_GB2312"/>
              </w:rPr>
              <w:t>联系人：安老师</w:t>
            </w:r>
          </w:p>
          <w:p>
            <w:pPr>
              <w:pStyle w:val="null3"/>
            </w:pPr>
            <w:r>
              <w:rPr>
                <w:rFonts w:ascii="仿宋_GB2312" w:hAnsi="仿宋_GB2312" w:cs="仿宋_GB2312" w:eastAsia="仿宋_GB2312"/>
              </w:rPr>
              <w:t>联系电话：</w:t>
            </w:r>
            <w:r>
              <w:rPr>
                <w:rFonts w:ascii="仿宋_GB2312" w:hAnsi="仿宋_GB2312" w:cs="仿宋_GB2312" w:eastAsia="仿宋_GB2312"/>
              </w:rPr>
              <w:t>13689196168</w:t>
            </w:r>
          </w:p>
          <w:p>
            <w:pPr>
              <w:pStyle w:val="null3"/>
            </w:pPr>
            <w:r>
              <w:rPr>
                <w:rFonts w:ascii="仿宋_GB2312" w:hAnsi="仿宋_GB2312" w:cs="仿宋_GB2312" w:eastAsia="仿宋_GB2312"/>
              </w:rPr>
              <w:t>（注：供应商可根据自身情况自行决定踏勘需求。踏勘所产生的一切责任由供应商自行承担，踏勘产生的相关费用及安全由供应商自行承担。凡因对项目实施现场踏勘不充分等了解不清而造成的后果和风险，或因供应商对磋商文件阅读疏忽或误解，均由供应商自行负责。）</w:t>
            </w:r>
          </w:p>
          <w:p>
            <w:pPr>
              <w:pStyle w:val="null3"/>
            </w:pPr>
            <w:r>
              <w:rPr>
                <w:rFonts w:ascii="仿宋_GB2312" w:hAnsi="仿宋_GB2312" w:cs="仿宋_GB2312" w:eastAsia="仿宋_GB2312"/>
                <w:sz w:val="28"/>
                <w:b/>
              </w:rPr>
              <w:t>3.3商务要求</w:t>
            </w:r>
          </w:p>
          <w:p>
            <w:pPr>
              <w:pStyle w:val="nul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w:t>
            </w:r>
            <w:r>
              <w:rPr>
                <w:rFonts w:ascii="仿宋_GB2312" w:hAnsi="仿宋_GB2312" w:cs="仿宋_GB2312" w:eastAsia="仿宋_GB2312"/>
              </w:rPr>
              <w:t>1：</w:t>
            </w:r>
          </w:p>
          <w:p>
            <w:pPr>
              <w:pStyle w:val="null3"/>
            </w:pPr>
            <w:r>
              <w:rPr>
                <w:rFonts w:ascii="仿宋_GB2312" w:hAnsi="仿宋_GB2312" w:cs="仿宋_GB2312" w:eastAsia="仿宋_GB2312"/>
              </w:rPr>
              <w:t>本项目服务期限为一年，计划服务期为三年。合同一年一签，采购人依据考核结果决定是否续签下一年服务合同，最多续签两次。</w:t>
            </w:r>
          </w:p>
          <w:p>
            <w:pPr>
              <w:pStyle w:val="nul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w:t>
            </w:r>
            <w:r>
              <w:rPr>
                <w:rFonts w:ascii="仿宋_GB2312" w:hAnsi="仿宋_GB2312" w:cs="仿宋_GB2312" w:eastAsia="仿宋_GB2312"/>
              </w:rPr>
              <w:t>1：</w:t>
            </w:r>
          </w:p>
          <w:p>
            <w:pPr>
              <w:pStyle w:val="null3"/>
            </w:pPr>
            <w:r>
              <w:rPr>
                <w:rFonts w:ascii="仿宋_GB2312" w:hAnsi="仿宋_GB2312" w:cs="仿宋_GB2312" w:eastAsia="仿宋_GB2312"/>
              </w:rPr>
              <w:t>西北妇女儿童医院曲江院区和后宰门院区、社会路家属院</w:t>
            </w:r>
          </w:p>
          <w:p>
            <w:pPr>
              <w:pStyle w:val="nul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w:t>
            </w:r>
            <w:r>
              <w:rPr>
                <w:rFonts w:ascii="仿宋_GB2312" w:hAnsi="仿宋_GB2312" w:cs="仿宋_GB2312" w:eastAsia="仿宋_GB2312"/>
              </w:rPr>
              <w:t>1：</w:t>
            </w:r>
          </w:p>
          <w:p>
            <w:pPr>
              <w:pStyle w:val="null3"/>
            </w:pPr>
            <w:r>
              <w:rPr>
                <w:rFonts w:ascii="仿宋_GB2312" w:hAnsi="仿宋_GB2312" w:cs="仿宋_GB2312" w:eastAsia="仿宋_GB2312"/>
              </w:rPr>
              <w:t>每月根据《考核标准》打分，以百分制计算。最终考核结果的等次划分为：</w:t>
            </w:r>
            <w:r>
              <w:rPr>
                <w:rFonts w:ascii="仿宋_GB2312" w:hAnsi="仿宋_GB2312" w:cs="仿宋_GB2312" w:eastAsia="仿宋_GB2312"/>
              </w:rPr>
              <w:t>95-100分：付当月服务费100％，；94分（含）及以下：每低1分，按当月服务费扣除0.5％，并限期整改；85-70分：每低1分，按当月服务费扣除0.5％，约谈服务单位负责人；＜70分：暂停付款，启动合同终止流程。</w:t>
            </w:r>
            <w:r>
              <w:rPr>
                <w:rFonts w:ascii="仿宋_GB2312" w:hAnsi="仿宋_GB2312" w:cs="仿宋_GB2312" w:eastAsia="仿宋_GB2312"/>
              </w:rPr>
              <w:t>后附月考核表。</w:t>
            </w:r>
          </w:p>
          <w:p>
            <w:pPr>
              <w:pStyle w:val="nul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w:t>
            </w:r>
            <w:r>
              <w:rPr>
                <w:rFonts w:ascii="仿宋_GB2312" w:hAnsi="仿宋_GB2312" w:cs="仿宋_GB2312" w:eastAsia="仿宋_GB2312"/>
              </w:rPr>
              <w:t>1：</w:t>
            </w:r>
          </w:p>
          <w:p>
            <w:pPr>
              <w:pStyle w:val="null3"/>
            </w:pPr>
            <w:r>
              <w:rPr>
                <w:rFonts w:ascii="仿宋_GB2312" w:hAnsi="仿宋_GB2312" w:cs="仿宋_GB2312" w:eastAsia="仿宋_GB2312"/>
              </w:rPr>
              <w:t>按月支付</w:t>
            </w:r>
          </w:p>
          <w:p>
            <w:pPr>
              <w:pStyle w:val="null3"/>
            </w:pPr>
            <w:r>
              <w:rPr>
                <w:rFonts w:ascii="仿宋_GB2312" w:hAnsi="仿宋_GB2312" w:cs="仿宋_GB2312" w:eastAsia="仿宋_GB2312"/>
                <w:sz w:val="24"/>
                <w:b/>
              </w:rPr>
              <w:t>3.3.5支付约定</w:t>
            </w:r>
          </w:p>
          <w:p>
            <w:pPr>
              <w:pStyle w:val="null3"/>
              <w:ind w:firstLine="400"/>
            </w:pPr>
            <w:r>
              <w:rPr>
                <w:rFonts w:ascii="仿宋_GB2312" w:hAnsi="仿宋_GB2312" w:cs="仿宋_GB2312" w:eastAsia="仿宋_GB2312"/>
              </w:rPr>
              <w:t>采购包</w:t>
            </w:r>
            <w:r>
              <w:rPr>
                <w:rFonts w:ascii="仿宋_GB2312" w:hAnsi="仿宋_GB2312" w:cs="仿宋_GB2312" w:eastAsia="仿宋_GB2312"/>
              </w:rPr>
              <w:t>1： 付款条件说明： 付款条件说明：按月支付，根据考核情况支付月服务费用，每次付款前，供应商开具符合税法规定的等额正规发票</w:t>
            </w:r>
            <w:r>
              <w:rPr>
                <w:rFonts w:ascii="仿宋_GB2312" w:hAnsi="仿宋_GB2312" w:cs="仿宋_GB2312" w:eastAsia="仿宋_GB2312"/>
              </w:rPr>
              <w:t>，采购人以银行转账的方式向供应商支付相应金额的服务费。合同总价一次包死，包括但不限于完成维保工作</w:t>
            </w:r>
            <w:r>
              <w:rPr>
                <w:rFonts w:ascii="仿宋_GB2312" w:hAnsi="仿宋_GB2312" w:cs="仿宋_GB2312" w:eastAsia="仿宋_GB2312"/>
              </w:rPr>
              <w:t>内容所需的基本工资、绩效工资、福利、社会保险费用、培训、服装、办公费用、利润、税金、政策性文件规定的费用、检测费用（日常免费维修清单、其他材料、备件，乙方必须建立并严格执行设备的运行安全操作规程。在正常维保的前提下，如设备故障需要维修，设备零部件单次或单个零配件价值</w:t>
            </w:r>
            <w:r>
              <w:rPr>
                <w:rFonts w:ascii="仿宋_GB2312" w:hAnsi="仿宋_GB2312" w:cs="仿宋_GB2312" w:eastAsia="仿宋_GB2312"/>
              </w:rPr>
              <w:t>1000元以内(含1000元)的设备维修费用由乙方承担，乙方提出可行方案，甲方审核并同意后进行实施;设备零部件单次或单个零配件价值1000元以上的，由乙方提出可行方案及费用，书面报告甲方，甲方组织市场论证，甲方在设备及零配件费用不得高出市场价的基础上，由成甲方负责更换维修。只计算配件材料费，人工费不予计算。合同总价包含2万元节能措施奖励，根据全年运行燃气消耗情况在最后一个月按比例支付。参照依据2024年曲江院区锅炉全年用气量105万m³，服务单位年运行燃气消耗量每降低1％，支付5000元节能措施奖励，以此类推，最高奖励2万元。</w:t>
            </w:r>
          </w:p>
          <w:p>
            <w:pPr>
              <w:pStyle w:val="null3"/>
              <w:ind w:firstLine="400"/>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w:t>
            </w:r>
            <w:r>
              <w:rPr>
                <w:rFonts w:ascii="仿宋_GB2312" w:hAnsi="仿宋_GB2312" w:cs="仿宋_GB2312" w:eastAsia="仿宋_GB2312"/>
              </w:rPr>
              <w:t>1：</w:t>
            </w:r>
          </w:p>
          <w:p>
            <w:pPr>
              <w:pStyle w:val="null3"/>
              <w:ind w:firstLine="400"/>
            </w:pPr>
            <w:r>
              <w:rPr>
                <w:rFonts w:ascii="仿宋_GB2312" w:hAnsi="仿宋_GB2312" w:cs="仿宋_GB2312" w:eastAsia="仿宋_GB2312"/>
              </w:rPr>
              <w:t>（</w:t>
            </w:r>
            <w:r>
              <w:rPr>
                <w:rFonts w:ascii="仿宋_GB2312" w:hAnsi="仿宋_GB2312" w:cs="仿宋_GB2312" w:eastAsia="仿宋_GB2312"/>
              </w:rPr>
              <w:t>1）双方按《中华人民共和国民法典》中的相关条款执行。</w:t>
            </w:r>
          </w:p>
          <w:p>
            <w:pPr>
              <w:pStyle w:val="null3"/>
              <w:ind w:firstLine="400"/>
            </w:pPr>
            <w:r>
              <w:rPr>
                <w:rFonts w:ascii="仿宋_GB2312" w:hAnsi="仿宋_GB2312" w:cs="仿宋_GB2312" w:eastAsia="仿宋_GB2312"/>
              </w:rPr>
              <w:t>（</w:t>
            </w:r>
            <w:r>
              <w:rPr>
                <w:rFonts w:ascii="仿宋_GB2312" w:hAnsi="仿宋_GB2312" w:cs="仿宋_GB2312" w:eastAsia="仿宋_GB2312"/>
              </w:rPr>
              <w:t>2）因成交供应商原因未能完成管理目标，采购人有权要求成交供应商限期整改，如在10日内未能达标，采购人书面通知成交供应商终止合同 ，合同自书面解除通知书送达成交供应商之日起解除，因此给采购人造成的损失，成交供应商应全额赔偿。并按照合同总金额的3%追究成交供应商违约责任。</w:t>
            </w:r>
          </w:p>
          <w:p>
            <w:pPr>
              <w:pStyle w:val="null3"/>
              <w:ind w:firstLine="400"/>
            </w:pPr>
            <w:r>
              <w:rPr>
                <w:rFonts w:ascii="仿宋_GB2312" w:hAnsi="仿宋_GB2312" w:cs="仿宋_GB2312" w:eastAsia="仿宋_GB2312"/>
              </w:rPr>
              <w:t>（</w:t>
            </w:r>
            <w:r>
              <w:rPr>
                <w:rFonts w:ascii="仿宋_GB2312" w:hAnsi="仿宋_GB2312" w:cs="仿宋_GB2312" w:eastAsia="仿宋_GB2312"/>
              </w:rPr>
              <w:t>3）因成交供应商原因对采购人房屋建筑、设施设备造成损坏，成交供应商承担全部赔偿责任并进行善后处理；成交供应商对采购人设施不得擅自占用和改变使用功能，否则采购人有权要求其恢复原状并赔偿相应损失。成交供应商应在接到采购人通知后5日恢复原状并赔偿采购人损失。如成交供应商拒绝或怠于恢复原状的，采购人有权指定第三方予以恢复原状，所有费用均由成交供应商承担。</w:t>
            </w:r>
          </w:p>
          <w:p>
            <w:pPr>
              <w:pStyle w:val="null3"/>
              <w:ind w:firstLine="400"/>
            </w:pPr>
            <w:r>
              <w:rPr>
                <w:rFonts w:ascii="仿宋_GB2312" w:hAnsi="仿宋_GB2312" w:cs="仿宋_GB2312" w:eastAsia="仿宋_GB2312"/>
              </w:rPr>
              <w:t>（</w:t>
            </w:r>
            <w:r>
              <w:rPr>
                <w:rFonts w:ascii="仿宋_GB2312" w:hAnsi="仿宋_GB2312" w:cs="仿宋_GB2312" w:eastAsia="仿宋_GB2312"/>
              </w:rPr>
              <w:t>4）双方发生争议，成交供应商应在继续保证采购人设备正常运转的基础上，协商解决，在发生争议期间成交供应商不按合同要求提供服务，造成的损失由乙方全额赔偿。</w:t>
            </w:r>
          </w:p>
          <w:p>
            <w:pPr>
              <w:pStyle w:val="null3"/>
              <w:ind w:firstLine="400"/>
            </w:pPr>
            <w:r>
              <w:rPr>
                <w:rFonts w:ascii="仿宋_GB2312" w:hAnsi="仿宋_GB2312" w:cs="仿宋_GB2312" w:eastAsia="仿宋_GB2312"/>
              </w:rPr>
              <w:t>（</w:t>
            </w:r>
            <w:r>
              <w:rPr>
                <w:rFonts w:ascii="仿宋_GB2312" w:hAnsi="仿宋_GB2312" w:cs="仿宋_GB2312" w:eastAsia="仿宋_GB2312"/>
              </w:rPr>
              <w:t>5）成交供应商原因造成的合同终止,在采购人按程序取得第三方服务之前，成交供应商继续按合同标准提供服务，否则造成一切损失由乙方承担。</w:t>
            </w:r>
          </w:p>
          <w:p>
            <w:pPr>
              <w:pStyle w:val="null3"/>
              <w:ind w:firstLine="400"/>
            </w:pPr>
            <w:r>
              <w:rPr>
                <w:rFonts w:ascii="仿宋_GB2312" w:hAnsi="仿宋_GB2312" w:cs="仿宋_GB2312" w:eastAsia="仿宋_GB2312"/>
              </w:rPr>
              <w:t>（</w:t>
            </w:r>
            <w:r>
              <w:rPr>
                <w:rFonts w:ascii="仿宋_GB2312" w:hAnsi="仿宋_GB2312" w:cs="仿宋_GB2312" w:eastAsia="仿宋_GB2312"/>
              </w:rPr>
              <w:t>6）成交供应商在履行合同过程中遇相关检查，有转包合同的行为，采购人有权终止合同，合同自书面解除通知送达成交供应商之日起解除。在采购人按程序取得第三方服务之前，乙方继续按合同标准提供服务，否则造成一切损失由成交供应商承担。</w:t>
            </w:r>
          </w:p>
          <w:p>
            <w:pPr>
              <w:pStyle w:val="null3"/>
              <w:ind w:firstLine="400"/>
            </w:pPr>
            <w:r>
              <w:rPr>
                <w:rFonts w:ascii="仿宋_GB2312" w:hAnsi="仿宋_GB2312" w:cs="仿宋_GB2312" w:eastAsia="仿宋_GB2312"/>
              </w:rPr>
              <w:t>（</w:t>
            </w:r>
            <w:r>
              <w:rPr>
                <w:rFonts w:ascii="仿宋_GB2312" w:hAnsi="仿宋_GB2312" w:cs="仿宋_GB2312" w:eastAsia="仿宋_GB2312"/>
              </w:rPr>
              <w:t>7）本合同在履行过程中发生的争议，由双方当事人协商解决，协商不成任一方有权向采购人所在地人民法院提起诉讼。</w:t>
            </w:r>
          </w:p>
          <w:p>
            <w:pPr>
              <w:pStyle w:val="null3"/>
            </w:pPr>
            <w:r>
              <w:rPr>
                <w:rFonts w:ascii="仿宋_GB2312" w:hAnsi="仿宋_GB2312" w:cs="仿宋_GB2312" w:eastAsia="仿宋_GB2312"/>
                <w:sz w:val="28"/>
                <w:b/>
              </w:rPr>
              <w:t>3.4其他要求</w:t>
            </w:r>
          </w:p>
          <w:p>
            <w:pPr>
              <w:pStyle w:val="null3"/>
              <w:ind w:firstLine="400"/>
            </w:pPr>
            <w:r>
              <w:rPr>
                <w:rFonts w:ascii="仿宋_GB2312" w:hAnsi="仿宋_GB2312" w:cs="仿宋_GB2312" w:eastAsia="仿宋_GB2312"/>
              </w:rPr>
              <w:t>采购包</w:t>
            </w:r>
            <w:r>
              <w:rPr>
                <w:rFonts w:ascii="仿宋_GB2312" w:hAnsi="仿宋_GB2312" w:cs="仿宋_GB2312" w:eastAsia="仿宋_GB2312"/>
              </w:rPr>
              <w:t>1：</w:t>
            </w:r>
          </w:p>
          <w:p>
            <w:pPr>
              <w:pStyle w:val="null3"/>
              <w:ind w:firstLine="400"/>
            </w:pPr>
            <w:r>
              <w:rPr>
                <w:rFonts w:ascii="仿宋_GB2312" w:hAnsi="仿宋_GB2312" w:cs="仿宋_GB2312" w:eastAsia="仿宋_GB2312"/>
              </w:rPr>
              <w:t>3.4.1报价要求：预算包含完成招标内容所需的全部费用，包括但不限于以下服务内容：保证系统正常运行及需要更换的器材、配件和维保工具、锅炉和压力管道检测、锅炉系统所有压力表、安全阀定期校验、锅炉能效测试、维保服务人员工资（不得低于本地区最低工资标准）、社保、福利等及税费等其它相关的费用，因不可抗力（如：地震、洪水、战争、武装冲突、罢工、骚乱、暴动等 ）所造成的锅炉系统大修、采购人要求的系统改造除外。</w:t>
            </w:r>
            <w:r>
              <w:br/>
            </w:r>
            <w:r>
              <w:rPr>
                <w:rFonts w:ascii="仿宋_GB2312" w:hAnsi="仿宋_GB2312" w:cs="仿宋_GB2312" w:eastAsia="仿宋_GB2312"/>
              </w:rPr>
              <w:t xml:space="preserve">   </w:t>
            </w:r>
            <w:r>
              <w:rPr>
                <w:rFonts w:ascii="仿宋_GB2312" w:hAnsi="仿宋_GB2312" w:cs="仿宋_GB2312" w:eastAsia="仿宋_GB2312"/>
              </w:rPr>
              <w:t>3.4.2本项目磋商文件第三章 磋商项目技术、服务、商务及其它要求 商务要求中“支付方式：一次性付清”为系统固定描述内容</w:t>
            </w:r>
            <w:r>
              <w:rPr>
                <w:rFonts w:ascii="仿宋_GB2312" w:hAnsi="仿宋_GB2312" w:cs="仿宋_GB2312" w:eastAsia="仿宋_GB2312"/>
              </w:rPr>
              <w:t>，具体付款方式以下列内容为准：按月支付，付款条件说明：根据考核情况支付月服务费用，每次付款前，供应商开具符合税法规定的等额正规发票，采购人以银行转账的方式向供应商支付相应金额的服务费。</w:t>
            </w:r>
          </w:p>
          <w:p>
            <w:pPr>
              <w:pStyle w:val="null3"/>
              <w:ind w:firstLine="400"/>
            </w:pPr>
            <w:r>
              <w:rPr>
                <w:rFonts w:ascii="仿宋_GB2312" w:hAnsi="仿宋_GB2312" w:cs="仿宋_GB2312" w:eastAsia="仿宋_GB2312"/>
              </w:rPr>
              <w:t>3.4.3为顺利推进政府采购电子化交易平台应用工作，供应商需要在线提交所有通过电子化交易平台实施的政府采购项目的响应文件，同时，线下提交响应文件正本壹份，副本壹份、电子</w:t>
            </w:r>
            <w:r>
              <w:rPr>
                <w:rFonts w:ascii="仿宋_GB2312" w:hAnsi="仿宋_GB2312" w:cs="仿宋_GB2312" w:eastAsia="仿宋_GB2312"/>
              </w:rPr>
              <w:t>版壹份（</w:t>
            </w:r>
            <w:r>
              <w:rPr>
                <w:rFonts w:ascii="仿宋_GB2312" w:hAnsi="仿宋_GB2312" w:cs="仿宋_GB2312" w:eastAsia="仿宋_GB2312"/>
              </w:rPr>
              <w:t>U盘一份标明供应商名称，随正本密封）。若电子响应文件与纸质响应文件不一致的，以电子响应文件为准；线下递交文件时间：详见本项目磋商公告文件截止时间。</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项目人员组成:年龄不超60周岁。 基础能力：能看懂锅炉操作图纸、仪表数据，熟练使用操作设备。 实操能力：掌握锅炉点火、升压、运行调节、排污、停炉等全流程操作，能判断并处理轻微故障（如压力异常、水位波动） 安全意识：严格遵守安全规程，熟悉消防、应急处置流程（如安全阀失效、缺水/满水事故处理）。需备具有工业锅炉司炉或电站锅炉司炉证书，至少配备电工和水工各1名，共8人提供驻场服务。其中曲江院区6人，社会路2人，社会路驻场要求为供暖季驻场，曲江院区驻场为整个合同服务期。</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采购包1：采购需求服务要求。满足采购需求。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本项目统一组织踏勘，踏勘时间为：2025-10-20 09:00:00 联系人：安老师 联系电话：13689196168 （注：供应商可根据自身情况自行决定踏勘需求。踏勘所产生的一切责任由供应商自行承担，踏勘产生的相关费用及安全由供应商自行承担。凡因对项目实施现场踏勘不充分等了解不清而造成的后果和风险，或因供应商对磋商文件阅读疏忽或误解，均由供应商自行负责。）</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服务期限为一年，计划服务期为三年，合同一年一签，采购人依据考核结果决定是否续签下一年服务合同，最多续签两次。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西北妇女儿童医院曲江院区和后宰门院区、社会路家属院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每月根据《考核标准》打分，以百分制计算。最终考核结果的等次划分为：95-100分：付当月服务费100％，；94分（含）及以下：每低1分，按当月服务费扣除0.5％，并限期整改；85-70分：每低1分，按当月服务费扣除0.5％，约谈服务单位负责人；＜70分：暂停付款，启动合同终止流程。后附月考核表。</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一次性支付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（1）双方按《中华人民共和国民法典》中的相关条款执行。 （2）因成交供应商原因未能完成管理目标，采购人有权要求成交供应商限期整改，如在10日内未能达标，采购人书面通知成交供应商终止合同 ，合同自书面解除通知书送达成交供应商之日起解除，因此给采购人造成的损失，成交供应商应全额赔偿。并按照合同总金额的3%追究成交供应商违约责任。 （3）因成交供应商原因对采购人房屋建筑、设施设备造成损坏，成交供应商承担全部赔偿责任并进行善后处理；成交供应商对采购人设施不得擅自占用和改变使用功能，否则采购人有权要求其恢复原状并赔偿相应损失。成交供应商应在接到采购人通知后5日恢复原状并赔偿采购人损失。如成交供应商拒绝或怠于恢复原状的，采购人有权指定第三方予以恢复原状，所有费用均由成交供应商承担。 （4）双方发生争议，成交供应商应在继续保证采购人设备正常运转的基础上，协商解决，在发生争议期间成交供应商不按合同要求提供服务，造成的损失由乙方全额赔偿。 （5）成交供应商原因造成的合同终止,在采购人按程序取得第三方服务之前，成交供应商继续按合同标准提供服务，否则造成一切损失由乙方承担。 （6）成交供应商在履行合同过程中遇相关检查，有转包合同的行为，采购人有权终止合同，合同自书面解除通知送达成交供应商之日起解除。在采购人按程序取得第三方服务之前，乙方继续按合同标准提供服务，否则造成一切损失由成交供应商承担。 （7）本合同在履行过程中发生的争议，由双方当事人协商解决，协商不成任一方有权向采购人所在地人民法院提起诉讼。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 3.4.1报价要求：预算包含完成招标内容所需的全部费用，包括但不限于以下服务内容：保证系统正常运行及需要更换的器材、配件和维保工具、锅炉和压力管道检测、锅炉系统所有压力表、安全阀定期校验、锅炉能效测试、维保服务人员工资（不得低于本地区最低工资标准）、社保、福利等及税费等其它相关的费用，因不可抗力（如：地震、洪水、战争、武装冲突、罢工、骚乱、暴动等 ）所造成的锅炉系统大修、采购人要求的系统改造除外。 3.4.2本项目磋商文件第三章 磋商项目技术、服务、商务及其它要求 商务要求中“支付方式：一次性付清”为系统固定描述内容，具体付款方式以下列内容为准：按月支付，付款条件说明：根据考核情况支付月服务费用，每次付款前，供应商开具符合税法规定的等额正规发票，采购人以银行转账的方式向供应商支付相应金额的服务费。 3.4.3为顺利推进政府采购电子化交易平台应用工作，供应商需要在线提交所有通过电子化交易平台实施的政府采购项目的响应文件，同时，线下提交响应文件正本壹份，副本壹份、电子版壹份（U盘一份标明供应商名称，随正本密封）。若电子响应文件与纸质响应文件不一致的，以电子响应文件为准；线下递交文件时间：详见本项目磋商公告文件截止时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（一）具有独立承担民事责任的能力，其他组织或自然人，并出具合法有效的统一社会信用代码的营业执照或事业单位法人证书等国家规定的相关证明，自然人参与的提供其身份证明。 （二）具有履行合同所必需的设备和专业技术能力，提供声明文件。 （三）具有依法缴纳税收的良好记录。 提供缴费所属日期为投标截止时间前12个月内任一月份（投标截止时间当月不计入）的增值税（或所得税）缴费凭据或税务机关出具的完税证明/在法规范围内不需提供的应出具书面说明和证明文件； 或具有依法缴纳税收的诚信声明； 以上二种形式的资料提供任何一种即可。 （四）具有依法缴纳社会保障资金的良好记录。 提供缴费所属日期为投标截止时间前12个月内任一月份（投标截止时间当月不计入）的缴费凭据或社保机关出具的缴费证明/在法规范围内不需提供的应出具书面说明和证明文件； 或具有依法缴纳社会保障资金的缴纳记录的诚信声明； 以上二种形式的资料提供任何一种即可。 （五）参加政府采购活动前3年内在经营活动中没有重大违法记录的书面声明。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提供2023年度或2024年度经审计的已赋码且完整的财务报告（包括“四表一注”即《资产负债表》《利润表》《现金流量表》《所有者权益变动表》及其附注和会计师事务所营业执照，报告正文应当有会计师事务所公章，2个注册会计师的签字和盖章）；事业法人提供部门决算报告； /或在开标日期前六个月内其基本开户银行出具的资信证明（附《基本存款账户信息》或《银行开户许可证》复印件）； /或财政部门认可的政府采购专业担保机构出具的投标担保函； /或表明具有良好的商业信誉和健全的财务会计制度的诚信声明；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具有独立承担民事责任的能力，其他组织或自然人</w:t>
            </w:r>
          </w:p>
        </w:tc>
        <w:tc>
          <w:tcPr>
            <w:tcW w:type="dxa" w:w="3322"/>
          </w:tcPr>
          <w:p>
            <w:pPr>
              <w:pStyle w:val="null3"/>
            </w:pPr>
            <w:r>
              <w:rPr>
                <w:rFonts w:ascii="仿宋_GB2312" w:hAnsi="仿宋_GB2312" w:cs="仿宋_GB2312" w:eastAsia="仿宋_GB2312"/>
              </w:rPr>
              <w:t>具有独立承担民事责任的能力，其他组织或自然人，并出具合法有效的统一社会信用代码的营业执照或事业单位法人证书等国家规定的相关证明，自然人参与的提供其身份证明。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及委托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具有履行合同所必需的设备和专业技术能力，提供声明文件。</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具有依法缴纳税收的良好记录</w:t>
            </w:r>
          </w:p>
        </w:tc>
        <w:tc>
          <w:tcPr>
            <w:tcW w:type="dxa" w:w="3322"/>
          </w:tcPr>
          <w:p>
            <w:pPr>
              <w:pStyle w:val="null3"/>
            </w:pPr>
            <w:r>
              <w:rPr>
                <w:rFonts w:ascii="仿宋_GB2312" w:hAnsi="仿宋_GB2312" w:cs="仿宋_GB2312" w:eastAsia="仿宋_GB2312"/>
              </w:rPr>
              <w:t>提供缴费所属日期为投标截止时间前12个月内任一月份（投标截止时间当月不计入）的增值税（或所得税）缴费凭据或税务机关出具的完税证明/在法规范围内不需提供的应出具书面说明和证明文件； 或具有依法缴纳税收的诚信声明； 以上二种形式的资料提供任何一种即可。</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具有依法缴纳社会保障资金的良好记录</w:t>
            </w:r>
          </w:p>
        </w:tc>
        <w:tc>
          <w:tcPr>
            <w:tcW w:type="dxa" w:w="3322"/>
          </w:tcPr>
          <w:p>
            <w:pPr>
              <w:pStyle w:val="null3"/>
            </w:pPr>
            <w:r>
              <w:rPr>
                <w:rFonts w:ascii="仿宋_GB2312" w:hAnsi="仿宋_GB2312" w:cs="仿宋_GB2312" w:eastAsia="仿宋_GB2312"/>
              </w:rPr>
              <w:t xml:space="preserve"> 提供缴费所属日期为投标截止时间前12个月内任一月份（投标截止时间当月不计入）的缴费凭据或社保机关出具的缴费证明/在法规范围内不需提供的应出具书面说明和证明文件； 或具有依法缴纳社会保障资金的缴纳记录的诚信声明； 以上二种形式的资料提供任何一种即可。</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2023年度或2024年度经审计的已赋码且完整的财务报告（包括“四表一注”即《资产负债表》《利润表》《现金流量表》《所有者权益变动表》及其附注和会计师事务所营业执照，报告正文应当有会计师事务所公章，2个注册会计师的签字和盖章）；事业法人提供部门决算报告； /或在开标日期前六个月内其基本开户银行出具的资信证明（附《基本存款账户信息》或《银行开户许可证》复印件）； /或财政部门认可的政府采购专业担保机构出具的投标担保函； /或表明具有良好的商业信誉和健全的财务会计制度的诚信声明；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供应商信用记录</w:t>
            </w:r>
          </w:p>
        </w:tc>
        <w:tc>
          <w:tcPr>
            <w:tcW w:type="dxa" w:w="3322"/>
          </w:tcPr>
          <w:p>
            <w:pPr>
              <w:pStyle w:val="null3"/>
            </w:pPr>
            <w:r>
              <w:rPr>
                <w:rFonts w:ascii="仿宋_GB2312" w:hAnsi="仿宋_GB2312" w:cs="仿宋_GB2312" w:eastAsia="仿宋_GB2312"/>
              </w:rPr>
              <w:t>供应商应在磋商截止日前未被列入失信被执行人、重大税收违法失信主体、政府采购严重违法失信行为记录名单（处罚期限届满的除外）（以“信用中国”网站（www.creditchina.gov.cn）或中国政府采购网（www.ccgp.gov.cn）查询结果为准。</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本项目不接受联合体投标,不得转包、不得再次分包（须提供声明函）。</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技术服务方案.docx 供应商应提交的相关资格证明材料.docx 中小企业声明函 残疾人福利性单位声明函 备品备件报价清单.docx 标的清单 报价表 商务应答表.docx 服务内容及服务要求应答表.docx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按照磋商文件规定要求签署、盖章</w:t>
            </w:r>
          </w:p>
        </w:tc>
        <w:tc>
          <w:tcPr>
            <w:tcW w:type="dxa" w:w="1661"/>
          </w:tcPr>
          <w:p>
            <w:pPr>
              <w:pStyle w:val="null3"/>
            </w:pPr>
            <w:r>
              <w:rPr>
                <w:rFonts w:ascii="仿宋_GB2312" w:hAnsi="仿宋_GB2312" w:cs="仿宋_GB2312" w:eastAsia="仿宋_GB2312"/>
              </w:rPr>
              <w:t>响应文件封面 技术服务方案.docx 供应商应提交的相关资格证明材料.docx 中小企业声明函 残疾人福利性单位声明函 备品备件报价清单.docx 标的清单 报价表 商务应答表.docx 服务内容及服务要求应答表.docx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备选响应方案</w:t>
            </w:r>
          </w:p>
        </w:tc>
        <w:tc>
          <w:tcPr>
            <w:tcW w:type="dxa" w:w="3322"/>
          </w:tcPr>
          <w:p>
            <w:pPr>
              <w:pStyle w:val="null3"/>
            </w:pPr>
            <w:r>
              <w:rPr>
                <w:rFonts w:ascii="仿宋_GB2312" w:hAnsi="仿宋_GB2312" w:cs="仿宋_GB2312" w:eastAsia="仿宋_GB2312"/>
              </w:rPr>
              <w:t>除磋商文件明确允许提交备选磋商响应方案外，供应商不得提交备选磋商响应方案</w:t>
            </w:r>
          </w:p>
        </w:tc>
        <w:tc>
          <w:tcPr>
            <w:tcW w:type="dxa" w:w="1661"/>
          </w:tcPr>
          <w:p>
            <w:pPr>
              <w:pStyle w:val="null3"/>
            </w:pPr>
            <w:r>
              <w:rPr>
                <w:rFonts w:ascii="仿宋_GB2312" w:hAnsi="仿宋_GB2312" w:cs="仿宋_GB2312" w:eastAsia="仿宋_GB2312"/>
              </w:rPr>
              <w:t>技术服务方案.docx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符合第二章“供应商须知”第2.4.7项规</w:t>
            </w:r>
          </w:p>
        </w:tc>
        <w:tc>
          <w:tcPr>
            <w:tcW w:type="dxa" w:w="1661"/>
          </w:tcPr>
          <w:p>
            <w:pPr>
              <w:pStyle w:val="null3"/>
            </w:pPr>
            <w:r>
              <w:rPr>
                <w:rFonts w:ascii="仿宋_GB2312" w:hAnsi="仿宋_GB2312" w:cs="仿宋_GB2312" w:eastAsia="仿宋_GB2312"/>
              </w:rPr>
              <w:t>响应文件封面 备品备件报价清单.docx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只能有一个有效报价，不得提交选择性报价，按要求提交二次或多次报价，且每轮报价不超过采购最高限价或磋商小组认为低于成本价的报价。</w:t>
            </w:r>
          </w:p>
        </w:tc>
        <w:tc>
          <w:tcPr>
            <w:tcW w:type="dxa" w:w="1661"/>
          </w:tcPr>
          <w:p>
            <w:pPr>
              <w:pStyle w:val="null3"/>
            </w:pPr>
            <w:r>
              <w:rPr>
                <w:rFonts w:ascii="仿宋_GB2312" w:hAnsi="仿宋_GB2312" w:cs="仿宋_GB2312" w:eastAsia="仿宋_GB2312"/>
              </w:rPr>
              <w:t>响应文件封面 备品备件报价清单.docx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响应文件中是否含有采购人不能接受的附加条件的或其他情形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技术服务方案.docx 响应文件封面 供应商应提交的相关资格证明材料.docx 中小企业声明函 残疾人福利性单位声明函 备品备件报价清单.docx 标的清单 报价表 商务应答表.docx 服务内容及服务要求应答表.docx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是否发现法律、法规和磋商文件规定的其他无效情形</w:t>
            </w:r>
          </w:p>
        </w:tc>
        <w:tc>
          <w:tcPr>
            <w:tcW w:type="dxa" w:w="3322"/>
          </w:tcPr>
          <w:p>
            <w:pPr>
              <w:pStyle w:val="null3"/>
            </w:pPr>
            <w:r>
              <w:rPr>
                <w:rFonts w:ascii="仿宋_GB2312" w:hAnsi="仿宋_GB2312" w:cs="仿宋_GB2312" w:eastAsia="仿宋_GB2312"/>
              </w:rPr>
              <w:t>未发现法律、法规和磋商文件规定的其他无效情形</w:t>
            </w:r>
          </w:p>
        </w:tc>
        <w:tc>
          <w:tcPr>
            <w:tcW w:type="dxa" w:w="1661"/>
          </w:tcPr>
          <w:p>
            <w:pPr>
              <w:pStyle w:val="null3"/>
            </w:pPr>
            <w:r>
              <w:rPr>
                <w:rFonts w:ascii="仿宋_GB2312" w:hAnsi="仿宋_GB2312" w:cs="仿宋_GB2312" w:eastAsia="仿宋_GB2312"/>
              </w:rPr>
              <w:t>响应文件封面 技术服务方案.docx 供应商应提交的相关资格证明材料.docx 中小企业声明函 残疾人福利性单位声明函 备品备件报价清单.docx 标的清单 报价表 商务应答表.docx 服务内容及服务要求应答表.docx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不同供应商的响应文件是否由同一单位或者个人编制</w:t>
            </w:r>
          </w:p>
        </w:tc>
        <w:tc>
          <w:tcPr>
            <w:tcW w:type="dxa" w:w="3322"/>
          </w:tcPr>
          <w:p>
            <w:pPr>
              <w:pStyle w:val="null3"/>
            </w:pPr>
            <w:r>
              <w:rPr>
                <w:rFonts w:ascii="仿宋_GB2312" w:hAnsi="仿宋_GB2312" w:cs="仿宋_GB2312" w:eastAsia="仿宋_GB2312"/>
              </w:rPr>
              <w:t>不同供应商的响应文件不是由同一单位或者个人编制</w:t>
            </w:r>
          </w:p>
        </w:tc>
        <w:tc>
          <w:tcPr>
            <w:tcW w:type="dxa" w:w="1661"/>
          </w:tcPr>
          <w:p>
            <w:pPr>
              <w:pStyle w:val="null3"/>
            </w:pPr>
            <w:r>
              <w:rPr>
                <w:rFonts w:ascii="仿宋_GB2312" w:hAnsi="仿宋_GB2312" w:cs="仿宋_GB2312" w:eastAsia="仿宋_GB2312"/>
              </w:rPr>
              <w:t>响应文件封面 技术服务方案.docx 供应商应提交的相关资格证明材料.docx 中小企业声明函 残疾人福利性单位声明函 备品备件报价清单.docx 标的清单 报价表 商务应答表.docx 服务内容及服务要求应答表.docx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不同供应商是否委托同一单位或者个人办理磋商事宜</w:t>
            </w:r>
          </w:p>
        </w:tc>
        <w:tc>
          <w:tcPr>
            <w:tcW w:type="dxa" w:w="3322"/>
          </w:tcPr>
          <w:p>
            <w:pPr>
              <w:pStyle w:val="null3"/>
            </w:pPr>
            <w:r>
              <w:rPr>
                <w:rFonts w:ascii="仿宋_GB2312" w:hAnsi="仿宋_GB2312" w:cs="仿宋_GB2312" w:eastAsia="仿宋_GB2312"/>
              </w:rPr>
              <w:t>不同供应商不是委托同一单位或者个人办理磋商事宜</w:t>
            </w:r>
          </w:p>
        </w:tc>
        <w:tc>
          <w:tcPr>
            <w:tcW w:type="dxa" w:w="1661"/>
          </w:tcPr>
          <w:p>
            <w:pPr>
              <w:pStyle w:val="null3"/>
            </w:pPr>
            <w:r>
              <w:rPr>
                <w:rFonts w:ascii="仿宋_GB2312" w:hAnsi="仿宋_GB2312" w:cs="仿宋_GB2312" w:eastAsia="仿宋_GB2312"/>
              </w:rPr>
              <w:t>响应文件封面 技术服务方案.docx 供应商应提交的相关资格证明材料.docx 中小企业声明函 残疾人福利性单位声明函 备品备件报价清单.docx 标的清单 报价表 商务应答表.docx 服务内容及服务要求应答表.docx 响应函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不同供应商的响应文件载明的项目管理成员或者联系人员是否为同一人</w:t>
            </w:r>
          </w:p>
        </w:tc>
        <w:tc>
          <w:tcPr>
            <w:tcW w:type="dxa" w:w="3322"/>
          </w:tcPr>
          <w:p>
            <w:pPr>
              <w:pStyle w:val="null3"/>
            </w:pPr>
            <w:r>
              <w:rPr>
                <w:rFonts w:ascii="仿宋_GB2312" w:hAnsi="仿宋_GB2312" w:cs="仿宋_GB2312" w:eastAsia="仿宋_GB2312"/>
              </w:rPr>
              <w:t>不同供应商的响应文件载明的项目管理成员或者联系人员不是为同一人</w:t>
            </w:r>
          </w:p>
        </w:tc>
        <w:tc>
          <w:tcPr>
            <w:tcW w:type="dxa" w:w="1661"/>
          </w:tcPr>
          <w:p>
            <w:pPr>
              <w:pStyle w:val="null3"/>
            </w:pPr>
            <w:r>
              <w:rPr>
                <w:rFonts w:ascii="仿宋_GB2312" w:hAnsi="仿宋_GB2312" w:cs="仿宋_GB2312" w:eastAsia="仿宋_GB2312"/>
              </w:rPr>
              <w:t>响应文件封面 技术服务方案.docx 供应商应提交的相关资格证明材料.docx 中小企业声明函 残疾人福利性单位声明函 备品备件报价清单.docx 标的清单 报价表 商务应答表.docx 服务内容及服务要求应答表.docx 响应函 监狱企业的证明文件</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不同供应商的响应文件是否异常一致或者响应报价呈规律性差异</w:t>
            </w:r>
          </w:p>
        </w:tc>
        <w:tc>
          <w:tcPr>
            <w:tcW w:type="dxa" w:w="3322"/>
          </w:tcPr>
          <w:p>
            <w:pPr>
              <w:pStyle w:val="null3"/>
            </w:pPr>
            <w:r>
              <w:rPr>
                <w:rFonts w:ascii="仿宋_GB2312" w:hAnsi="仿宋_GB2312" w:cs="仿宋_GB2312" w:eastAsia="仿宋_GB2312"/>
              </w:rPr>
              <w:t>不同供应商的响应文件是否异常一致或者响应报价呈规律性差异</w:t>
            </w:r>
          </w:p>
        </w:tc>
        <w:tc>
          <w:tcPr>
            <w:tcW w:type="dxa" w:w="1661"/>
          </w:tcPr>
          <w:p>
            <w:pPr>
              <w:pStyle w:val="null3"/>
            </w:pPr>
            <w:r>
              <w:rPr>
                <w:rFonts w:ascii="仿宋_GB2312" w:hAnsi="仿宋_GB2312" w:cs="仿宋_GB2312" w:eastAsia="仿宋_GB2312"/>
              </w:rPr>
              <w:t>响应文件封面 技术服务方案.docx 供应商应提交的相关资格证明材料.docx 中小企业声明函 残疾人福利性单位声明函 备品备件报价清单.docx 标的清单 报价表 商务应答表.docx 服务内容及服务要求应答表.docx 响应函 监狱企业的证明文件</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不同供应商的响应保证金是否从同单位或者个人的账户转出</w:t>
            </w:r>
          </w:p>
        </w:tc>
        <w:tc>
          <w:tcPr>
            <w:tcW w:type="dxa" w:w="3322"/>
          </w:tcPr>
          <w:p>
            <w:pPr>
              <w:pStyle w:val="null3"/>
            </w:pPr>
            <w:r>
              <w:rPr>
                <w:rFonts w:ascii="仿宋_GB2312" w:hAnsi="仿宋_GB2312" w:cs="仿宋_GB2312" w:eastAsia="仿宋_GB2312"/>
              </w:rPr>
              <w:t>不同供应商的响应保证金不是从同一单位或者个人的账户转出</w:t>
            </w:r>
          </w:p>
        </w:tc>
        <w:tc>
          <w:tcPr>
            <w:tcW w:type="dxa" w:w="1661"/>
          </w:tcPr>
          <w:p>
            <w:pPr>
              <w:pStyle w:val="null3"/>
            </w:pPr>
            <w:r>
              <w:rPr>
                <w:rFonts w:ascii="仿宋_GB2312" w:hAnsi="仿宋_GB2312" w:cs="仿宋_GB2312" w:eastAsia="仿宋_GB2312"/>
              </w:rPr>
              <w:t>响应文件封面 技术服务方案.docx 供应商应提交的相关资格证明材料.docx 中小企业声明函 残疾人福利性单位声明函 备品备件报价清单.docx 标的清单 报价表 商务应答表.docx 服务内容及服务要求应答表.docx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维保方案</w:t>
            </w:r>
          </w:p>
        </w:tc>
        <w:tc>
          <w:tcPr>
            <w:tcW w:type="dxa" w:w="2492"/>
          </w:tcPr>
          <w:p>
            <w:pPr>
              <w:pStyle w:val="null3"/>
            </w:pPr>
            <w:r>
              <w:rPr>
                <w:rFonts w:ascii="仿宋_GB2312" w:hAnsi="仿宋_GB2312" w:cs="仿宋_GB2312" w:eastAsia="仿宋_GB2312"/>
              </w:rPr>
              <w:t>根据磋商文件第三章磋商项目技术、服务、商务及其他要求，对本项目所有维保及维修内容制定科学合理的服务方案，内容包括但不限于： （1）总体服务方案 （2）维保进度计划与措施 （3）日常和定期维护、保养、检修 （4）突发事件应急预案 （5）维保质量管理体系与措施 （6）安全文明维保措施 以上相关方案每有一项内容方案完整详细，条理清晰且符合采购实际需求得5分，满分30分。每有一项内容出现一处存在缺陷的扣1.0分，缺项不得分，每项扣完5分为止。 注： 1.以上（2）（3）条供应商须根据磋商文件第三章磋商项目技术、服务等要求进行详细的响应并制定详细的响应方案，直接复制磋商文件内容，无具体明确数值或表述的，该项不予得分。 2.缺陷是指：存在不适用项目实际情况的情形、凭空编造、逻辑漏洞、前后不一、科学原理错误以及不可能实现的夸大情形、涉及内容无重点，未能体现出本项目的特点或与本项目实际需求不完全相符、语言错误或存在歧义、该方面内容体现不齐全等。</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维保设备工具配备及备品备件储备</w:t>
            </w:r>
          </w:p>
        </w:tc>
        <w:tc>
          <w:tcPr>
            <w:tcW w:type="dxa" w:w="2492"/>
          </w:tcPr>
          <w:p>
            <w:pPr>
              <w:pStyle w:val="null3"/>
            </w:pPr>
            <w:r>
              <w:rPr>
                <w:rFonts w:ascii="仿宋_GB2312" w:hAnsi="仿宋_GB2312" w:cs="仿宋_GB2312" w:eastAsia="仿宋_GB2312"/>
              </w:rPr>
              <w:t>1、维保设备工具配备（3分） （1）维保设备、工具配置方案完全满足采购需求，方案科学、合理可行、针对性强、工具配置丰富，得3分； （2）维保设备、工具配置方案基本满足采购需求，基本科学、合理性有一定欠缺、针对性一般，工具配置丰富程度一般，得2分； （3）维保设备、工具配置方案基本科学、合理性有较大欠缺、针对性差，得1分； （4）未提供不得分。 2、备品备件储备（3分） （1）针对目前设备现状，备品、配件供应有保障，有充足的库存，且货源渠道正规，得3分； （2）备品、配件库存型号较全，且货源渠道正规的，得2分； （3）备品、配件库存型号不全，且货源渠道正规的得1分； （4）未提供的不得分。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维保人员配置</w:t>
            </w:r>
          </w:p>
        </w:tc>
        <w:tc>
          <w:tcPr>
            <w:tcW w:type="dxa" w:w="2492"/>
          </w:tcPr>
          <w:p>
            <w:pPr>
              <w:pStyle w:val="null3"/>
            </w:pPr>
            <w:r>
              <w:rPr>
                <w:rFonts w:ascii="仿宋_GB2312" w:hAnsi="仿宋_GB2312" w:cs="仿宋_GB2312" w:eastAsia="仿宋_GB2312"/>
              </w:rPr>
              <w:t>1、拟派项目经理（6分） （1）具有工业锅炉司炉或电站锅炉司炉证书得2分，未提供不得分； 评审依据：提供身份证、职称证书复印件加盖公章。 （2）业绩 提供2022年1月1日起至今（时间以合同签订时间为准）同类维保业绩，每提供一份得2分，最高得4分。 评审依据：提供完整合同复印件加盖公章，合同内容包括合同标的、合同金额、签字盖章页的页面，每份合同提供相对应的一张结算发票，合同中须体现项目经理姓名，如合同中未体现项目经理姓名须提供业服务主单位提供的服务评价或证明材料，未提供或提供不全均不得分。 注：项目经理业绩与企业业绩可重复计分。 2、拟派团队人员（8分） 各供应商应根据采购需求配备完备的服务团队，分工明确，合理安排，驻场人员应满足以下基本要求（不含项目经理）： 在满足采购需求人员要求（不少于8人具有工业锅炉司炉或电站锅炉司炉证书，至少配备电工和水工各1名）得6分，每增加一个电工或水工证书人员得2分，最高得8分。所有拟派团队成员组成:年龄不超60周岁。 评审依据：提供人员身份证、资格证复印件加盖公章。</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对本项目的合理化建议</w:t>
            </w:r>
          </w:p>
        </w:tc>
        <w:tc>
          <w:tcPr>
            <w:tcW w:type="dxa" w:w="2492"/>
          </w:tcPr>
          <w:p>
            <w:pPr>
              <w:pStyle w:val="null3"/>
            </w:pPr>
            <w:r>
              <w:rPr>
                <w:rFonts w:ascii="仿宋_GB2312" w:hAnsi="仿宋_GB2312" w:cs="仿宋_GB2312" w:eastAsia="仿宋_GB2312"/>
              </w:rPr>
              <w:t>供应商根据自身能力，提出在服务方面具有的优势及针对本项目的合理化建议，内容具有针对性，建议贴合项目情况得6分； 供应商提供在服务方面具有的优势及对本项目的合理化建议，内容完整，建议合理得4分； 供应商提供在服务方面具有的优势及对本项目的合理化建议，内容简单，建议不够合理得2分； 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售后服务措施及承诺</w:t>
            </w:r>
          </w:p>
        </w:tc>
        <w:tc>
          <w:tcPr>
            <w:tcW w:type="dxa" w:w="2492"/>
          </w:tcPr>
          <w:p>
            <w:pPr>
              <w:pStyle w:val="null3"/>
            </w:pPr>
            <w:r>
              <w:rPr>
                <w:rFonts w:ascii="仿宋_GB2312" w:hAnsi="仿宋_GB2312" w:cs="仿宋_GB2312" w:eastAsia="仿宋_GB2312"/>
              </w:rPr>
              <w:t>针对设备可能出现的问题及重大故障，有具体可行的措施和解决方案，对①故障响应时间、②维修服务时限③特殊情况下不能及时排除故障造成损失的赔偿方案等方面有明确的承诺： （1）措施完备，解决方案切实可行，承诺内容齐全：得6分； （2）措施较完备，解决方案较可行，承诺内容较齐全：得4分； （3）措施不完备，解决方案不可行，承诺内容不齐全：得2分； （4）未提供的不得分。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节能方案与承诺</w:t>
            </w:r>
          </w:p>
        </w:tc>
        <w:tc>
          <w:tcPr>
            <w:tcW w:type="dxa" w:w="2492"/>
          </w:tcPr>
          <w:p>
            <w:pPr>
              <w:pStyle w:val="null3"/>
            </w:pPr>
            <w:r>
              <w:rPr>
                <w:rFonts w:ascii="仿宋_GB2312" w:hAnsi="仿宋_GB2312" w:cs="仿宋_GB2312" w:eastAsia="仿宋_GB2312"/>
              </w:rPr>
              <w:t>1.供应商根据自身能力，提出针对本项目的节能方案，内容具有针对性，建议贴合项目情况得8分； 2.供应商提出针对本项目的节能方案，内容完整，建议合理得5分； 3.供应商提出针对本项目的节能方案，内容简单，建议不够合理得3分； 4.未提供不得分。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提供2022年1月1日起至今（时间以合同签订时间为准）同类维保项目业绩，每提供一份得2分，最高得10分。 评审依据：提供完整合同复印件加盖公章，合同内容包括合同标的、合同金额、签字盖章页的页面，每份合同提供相对应的一张结算发票，未提供或提供不全均不得分。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技术服务方案.docx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价格分采用低价优先法计算，满足磋商文件要求且评审报价最低的最终报价为评标基准价，其报价得分为满分20分。 其他报价得分=(磋商基准价／磋商评审价)×20。 注： 1.所有磋商报价总价以人民币元为单位，保留两位小数点。 2、本项目为专门面向中小企业项目，专门面向中小企业采购的项目，不再执行价格评审优惠的扶持政策。 3、评分分值计算保留小数点后两位，第三位“四舍五入</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详见附件：备品备件报价清单.docx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