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版本号：SNJZ-2025-135B20251009001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陕西省质量基础设施助力产业链供应链质量联动提升项目(三次)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SNJZ-2025-135B</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陕西省质量基础设施助力产业链供应链质量联动提升项目(三次)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SNJZ-2025-135B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陕西省质量基础设施助力产业链供应链质量联动提升项目(三次)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陕西省质量基础设施助力产业链供应链质量联动提升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崔斌、程钰、马子啸、徐会英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代理服务费收费标准：中标供应商在收到中标通知书后十(10)个日历日内，向陕西教育招标有限责任公司交纳招标代理服务费，服务费5000.00元，招标代理服务费采用现金、电汇或银行转账方式交纳。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投标人完成所有服务内容后，汇总所有成果资料，提交采购人，采购人组织验收。验收依据：合同、招标文件、投标文件、国家（行业）有关标准规范。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陕西省质量基础设施助力产业链供应链质量联动提升。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杨凌示范区质量基础设施助力设施果蔬产业链供应链质量联动提升项目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标的名称：杨凌示范区质量基础设施助力设施果蔬产业链供应链质量联动提升项目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color w:val="4F81BD"/>
              </w:rPr>
              <w:t>（一）质量技术攻关</w:t>
            </w:r>
          </w:p>
          <w:p>
            <w:pPr>
              <w:pStyle w:val="null3"/>
              <w:jc w:val="both"/>
            </w:pPr>
            <w:r>
              <w:rPr>
                <w:rFonts w:ascii="仿宋_GB2312" w:hAnsi="仿宋_GB2312" w:cs="仿宋_GB2312" w:eastAsia="仿宋_GB2312"/>
                <w:sz w:val="24"/>
                <w:color w:val="4F81BD"/>
              </w:rPr>
              <w:t>1.以草莓、火龙果等产业为基础，联合校企开展关键质量技术攻关，研发新品种、新技术2-3个；</w:t>
            </w:r>
          </w:p>
          <w:p>
            <w:pPr>
              <w:pStyle w:val="null3"/>
              <w:jc w:val="both"/>
            </w:pPr>
            <w:r>
              <w:rPr>
                <w:rFonts w:ascii="仿宋_GB2312" w:hAnsi="仿宋_GB2312" w:cs="仿宋_GB2312" w:eastAsia="仿宋_GB2312"/>
                <w:sz w:val="24"/>
                <w:color w:val="4F81BD"/>
              </w:rPr>
              <w:t>2.建设产业链质量技术创新发展联合体，构建全产业链技术标准体系，研究制定地方设施果蔬地方标准2-3个；</w:t>
            </w:r>
          </w:p>
          <w:p>
            <w:pPr>
              <w:pStyle w:val="null3"/>
              <w:jc w:val="both"/>
            </w:pPr>
            <w:r>
              <w:rPr>
                <w:rFonts w:ascii="仿宋_GB2312" w:hAnsi="仿宋_GB2312" w:cs="仿宋_GB2312" w:eastAsia="仿宋_GB2312"/>
                <w:sz w:val="24"/>
                <w:color w:val="4F81BD"/>
              </w:rPr>
              <w:t>3.建设检验检测共性技术平台，实现产品质量检测全覆盖。</w:t>
            </w:r>
          </w:p>
          <w:p>
            <w:pPr>
              <w:pStyle w:val="null3"/>
              <w:jc w:val="both"/>
            </w:pPr>
            <w:r>
              <w:rPr>
                <w:rFonts w:ascii="仿宋_GB2312" w:hAnsi="仿宋_GB2312" w:cs="仿宋_GB2312" w:eastAsia="仿宋_GB2312"/>
                <w:sz w:val="24"/>
                <w:color w:val="4F81BD"/>
              </w:rPr>
              <w:t>（二）质量管理、品牌培育</w:t>
            </w:r>
          </w:p>
          <w:p>
            <w:pPr>
              <w:pStyle w:val="null3"/>
              <w:jc w:val="both"/>
            </w:pPr>
            <w:r>
              <w:rPr>
                <w:rFonts w:ascii="仿宋_GB2312" w:hAnsi="仿宋_GB2312" w:cs="仿宋_GB2312" w:eastAsia="仿宋_GB2312"/>
                <w:sz w:val="24"/>
                <w:color w:val="4F81BD"/>
              </w:rPr>
              <w:t>1.建立数字化质量管理系统，大力推广数字化技术，引入先进质量管理体系，开展链上企业质量管理升级活动等；</w:t>
            </w:r>
          </w:p>
          <w:p>
            <w:pPr>
              <w:pStyle w:val="null3"/>
              <w:jc w:val="both"/>
            </w:pPr>
            <w:r>
              <w:rPr>
                <w:rFonts w:ascii="仿宋_GB2312" w:hAnsi="仿宋_GB2312" w:cs="仿宋_GB2312" w:eastAsia="仿宋_GB2312"/>
                <w:sz w:val="24"/>
                <w:color w:val="4F81BD"/>
              </w:rPr>
              <w:t>2.构建完善的品牌体系，明确品牌定位，打造产业链品牌。</w:t>
            </w:r>
          </w:p>
          <w:p>
            <w:pPr>
              <w:pStyle w:val="null3"/>
              <w:jc w:val="both"/>
            </w:pPr>
            <w:r>
              <w:rPr>
                <w:rFonts w:ascii="仿宋_GB2312" w:hAnsi="仿宋_GB2312" w:cs="仿宋_GB2312" w:eastAsia="仿宋_GB2312"/>
                <w:sz w:val="24"/>
                <w:color w:val="4F81BD"/>
              </w:rPr>
              <w:t>（三）项目总结报告</w:t>
            </w:r>
          </w:p>
          <w:p>
            <w:pPr>
              <w:pStyle w:val="null3"/>
              <w:jc w:val="both"/>
            </w:pPr>
            <w:r>
              <w:rPr>
                <w:rFonts w:ascii="仿宋_GB2312" w:hAnsi="仿宋_GB2312" w:cs="仿宋_GB2312" w:eastAsia="仿宋_GB2312"/>
                <w:sz w:val="24"/>
                <w:color w:val="4F81BD"/>
              </w:rPr>
              <w:t>形成一份产业链质量提升项目总结报告，包括项目背景，项目开展情况（产业链质量基础情况、产业链质量问题和需求、产业链质量提升任务及措施），项目完成情况（产业链质量提升成效、成果利用）等内容。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在接到采购方下达任务通知后6个月内，按招标文件、投标文件以及合同的约定，完成对应服务内容。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投标人完成所有服务内容后，汇总所有成果资料，提交采购人，采购人组织验收。验收依据：合同、招标文件、投标文件、国家（行业）有关标准规范。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按《中华人民共和国民法典》及有关法律法规中的相关条款对违约情况进行处理；(2)未按合同要求提供服务或服务质量不能满足要求，采购人会同相关单位有权终止合同，并对违约方的违约行为进行追究，同时按有关法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供应商需在项目电子化交易系统中按要求填写《投标函》完成承诺，按要求提供相关资格证明文件，并进行电子签章。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商务响应情况，若负偏离，投标文件作为无效处理。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根据投标人对项目整体及重点难点的分析赋分： 1.对项目有充分的认识及了解，对项目实施过程中的重点难点，并提出科学合理的应对策略，得10分； 2.对项目整体分析具备，对重点难点有应对策略，得7分； 3.提供了相关分析，但内容简单，无应对策略，得4分； 4.相关分析或与实际不符，得1分； 5.未提供项目分析，得0分。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根据投标人对技术参数与性能指标响应情况赋分： 1.技术参数响应情况完全满足项目需求，得10分； 2.技术参数负偏离未超过2项（含2项），得5分； 3.技术参数负偏离超过2项，得0分。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质量技术攻关方案</w:t>
            </w:r>
          </w:p>
        </w:tc>
        <w:tc>
          <w:tcPr>
            <w:tcW w:type="dxa" w:w="2492"/>
          </w:tcPr>
          <w:p>
            <w:pPr>
              <w:pStyle w:val="null3"/>
            </w:pPr>
            <w:r>
              <w:rPr>
                <w:rFonts w:ascii="仿宋_GB2312" w:hAnsi="仿宋_GB2312" w:cs="仿宋_GB2312" w:eastAsia="仿宋_GB2312"/>
              </w:rPr>
              <w:t>根据投标人提供的质量技术攻关方案赋分： 1.方案紧密贴合工作实际需求，内容详尽全面，服务描述条理清晰，针对性极强，完全符合项目要求，得10分； 2.方案符合工作基本要求，整体框架较为完备，服务内容阐述较为明确，与项目需求保持一致，得8分； 3.方案与工作需求存在出入，完整性有待提升，服务内容描述不够详尽，未能充分满足项目要求，方案不具体或存在漏项，得6分； 4.方案存在严重缺陷，得3分； 5.未提供具体实施方案，得0分。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质量管理、品牌培育方案</w:t>
            </w:r>
          </w:p>
        </w:tc>
        <w:tc>
          <w:tcPr>
            <w:tcW w:type="dxa" w:w="2492"/>
          </w:tcPr>
          <w:p>
            <w:pPr>
              <w:pStyle w:val="null3"/>
            </w:pPr>
            <w:r>
              <w:rPr>
                <w:rFonts w:ascii="仿宋_GB2312" w:hAnsi="仿宋_GB2312" w:cs="仿宋_GB2312" w:eastAsia="仿宋_GB2312"/>
              </w:rPr>
              <w:t>根据投标人提供的质量管理、品牌培育方案赋分： 1.方案紧密贴合工作实际需求，内容详尽全面，服务描述条理清晰，针对性极强，完全符合项目要求，得10分； 2.方案符合工作基本要求，整体框架较为完备，服务内容阐述较为明确，与项目需求保持一致，得8分； 3.方案与工作需求存在出入，完整性有待提升，服务内容描述不够详尽，未能充分满足项目要求，方案不具体或存在漏项，得6分； 4.方案存在严重缺陷，得3分； 5.未提供具体实施方案，得0分。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报告编制方案</w:t>
            </w:r>
          </w:p>
        </w:tc>
        <w:tc>
          <w:tcPr>
            <w:tcW w:type="dxa" w:w="2492"/>
          </w:tcPr>
          <w:p>
            <w:pPr>
              <w:pStyle w:val="null3"/>
            </w:pPr>
            <w:r>
              <w:rPr>
                <w:rFonts w:ascii="仿宋_GB2312" w:hAnsi="仿宋_GB2312" w:cs="仿宋_GB2312" w:eastAsia="仿宋_GB2312"/>
              </w:rPr>
              <w:t>根据投标人针对本项目总结报告编制方案赋分： 1.报告编制方法科学，内容完整、格式规范，符合项目实际需求，得10分； 2.报告内容完整，格式规范，符合项目实际需求，得8分； 3.报告内容基本完整，基本符合项目实际需求，得6分； 4.报告内容不完整，不符合项目实际需求，存在瑕疵，得3分； 5.未提供相关说明，得0分。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根据投标人提供的进度计划、进度保障措施赋分。 1.方案措施科学、合理、针对性强，完全满足项目要求，得5分； 2.方案措施较合理、能满足项目要求，针对性基本符合项目要求，得3分； 3.方案措施不合理，无针对性措施，得1分； 4.未提供相关说明，得0分。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根据投标人提供的项目质量控制措施赋分： 1.工作质量控制严格精准，无论是质量工作的执行，还是质量工作分析，都具有严格的质量控制体系，得5分； 2.具备基本的工作质量保障方案，符合项目要求，得3分； 3.工作质量控制与本项目不具备相关性，得1分； 4.未提供质量措施方案的，得0分。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根据投标人提供的项目内控制度赋分： 1.制度完善科学，能有效保障服务质量，得5分； 2.具备内控制度，内容简单，得3分； 3.内控制度不完善，得1分； 4.未提供相关制度，得0分。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根据投标人拟投入本项目的团队人员配备情况进行赋分： 1.投标人拟投入本项目的团队人员满足本项目实际需求，岗位职责分工明确、人员结构安排合理、主要负责人和项目组成人员具有从业经验，得10分； 2.项目团队人员有职责分工，主要负责人和项目组成人员具有从业经验，得7分； 3.项目团队人员有职责分工，得4分； 4.项目团队人员职责分工及结构安排混乱，得1分； 5.未提供人员安排，得0分。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根据投标人针对本项目实施过程中可能出现的问题提供的应急预案详述，应急工作流程，应急措施等应急预案及措施等具体内容赋分： 1.应急方案内容完整科学，符合项目实际及需求，得5分； 2.应急方案具备，基本符合项目实际需求，得3分； 3.方案内容不完整，不符合项目实际需求，存在瑕疵，得1分； 4.未提供相关说明，得0分。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2022年1月1日至今具有同类项目业绩（以合同为准，包含合同首页、关键内容页及签署页），每提供1份得2.5分，满分10分。标准相关、计量、检验检测、认证、质量管理、品牌培育、质量人才培育等方面均视为同类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