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版本号：SZT2025-SN-SC-ZC-HW-092120251011001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材料力学多功能移动创新实验平台</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SZT2025-SN-SC-ZC-HW-0921</w:t>
      </w:r>
      <w:r>
        <w:br/>
      </w:r>
      <w:r>
        <w:br/>
      </w:r>
      <w:r>
        <w:br/>
      </w:r>
    </w:p>
    <w:p>
      <w:pPr>
        <w:pStyle w:val="null3"/>
        <w:jc w:val="center"/>
        <w:outlineLvl w:val="2"/>
      </w:pPr>
      <w:r>
        <w:rPr>
          <w:rFonts w:ascii="仿宋_GB2312" w:hAnsi="仿宋_GB2312" w:cs="仿宋_GB2312" w:eastAsia="仿宋_GB2312"/>
          <w:sz w:val="28"/>
          <w:b/>
        </w:rPr>
        <w:t>陕西铁路工程职业技术学院</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2025年10月13日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陕西铁路工程职业技术学院</w:t>
      </w:r>
      <w:r>
        <w:rPr>
          <w:rFonts w:ascii="仿宋_GB2312" w:hAnsi="仿宋_GB2312" w:cs="仿宋_GB2312" w:eastAsia="仿宋_GB2312"/>
        </w:rPr>
        <w:t>委托，拟对</w:t>
      </w:r>
      <w:r>
        <w:rPr>
          <w:rFonts w:ascii="仿宋_GB2312" w:hAnsi="仿宋_GB2312" w:cs="仿宋_GB2312" w:eastAsia="仿宋_GB2312"/>
        </w:rPr>
        <w:t>材料力学多功能移动创新实验平台</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SZT2025-SN-SC-ZC-HW-0921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材料力学多功能移动创新实验平台</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计划购买1套设备包括：材料力学多功能移动创新实验平台8台、600kN电液伺服压力试验平台2台以及100kN微机控制电子万能试验机2台。</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陕西铁路工程职业技术学院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陕西省渭南市站北街东段一号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张幸</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0913-2221395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西安市高新区高新四路1号高科广场A座10楼1001室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陈先德、杨艳、李娜、史肖霞、单博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采购包1：1,082,000.00元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采购包1保证金金额：21,000.00元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开户名称：陕西中技招标有限公司（转账完成后请将转账记录、单位名称、联系方式发送至本邮箱：2580212310@qq.com，并备注清楚项目名称和项目编号）</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银行账号：129916812810001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代理服务费收费标准：参照国家计委颁布的《招标代理服务收费管理暂行办法》（计价格[2002]1980号）和（发改办价格[2003]857号）中货物类收费标准下浮20%收取。 开户名称：陕西中技招标有限公司 开户银行：招商银行西安分行营业部 银行账号：129916812810001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陕西铁路工程职业技术学院</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陕西铁路工程职业技术学院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陕西铁路工程职业技术学院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1、产品到货后，乙方负责安装调试，达到正常运行条件后书面通知甲方验收。 2、安装完成后应提供详细的安装报告，并详细记录各种指示的实测数据。 3、提供完整的操作手册和安装、调试、维修手册；提供制造厂家的检验测试报告或产品出厂检测报告。 4、甲方根据合同要求对产品进行验收、确认产品的产地、规格、型号和数量。验收依据为本合同文本、招标文件和国内相应的标准、规范。 5、验收合格后，填写产品验收单，并向甲方提交产品所包含的所有资料，以便甲方日后管理和维护。 6、验收由甲方负责组织或者邀请有关专家、质检机构、采购代理机构共同进行验收,验收须以合同、招标文件、澄清、及国家相应的标准、规范等为依据。 7、具体验收方案（包括但不限于）如下：验收由双方共同进行，外观无破损、部件齐全，符合GB/T 2611等通用标准及对应专用标准（GB/T 16491、GB/T 16826）；性能指标经校准达标，测力系统误差、变形测量精度等符合检定规程；专用工具、备品备件与清单一致；安装调试后运行正常，报告完整；技术资料齐全有效。</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地址：西安市高新区高新四路1号高科广场A座1001室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计划购买1套设备包括：材料力学多功能移动创新实验平台8台、600kN电液伺服压力试验平台2台以及100kN微机控制电子万能试验机2台。</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1,082,000.00</w:t>
      </w:r>
    </w:p>
    <w:p>
      <w:pPr>
        <w:pStyle w:val="null3"/>
      </w:pPr>
      <w:r>
        <w:rPr>
          <w:rFonts w:ascii="仿宋_GB2312" w:hAnsi="仿宋_GB2312" w:cs="仿宋_GB2312" w:eastAsia="仿宋_GB2312"/>
        </w:rPr>
        <w:t>采购包最高限价（元）: 1,082,000.00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详见该项目随附上传的采购清单</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1,082,000.00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标的名称：详见该项目随附上传的采购清单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220"/>
              <w:gridCol w:w="381"/>
              <w:gridCol w:w="1081"/>
              <w:gridCol w:w="199"/>
            </w:tblGrid>
            <w:tr>
              <w:tc>
                <w:tcPr>
                  <w:tcW w:type="dxa" w:w="2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3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设备名称</w:t>
                  </w:r>
                </w:p>
              </w:tc>
              <w:tc>
                <w:tcPr>
                  <w:tcW w:type="dxa" w:w="10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主要技术参数</w:t>
                  </w:r>
                </w:p>
              </w:tc>
              <w:tc>
                <w:tcPr>
                  <w:tcW w:type="dxa" w:w="1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材料力学多功能移动创新实验平台</w:t>
                  </w:r>
                </w:p>
              </w:tc>
              <w:tc>
                <w:tcPr>
                  <w:tcW w:type="dxa" w:w="10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材料力学多功能移动创新实验平台</w:t>
                  </w:r>
                  <w:r>
                    <w:rPr>
                      <w:rFonts w:ascii="仿宋_GB2312" w:hAnsi="仿宋_GB2312" w:cs="仿宋_GB2312" w:eastAsia="仿宋_GB2312"/>
                      <w:sz w:val="21"/>
                    </w:rPr>
                    <w:t>1套包括：材料力学多功能移动创新实验平台8台，100kN微机控制电子万能试验机2台，600kN电液伺服压力试验平台2台。</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材料力学多功能移动创新实验平台</w:t>
                  </w:r>
                  <w:r>
                    <w:rPr>
                      <w:rFonts w:ascii="仿宋_GB2312" w:hAnsi="仿宋_GB2312" w:cs="仿宋_GB2312" w:eastAsia="仿宋_GB2312"/>
                      <w:sz w:val="21"/>
                    </w:rPr>
                    <w:t>（</w:t>
                  </w:r>
                  <w:r>
                    <w:rPr>
                      <w:rFonts w:ascii="仿宋_GB2312" w:hAnsi="仿宋_GB2312" w:cs="仿宋_GB2312" w:eastAsia="仿宋_GB2312"/>
                      <w:sz w:val="21"/>
                    </w:rPr>
                    <w:t>8台</w:t>
                  </w:r>
                  <w:r>
                    <w:rPr>
                      <w:rFonts w:ascii="仿宋_GB2312" w:hAnsi="仿宋_GB2312" w:cs="仿宋_GB2312" w:eastAsia="仿宋_GB2312"/>
                      <w:sz w:val="21"/>
                    </w:rPr>
                    <w:t>）</w:t>
                  </w:r>
                  <w:r>
                    <w:rPr>
                      <w:rFonts w:ascii="仿宋_GB2312" w:hAnsi="仿宋_GB2312" w:cs="仿宋_GB2312" w:eastAsia="仿宋_GB2312"/>
                      <w:sz w:val="21"/>
                    </w:rPr>
                    <w:t>核心产品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1）实验台承载载荷：≥20kN，表面均布=50×50mm模数孔，同时开有间距=50mm的T型槽；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2）实验试件最大加载载荷：≥5000N；</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）加载机构作用行程：</w:t>
                  </w:r>
                  <w:r>
                    <w:rPr>
                      <w:rFonts w:ascii="仿宋_GB2312" w:hAnsi="仿宋_GB2312" w:cs="仿宋_GB2312" w:eastAsia="仿宋_GB2312"/>
                      <w:sz w:val="21"/>
                    </w:rPr>
                    <w:t>≥60mm；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）手轮加载转矩范围：</w:t>
                  </w:r>
                  <w:r>
                    <w:rPr>
                      <w:rFonts w:ascii="仿宋_GB2312" w:hAnsi="仿宋_GB2312" w:cs="仿宋_GB2312" w:eastAsia="仿宋_GB2312"/>
                      <w:sz w:val="21"/>
                    </w:rPr>
                    <w:t>≥2.5N</w:t>
                  </w:r>
                  <w:r>
                    <w:rPr>
                      <w:rFonts w:ascii="仿宋_GB2312" w:hAnsi="仿宋_GB2312" w:cs="仿宋_GB2312" w:eastAsia="仿宋_GB2312"/>
                      <w:sz w:val="21"/>
                    </w:rPr>
                    <w:t>·</w:t>
                  </w:r>
                  <w:r>
                    <w:rPr>
                      <w:rFonts w:ascii="仿宋_GB2312" w:hAnsi="仿宋_GB2312" w:cs="仿宋_GB2312" w:eastAsia="仿宋_GB2312"/>
                      <w:sz w:val="21"/>
                    </w:rPr>
                    <w:t>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）加载速度：</w:t>
                  </w:r>
                  <w:r>
                    <w:rPr>
                      <w:rFonts w:ascii="仿宋_GB2312" w:hAnsi="仿宋_GB2312" w:cs="仿宋_GB2312" w:eastAsia="仿宋_GB2312"/>
                      <w:sz w:val="21"/>
                    </w:rPr>
                    <w:t>≤0.15mm/转（手轮）；</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）载荷传感器：</w:t>
                  </w:r>
                  <w:r>
                    <w:rPr>
                      <w:rFonts w:ascii="仿宋_GB2312" w:hAnsi="仿宋_GB2312" w:cs="仿宋_GB2312" w:eastAsia="仿宋_GB2312"/>
                      <w:sz w:val="21"/>
                    </w:rPr>
                    <w:t>≥5000N；</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）输出灵敏度：</w:t>
                  </w:r>
                  <w:r>
                    <w:rPr>
                      <w:rFonts w:ascii="仿宋_GB2312" w:hAnsi="仿宋_GB2312" w:cs="仿宋_GB2312" w:eastAsia="仿宋_GB2312"/>
                      <w:sz w:val="21"/>
                    </w:rPr>
                    <w:t>≤2.00mV/V；</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）载荷分辨率：</w:t>
                  </w:r>
                  <w:r>
                    <w:rPr>
                      <w:rFonts w:ascii="仿宋_GB2312" w:hAnsi="仿宋_GB2312" w:cs="仿宋_GB2312" w:eastAsia="仿宋_GB2312"/>
                      <w:sz w:val="21"/>
                    </w:rPr>
                    <w:t>≤0.01%FS；</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）桥路形式：全桥；</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）激励电压：</w:t>
                  </w:r>
                  <w:r>
                    <w:rPr>
                      <w:rFonts w:ascii="仿宋_GB2312" w:hAnsi="仿宋_GB2312" w:cs="仿宋_GB2312" w:eastAsia="仿宋_GB2312"/>
                      <w:sz w:val="21"/>
                    </w:rPr>
                    <w:t>2～12V；</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）综合精度：</w:t>
                  </w:r>
                  <w:r>
                    <w:rPr>
                      <w:rFonts w:ascii="仿宋_GB2312" w:hAnsi="仿宋_GB2312" w:cs="仿宋_GB2312" w:eastAsia="仿宋_GB2312"/>
                      <w:sz w:val="21"/>
                    </w:rPr>
                    <w:t>≤0.5%F.S；</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）非线性：</w:t>
                  </w:r>
                  <w:r>
                    <w:rPr>
                      <w:rFonts w:ascii="仿宋_GB2312" w:hAnsi="仿宋_GB2312" w:cs="仿宋_GB2312" w:eastAsia="仿宋_GB2312"/>
                      <w:sz w:val="21"/>
                    </w:rPr>
                    <w:t>≤0.5%F.S；</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）过载能力：</w:t>
                  </w:r>
                  <w:r>
                    <w:rPr>
                      <w:rFonts w:ascii="仿宋_GB2312" w:hAnsi="仿宋_GB2312" w:cs="仿宋_GB2312" w:eastAsia="仿宋_GB2312"/>
                      <w:sz w:val="21"/>
                    </w:rPr>
                    <w:t>≥120%F.S；</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）加载砝码：</w:t>
                  </w:r>
                  <w:r>
                    <w:rPr>
                      <w:rFonts w:ascii="仿宋_GB2312" w:hAnsi="仿宋_GB2312" w:cs="仿宋_GB2312" w:eastAsia="仿宋_GB2312"/>
                      <w:sz w:val="21"/>
                    </w:rPr>
                    <w:t>5N/个（≥4个）；</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）实验装置主要功能：</w:t>
                  </w:r>
                </w:p>
                <w:p>
                  <w:pPr>
                    <w:pStyle w:val="null3"/>
                    <w:jc w:val="both"/>
                  </w:pPr>
                  <w:r>
                    <w:rPr>
                      <w:rFonts w:ascii="仿宋_GB2312" w:hAnsi="仿宋_GB2312" w:cs="仿宋_GB2312" w:eastAsia="仿宋_GB2312"/>
                      <w:sz w:val="21"/>
                    </w:rPr>
                    <w:t>①纯弯曲梁横截面上正应力的分布规律实验（验证性）；</w:t>
                  </w:r>
                </w:p>
                <w:p>
                  <w:pPr>
                    <w:pStyle w:val="null3"/>
                    <w:jc w:val="both"/>
                  </w:pPr>
                  <w:r>
                    <w:rPr>
                      <w:rFonts w:ascii="仿宋_GB2312" w:hAnsi="仿宋_GB2312" w:cs="仿宋_GB2312" w:eastAsia="仿宋_GB2312"/>
                      <w:sz w:val="21"/>
                    </w:rPr>
                    <w:t>②空心薄壁管弯扭组合受力变形主应力测定实验（设计性）；</w:t>
                  </w:r>
                </w:p>
                <w:p>
                  <w:pPr>
                    <w:pStyle w:val="null3"/>
                    <w:jc w:val="both"/>
                  </w:pPr>
                  <w:r>
                    <w:rPr>
                      <w:rFonts w:ascii="仿宋_GB2312" w:hAnsi="仿宋_GB2312" w:cs="仿宋_GB2312" w:eastAsia="仿宋_GB2312"/>
                      <w:sz w:val="21"/>
                    </w:rPr>
                    <w:t>③空心薄壁圆管受弯扭组合载荷内力素测定实验（设计性）；</w:t>
                  </w:r>
                </w:p>
                <w:p>
                  <w:pPr>
                    <w:pStyle w:val="null3"/>
                    <w:jc w:val="both"/>
                  </w:pPr>
                  <w:r>
                    <w:rPr>
                      <w:rFonts w:ascii="仿宋_GB2312" w:hAnsi="仿宋_GB2312" w:cs="仿宋_GB2312" w:eastAsia="仿宋_GB2312"/>
                      <w:sz w:val="21"/>
                    </w:rPr>
                    <w:t>④材料弹性模量E，泊松比</w:t>
                  </w:r>
                  <w:r>
                    <w:rPr>
                      <w:rFonts w:ascii="仿宋_GB2312" w:hAnsi="仿宋_GB2312" w:cs="仿宋_GB2312" w:eastAsia="仿宋_GB2312"/>
                      <w:sz w:val="21"/>
                    </w:rPr>
                    <w:t>µ</w:t>
                  </w:r>
                  <w:r>
                    <w:rPr>
                      <w:rFonts w:ascii="仿宋_GB2312" w:hAnsi="仿宋_GB2312" w:cs="仿宋_GB2312" w:eastAsia="仿宋_GB2312"/>
                      <w:sz w:val="21"/>
                    </w:rPr>
                    <w:t>的测定实验（设计性）；</w:t>
                  </w:r>
                </w:p>
                <w:p>
                  <w:pPr>
                    <w:pStyle w:val="null3"/>
                    <w:jc w:val="both"/>
                  </w:pPr>
                  <w:r>
                    <w:rPr>
                      <w:rFonts w:ascii="仿宋_GB2312" w:hAnsi="仿宋_GB2312" w:cs="仿宋_GB2312" w:eastAsia="仿宋_GB2312"/>
                      <w:sz w:val="21"/>
                    </w:rPr>
                    <w:t>⑤</w:t>
                  </w:r>
                  <w:r>
                    <w:rPr>
                      <w:rFonts w:ascii="仿宋_GB2312" w:hAnsi="仿宋_GB2312" w:cs="仿宋_GB2312" w:eastAsia="仿宋_GB2312"/>
                      <w:sz w:val="21"/>
                    </w:rPr>
                    <w:t>偏心拉伸内力素测定实验（拉弯组合变形实验）（设计性）；</w:t>
                  </w:r>
                </w:p>
                <w:p>
                  <w:pPr>
                    <w:pStyle w:val="null3"/>
                    <w:jc w:val="both"/>
                  </w:pPr>
                  <w:r>
                    <w:rPr>
                      <w:rFonts w:ascii="仿宋_GB2312" w:hAnsi="仿宋_GB2312" w:cs="仿宋_GB2312" w:eastAsia="仿宋_GB2312"/>
                      <w:sz w:val="21"/>
                    </w:rPr>
                    <w:t>⑥</w:t>
                  </w:r>
                  <w:r>
                    <w:rPr>
                      <w:rFonts w:ascii="仿宋_GB2312" w:hAnsi="仿宋_GB2312" w:cs="仿宋_GB2312" w:eastAsia="仿宋_GB2312"/>
                      <w:sz w:val="21"/>
                    </w:rPr>
                    <w:t>不同支撑方式压杆稳定实验（验证性）（一端固支，一端铰支，两端固支，两端铰支）在</w:t>
                  </w:r>
                  <w:r>
                    <w:rPr>
                      <w:rFonts w:ascii="仿宋_GB2312" w:hAnsi="仿宋_GB2312" w:cs="仿宋_GB2312" w:eastAsia="仿宋_GB2312"/>
                      <w:sz w:val="21"/>
                    </w:rPr>
                    <w:t>100Hz～500Hz采样频率运行，同时数据在液晶屏显示实时；</w:t>
                  </w:r>
                </w:p>
                <w:p>
                  <w:pPr>
                    <w:pStyle w:val="null3"/>
                    <w:jc w:val="both"/>
                  </w:pPr>
                  <w:r>
                    <w:rPr>
                      <w:rFonts w:ascii="仿宋_GB2312" w:hAnsi="仿宋_GB2312" w:cs="仿宋_GB2312" w:eastAsia="仿宋_GB2312"/>
                      <w:sz w:val="21"/>
                    </w:rPr>
                    <w:t>⑦</w:t>
                  </w:r>
                  <w:r>
                    <w:rPr>
                      <w:rFonts w:ascii="仿宋_GB2312" w:hAnsi="仿宋_GB2312" w:cs="仿宋_GB2312" w:eastAsia="仿宋_GB2312"/>
                      <w:sz w:val="21"/>
                    </w:rPr>
                    <w:t>等强度梁正应力实验；</w:t>
                  </w:r>
                </w:p>
                <w:p>
                  <w:pPr>
                    <w:pStyle w:val="null3"/>
                    <w:jc w:val="both"/>
                  </w:pPr>
                  <w:r>
                    <w:rPr>
                      <w:rFonts w:ascii="仿宋_GB2312" w:hAnsi="仿宋_GB2312" w:cs="仿宋_GB2312" w:eastAsia="仿宋_GB2312"/>
                      <w:sz w:val="21"/>
                    </w:rPr>
                    <w:t>⑧</w:t>
                  </w:r>
                  <w:r>
                    <w:rPr>
                      <w:rFonts w:ascii="仿宋_GB2312" w:hAnsi="仿宋_GB2312" w:cs="仿宋_GB2312" w:eastAsia="仿宋_GB2312"/>
                      <w:sz w:val="21"/>
                    </w:rPr>
                    <w:t>薄壁圆管纯扭转实验（综合性）。</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）仪器主要技术指标：</w:t>
                  </w:r>
                </w:p>
                <w:p>
                  <w:pPr>
                    <w:pStyle w:val="null3"/>
                    <w:jc w:val="both"/>
                  </w:pPr>
                  <w:r>
                    <w:rPr>
                      <w:rFonts w:ascii="仿宋_GB2312" w:hAnsi="仿宋_GB2312" w:cs="仿宋_GB2312" w:eastAsia="仿宋_GB2312"/>
                      <w:sz w:val="21"/>
                    </w:rPr>
                    <w:t>①</w:t>
                  </w:r>
                  <w:r>
                    <w:rPr>
                      <w:rFonts w:ascii="仿宋_GB2312" w:hAnsi="仿宋_GB2312" w:cs="仿宋_GB2312" w:eastAsia="仿宋_GB2312"/>
                      <w:sz w:val="21"/>
                    </w:rPr>
                    <w:t>▲</w:t>
                  </w:r>
                  <w:r>
                    <w:rPr>
                      <w:rFonts w:ascii="仿宋_GB2312" w:hAnsi="仿宋_GB2312" w:cs="仿宋_GB2312" w:eastAsia="仿宋_GB2312"/>
                      <w:sz w:val="21"/>
                    </w:rPr>
                    <w:t>主机测点（通道）：</w:t>
                  </w: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点，显示屏可单独显示力值或位移窗口；</w:t>
                  </w:r>
                </w:p>
                <w:p>
                  <w:pPr>
                    <w:pStyle w:val="null3"/>
                    <w:jc w:val="both"/>
                  </w:pPr>
                  <w:r>
                    <w:rPr>
                      <w:rFonts w:ascii="仿宋_GB2312" w:hAnsi="仿宋_GB2312" w:cs="仿宋_GB2312" w:eastAsia="仿宋_GB2312"/>
                      <w:sz w:val="21"/>
                    </w:rPr>
                    <w:t>②分辨率：应变：≤0.1με；</w:t>
                  </w:r>
                </w:p>
                <w:p>
                  <w:pPr>
                    <w:pStyle w:val="null3"/>
                    <w:jc w:val="both"/>
                  </w:pPr>
                  <w:r>
                    <w:rPr>
                      <w:rFonts w:ascii="仿宋_GB2312" w:hAnsi="仿宋_GB2312" w:cs="仿宋_GB2312" w:eastAsia="仿宋_GB2312"/>
                      <w:sz w:val="21"/>
                    </w:rPr>
                    <w:t>③灵敏系数设置方式：单点设置、统一设置。参数设置密码控制进入；</w:t>
                  </w:r>
                </w:p>
                <w:p>
                  <w:pPr>
                    <w:pStyle w:val="null3"/>
                    <w:jc w:val="both"/>
                  </w:pPr>
                  <w:r>
                    <w:rPr>
                      <w:rFonts w:ascii="仿宋_GB2312" w:hAnsi="仿宋_GB2312" w:cs="仿宋_GB2312" w:eastAsia="仿宋_GB2312"/>
                      <w:sz w:val="21"/>
                    </w:rPr>
                    <w:t>④采样频率：0.8Hz～2kHz；</w:t>
                  </w:r>
                </w:p>
                <w:p>
                  <w:pPr>
                    <w:pStyle w:val="null3"/>
                    <w:jc w:val="both"/>
                  </w:pPr>
                  <w:r>
                    <w:rPr>
                      <w:rFonts w:ascii="仿宋_GB2312" w:hAnsi="仿宋_GB2312" w:cs="仿宋_GB2312" w:eastAsia="仿宋_GB2312"/>
                      <w:sz w:val="21"/>
                    </w:rPr>
                    <w:t>⑤</w:t>
                  </w:r>
                  <w:r>
                    <w:rPr>
                      <w:rFonts w:ascii="仿宋_GB2312" w:hAnsi="仿宋_GB2312" w:cs="仿宋_GB2312" w:eastAsia="仿宋_GB2312"/>
                      <w:sz w:val="21"/>
                    </w:rPr>
                    <w:t>显示方式：</w:t>
                  </w:r>
                  <w:r>
                    <w:rPr>
                      <w:rFonts w:ascii="仿宋_GB2312" w:hAnsi="仿宋_GB2312" w:cs="仿宋_GB2312" w:eastAsia="仿宋_GB2312"/>
                      <w:sz w:val="21"/>
                    </w:rPr>
                    <w:t>≥7寸液晶显示；通用模式、高速模式、计算机控制模式；</w:t>
                  </w:r>
                </w:p>
                <w:p>
                  <w:pPr>
                    <w:pStyle w:val="null3"/>
                    <w:jc w:val="both"/>
                  </w:pPr>
                  <w:r>
                    <w:rPr>
                      <w:rFonts w:ascii="仿宋_GB2312" w:hAnsi="仿宋_GB2312" w:cs="仿宋_GB2312" w:eastAsia="仿宋_GB2312"/>
                      <w:sz w:val="21"/>
                    </w:rPr>
                    <w:t>⑥</w:t>
                  </w:r>
                  <w:r>
                    <w:rPr>
                      <w:rFonts w:ascii="仿宋_GB2312" w:hAnsi="仿宋_GB2312" w:cs="仿宋_GB2312" w:eastAsia="仿宋_GB2312"/>
                      <w:sz w:val="21"/>
                    </w:rPr>
                    <w:t>脱机状态数据存储，曲线图数据回放，支持联机导出。</w:t>
                  </w:r>
                </w:p>
                <w:p>
                  <w:pPr>
                    <w:pStyle w:val="null3"/>
                    <w:jc w:val="both"/>
                  </w:pPr>
                  <w:r>
                    <w:rPr>
                      <w:rFonts w:ascii="仿宋_GB2312" w:hAnsi="仿宋_GB2312" w:cs="仿宋_GB2312" w:eastAsia="仿宋_GB2312"/>
                      <w:sz w:val="21"/>
                    </w:rPr>
                    <w:t>⑦</w:t>
                  </w:r>
                  <w:r>
                    <w:rPr>
                      <w:rFonts w:ascii="仿宋_GB2312" w:hAnsi="仿宋_GB2312" w:cs="仿宋_GB2312" w:eastAsia="仿宋_GB2312"/>
                      <w:sz w:val="21"/>
                    </w:rPr>
                    <w:t>▲</w:t>
                  </w:r>
                  <w:r>
                    <w:rPr>
                      <w:rFonts w:ascii="仿宋_GB2312" w:hAnsi="仿宋_GB2312" w:cs="仿宋_GB2312" w:eastAsia="仿宋_GB2312"/>
                      <w:sz w:val="21"/>
                    </w:rPr>
                    <w:t>过载报警功能：过载蜂鸣器报警，报警开关设置，报警值随意设置；</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7</w:t>
                  </w:r>
                  <w:r>
                    <w:rPr>
                      <w:rFonts w:ascii="仿宋_GB2312" w:hAnsi="仿宋_GB2312" w:cs="仿宋_GB2312" w:eastAsia="仿宋_GB2312"/>
                      <w:sz w:val="21"/>
                    </w:rPr>
                    <w:t>）测试软件可将文件数据转换为</w:t>
                  </w:r>
                  <w:r>
                    <w:rPr>
                      <w:rFonts w:ascii="仿宋_GB2312" w:hAnsi="仿宋_GB2312" w:cs="仿宋_GB2312" w:eastAsia="仿宋_GB2312"/>
                      <w:sz w:val="21"/>
                    </w:rPr>
                    <w:t>Txt或Excel文档进行保存，具有应力折算，应力变化计算等软件分析功能，压杆稳定实验模块及动态实验分析；</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18</w:t>
                  </w:r>
                  <w:r>
                    <w:rPr>
                      <w:rFonts w:ascii="仿宋_GB2312" w:hAnsi="仿宋_GB2312" w:cs="仿宋_GB2312" w:eastAsia="仿宋_GB2312"/>
                      <w:sz w:val="21"/>
                    </w:rPr>
                    <w:t>）配套的虚拟仿真软件一套，软件包含纯弯曲梁实验、弹性模量测定实验、电桥测试原理、弯扭组合变形实验、等强度梁弯曲变形实验、偏心拉伸试验、压杆稳定试验，每个实验模块包含：实验项目功能内容显示（实验目的、实验原理、实验参数设置、实验加载步骤、实验数据记录导出、实验分析、实验报告模版等内容），实验相关参数查看和修改，实验梁截面形状选择，材料性质选择及相关参数修改，加载大小可任意设置，实验相关参数同屏显示，实验仿真逐级加载操作，实时数据显示，仿真实验数据记录及数据导出；仿真实验分析（显示实验参数、实验数据、实验结果处理等内容），实验报告模版。</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100kN微机控制电子万能试验机</w:t>
                  </w:r>
                  <w:r>
                    <w:rPr>
                      <w:rFonts w:ascii="仿宋_GB2312" w:hAnsi="仿宋_GB2312" w:cs="仿宋_GB2312" w:eastAsia="仿宋_GB2312"/>
                      <w:sz w:val="21"/>
                    </w:rPr>
                    <w:t>（</w:t>
                  </w:r>
                  <w:r>
                    <w:rPr>
                      <w:rFonts w:ascii="仿宋_GB2312" w:hAnsi="仿宋_GB2312" w:cs="仿宋_GB2312" w:eastAsia="仿宋_GB2312"/>
                      <w:sz w:val="21"/>
                    </w:rPr>
                    <w:t>2台</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最大试验力：</w:t>
                  </w:r>
                  <w:r>
                    <w:rPr>
                      <w:rFonts w:ascii="仿宋_GB2312" w:hAnsi="仿宋_GB2312" w:cs="仿宋_GB2312" w:eastAsia="仿宋_GB2312"/>
                      <w:sz w:val="21"/>
                    </w:rPr>
                    <w:t>≥100kN；</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2）准确度等级：≤0.5级；</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3）试验力测量范围：0.4%～100%额定负荷；</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4）试验力示值误差：示值的±0.5%以内；</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5）试验力分辨力：≤1/</w:t>
                  </w:r>
                  <w:r>
                    <w:rPr>
                      <w:rFonts w:ascii="仿宋_GB2312" w:hAnsi="仿宋_GB2312" w:cs="仿宋_GB2312" w:eastAsia="仿宋_GB2312"/>
                      <w:sz w:val="21"/>
                    </w:rPr>
                    <w:t>5</w:t>
                  </w:r>
                  <w:r>
                    <w:rPr>
                      <w:rFonts w:ascii="仿宋_GB2312" w:hAnsi="仿宋_GB2312" w:cs="仿宋_GB2312" w:eastAsia="仿宋_GB2312"/>
                      <w:sz w:val="21"/>
                    </w:rPr>
                    <w:t>00000FS；</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6）位移示值误差：示值的±0.5%以内；</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7）位移分辨率：≤0.04μm；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8）变形测量范围：0.4%～100%F.S；</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 xml:space="preserve">9）变形示值相对误差：示值的±0.5%以内；                                  </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10）应力控制速率范围：0.005～5%FS/s；</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11）应力控制速率精度：</w:t>
                  </w:r>
                </w:p>
                <w:p>
                  <w:pPr>
                    <w:pStyle w:val="null3"/>
                    <w:jc w:val="both"/>
                  </w:pPr>
                  <w:r>
                    <w:rPr>
                      <w:rFonts w:ascii="仿宋_GB2312" w:hAnsi="仿宋_GB2312" w:cs="仿宋_GB2312" w:eastAsia="仿宋_GB2312"/>
                      <w:sz w:val="21"/>
                    </w:rPr>
                    <w:t>速率＜</w:t>
                  </w:r>
                  <w:r>
                    <w:rPr>
                      <w:rFonts w:ascii="仿宋_GB2312" w:hAnsi="仿宋_GB2312" w:cs="仿宋_GB2312" w:eastAsia="仿宋_GB2312"/>
                      <w:sz w:val="21"/>
                    </w:rPr>
                    <w:t>0.05%FS/s时，为设定值的±1%以内；速率≥0.05%FS/s时，为设定值的±0.5%以内；</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12）应变控制速率范围：0.005～5%FS/s；</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13）应变控制速率精度：</w:t>
                  </w:r>
                </w:p>
                <w:p>
                  <w:pPr>
                    <w:pStyle w:val="null3"/>
                    <w:jc w:val="both"/>
                  </w:pPr>
                  <w:r>
                    <w:rPr>
                      <w:rFonts w:ascii="仿宋_GB2312" w:hAnsi="仿宋_GB2312" w:cs="仿宋_GB2312" w:eastAsia="仿宋_GB2312"/>
                      <w:sz w:val="21"/>
                    </w:rPr>
                    <w:t>速率＜</w:t>
                  </w:r>
                  <w:r>
                    <w:rPr>
                      <w:rFonts w:ascii="仿宋_GB2312" w:hAnsi="仿宋_GB2312" w:cs="仿宋_GB2312" w:eastAsia="仿宋_GB2312"/>
                      <w:sz w:val="21"/>
                    </w:rPr>
                    <w:t>0.05%FS/s时，为设定值的±1%以内；速率≥0.05%FS/s时，为设定值的±0.5%以内；</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14）位移控制速率范围：0.001～500mm/min；</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15）位移控制速率精度：设定位移的±0.</w:t>
                  </w:r>
                  <w:r>
                    <w:rPr>
                      <w:rFonts w:ascii="仿宋_GB2312" w:hAnsi="仿宋_GB2312" w:cs="仿宋_GB2312" w:eastAsia="仿宋_GB2312"/>
                      <w:sz w:val="21"/>
                    </w:rPr>
                    <w:t>5</w:t>
                  </w:r>
                  <w:r>
                    <w:rPr>
                      <w:rFonts w:ascii="仿宋_GB2312" w:hAnsi="仿宋_GB2312" w:cs="仿宋_GB2312" w:eastAsia="仿宋_GB2312"/>
                      <w:sz w:val="21"/>
                    </w:rPr>
                    <w:t xml:space="preserve">%或位移的±0.01mm以内；                                </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16）有效试验宽度：≥600mm；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17）横梁移动行程（不安装夹具）：≥900mm；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18）楔形拉伸夹具一套（平夹块：0～</w:t>
                  </w:r>
                  <w:r>
                    <w:rPr>
                      <w:rFonts w:ascii="仿宋_GB2312" w:hAnsi="仿宋_GB2312" w:cs="仿宋_GB2312" w:eastAsia="仿宋_GB2312"/>
                      <w:sz w:val="21"/>
                    </w:rPr>
                    <w:t>10</w:t>
                  </w:r>
                  <w:r>
                    <w:rPr>
                      <w:rFonts w:ascii="仿宋_GB2312" w:hAnsi="仿宋_GB2312" w:cs="仿宋_GB2312" w:eastAsia="仿宋_GB2312"/>
                      <w:sz w:val="21"/>
                    </w:rPr>
                    <w:t>mm，V 型夹块：Φ</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Φ</w:t>
                  </w:r>
                  <w:r>
                    <w:rPr>
                      <w:rFonts w:ascii="仿宋_GB2312" w:hAnsi="仿宋_GB2312" w:cs="仿宋_GB2312" w:eastAsia="仿宋_GB2312"/>
                      <w:sz w:val="21"/>
                    </w:rPr>
                    <w:t>10</w:t>
                  </w:r>
                  <w:r>
                    <w:rPr>
                      <w:rFonts w:ascii="仿宋_GB2312" w:hAnsi="仿宋_GB2312" w:cs="仿宋_GB2312" w:eastAsia="仿宋_GB2312"/>
                      <w:sz w:val="21"/>
                    </w:rPr>
                    <w:t>mm），压缩夹具一套（盘径 ≥100mm），三点弯曲夹具一套（跨距 ≥3</w:t>
                  </w:r>
                  <w:r>
                    <w:rPr>
                      <w:rFonts w:ascii="仿宋_GB2312" w:hAnsi="仿宋_GB2312" w:cs="仿宋_GB2312" w:eastAsia="仿宋_GB2312"/>
                      <w:sz w:val="21"/>
                    </w:rPr>
                    <w:t>0</w:t>
                  </w:r>
                  <w:r>
                    <w:rPr>
                      <w:rFonts w:ascii="仿宋_GB2312" w:hAnsi="仿宋_GB2312" w:cs="仿宋_GB2312" w:eastAsia="仿宋_GB2312"/>
                      <w:sz w:val="21"/>
                    </w:rPr>
                    <w:t>0mm，弯心半径 ≥R10，支辊半径 ≥R10，支辊宽度：≥80mm），电子引伸计一套（标距≥50mm，变形量≤10mm）。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19）测控软件一套，软件要求如下：</w:t>
                  </w:r>
                </w:p>
                <w:p>
                  <w:pPr>
                    <w:pStyle w:val="null3"/>
                    <w:jc w:val="both"/>
                  </w:pPr>
                  <w:r>
                    <w:rPr>
                      <w:rFonts w:ascii="仿宋_GB2312" w:hAnsi="仿宋_GB2312" w:cs="仿宋_GB2312" w:eastAsia="仿宋_GB2312"/>
                      <w:sz w:val="21"/>
                    </w:rPr>
                    <w:t>①可实现批量试验功能，即：试验条件设定后，可依次完成一批样品的试验，试验条件和样件参数可存储，随时调用；</w:t>
                  </w:r>
                </w:p>
                <w:p>
                  <w:pPr>
                    <w:pStyle w:val="null3"/>
                    <w:jc w:val="both"/>
                  </w:pPr>
                  <w:r>
                    <w:rPr>
                      <w:rFonts w:ascii="仿宋_GB2312" w:hAnsi="仿宋_GB2312" w:cs="仿宋_GB2312" w:eastAsia="仿宋_GB2312"/>
                      <w:sz w:val="21"/>
                    </w:rPr>
                    <w:t>②可做恒负荷、恒位移、恒应变试验，全数字控制，具有负荷、位移、应变三种闭环控制；</w:t>
                  </w:r>
                </w:p>
                <w:p>
                  <w:pPr>
                    <w:pStyle w:val="null3"/>
                    <w:jc w:val="both"/>
                  </w:pPr>
                  <w:r>
                    <w:rPr>
                      <w:rFonts w:ascii="仿宋_GB2312" w:hAnsi="仿宋_GB2312" w:cs="仿宋_GB2312" w:eastAsia="仿宋_GB2312"/>
                      <w:sz w:val="21"/>
                    </w:rPr>
                    <w:t>③坐标系统可由用户任意设定XY轴通道和量程并自适应通道值的变化。在试验过程中也可切换曲线类型，自动调整坐标系统并重绘。</w:t>
                  </w:r>
                </w:p>
                <w:p>
                  <w:pPr>
                    <w:pStyle w:val="null3"/>
                    <w:jc w:val="both"/>
                  </w:pPr>
                  <w:r>
                    <w:rPr>
                      <w:rFonts w:ascii="仿宋_GB2312" w:hAnsi="仿宋_GB2312" w:cs="仿宋_GB2312" w:eastAsia="仿宋_GB2312"/>
                      <w:sz w:val="21"/>
                    </w:rPr>
                    <w:t>④开放式通道，可根据不同的标准编辑添加相应的试验方案，可同组批量进行试验，并对试验结果进行自动统计分析；</w:t>
                  </w:r>
                </w:p>
                <w:p>
                  <w:pPr>
                    <w:pStyle w:val="null3"/>
                    <w:jc w:val="both"/>
                  </w:pPr>
                  <w:r>
                    <w:rPr>
                      <w:rFonts w:ascii="仿宋_GB2312" w:hAnsi="仿宋_GB2312" w:cs="仿宋_GB2312" w:eastAsia="仿宋_GB2312"/>
                      <w:sz w:val="21"/>
                    </w:rPr>
                    <w:t>⑤用户可自行设置试验程序流程，通过多段控制自动无冲击切换完成编程复杂试验。</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0</w:t>
                  </w:r>
                  <w:r>
                    <w:rPr>
                      <w:rFonts w:ascii="仿宋_GB2312" w:hAnsi="仿宋_GB2312" w:cs="仿宋_GB2312" w:eastAsia="仿宋_GB2312"/>
                      <w:sz w:val="21"/>
                    </w:rPr>
                    <w:t>）结构分析软件一套，软件要求如下：</w:t>
                  </w:r>
                </w:p>
                <w:p>
                  <w:pPr>
                    <w:pStyle w:val="null3"/>
                    <w:jc w:val="both"/>
                  </w:pPr>
                  <w:r>
                    <w:rPr>
                      <w:rFonts w:ascii="仿宋_GB2312" w:hAnsi="仿宋_GB2312" w:cs="仿宋_GB2312" w:eastAsia="仿宋_GB2312"/>
                      <w:sz w:val="21"/>
                    </w:rPr>
                    <w:t>①软件应既适用于层概念清晰的常规多高层结构，也适用于无层概念的空间、大跨结构及工业构筑物、特种结构等；</w:t>
                  </w:r>
                </w:p>
                <w:p>
                  <w:pPr>
                    <w:pStyle w:val="null3"/>
                    <w:jc w:val="both"/>
                  </w:pPr>
                  <w:r>
                    <w:rPr>
                      <w:rFonts w:ascii="仿宋_GB2312" w:hAnsi="仿宋_GB2312" w:cs="仿宋_GB2312" w:eastAsia="仿宋_GB2312"/>
                      <w:sz w:val="21"/>
                    </w:rPr>
                    <w:t>②</w:t>
                  </w:r>
                  <w:r>
                    <w:rPr>
                      <w:rFonts w:ascii="仿宋_GB2312" w:hAnsi="仿宋_GB2312" w:cs="仿宋_GB2312" w:eastAsia="仿宋_GB2312"/>
                      <w:sz w:val="21"/>
                    </w:rPr>
                    <w:t>应提供常用结构建模助手；</w:t>
                  </w:r>
                </w:p>
                <w:p>
                  <w:pPr>
                    <w:pStyle w:val="null3"/>
                    <w:jc w:val="both"/>
                  </w:pPr>
                  <w:r>
                    <w:rPr>
                      <w:rFonts w:ascii="仿宋_GB2312" w:hAnsi="仿宋_GB2312" w:cs="仿宋_GB2312" w:eastAsia="仿宋_GB2312"/>
                      <w:sz w:val="21"/>
                    </w:rPr>
                    <w:t>③</w:t>
                  </w:r>
                  <w:r>
                    <w:rPr>
                      <w:rFonts w:ascii="仿宋_GB2312" w:hAnsi="仿宋_GB2312" w:cs="仿宋_GB2312" w:eastAsia="仿宋_GB2312"/>
                      <w:sz w:val="21"/>
                    </w:rPr>
                    <w:t>支持钢结构优化设计、支持异形截面分析验算，支持钢结构抗震性能化设计。</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600kN电液伺服压力试验平台</w:t>
                  </w:r>
                  <w:r>
                    <w:rPr>
                      <w:rFonts w:ascii="仿宋_GB2312" w:hAnsi="仿宋_GB2312" w:cs="仿宋_GB2312" w:eastAsia="仿宋_GB2312"/>
                      <w:sz w:val="21"/>
                    </w:rPr>
                    <w:t>（</w:t>
                  </w:r>
                  <w:r>
                    <w:rPr>
                      <w:rFonts w:ascii="仿宋_GB2312" w:hAnsi="仿宋_GB2312" w:cs="仿宋_GB2312" w:eastAsia="仿宋_GB2312"/>
                      <w:sz w:val="21"/>
                    </w:rPr>
                    <w:t>2台</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最大试验力：</w:t>
                  </w:r>
                  <w:r>
                    <w:rPr>
                      <w:rFonts w:ascii="仿宋_GB2312" w:hAnsi="仿宋_GB2312" w:cs="仿宋_GB2312" w:eastAsia="仿宋_GB2312"/>
                      <w:sz w:val="21"/>
                    </w:rPr>
                    <w:t>≥600kN；</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2）试验机级别：≤0.5 级；</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3）有效测力范围：最大负荷的 1%～100%；</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4）试验力分辨力：≤1/</w:t>
                  </w:r>
                  <w:r>
                    <w:rPr>
                      <w:rFonts w:ascii="仿宋_GB2312" w:hAnsi="仿宋_GB2312" w:cs="仿宋_GB2312" w:eastAsia="仿宋_GB2312"/>
                      <w:sz w:val="21"/>
                    </w:rPr>
                    <w:t>5</w:t>
                  </w:r>
                  <w:r>
                    <w:rPr>
                      <w:rFonts w:ascii="仿宋_GB2312" w:hAnsi="仿宋_GB2312" w:cs="仿宋_GB2312" w:eastAsia="仿宋_GB2312"/>
                      <w:sz w:val="21"/>
                    </w:rPr>
                    <w:t>00000FS；</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5）试验力示值相对误差：±0.5%以内；</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6）加荷速率范围：不小于120N/s～12kN/s；</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7）上下压板间距离：≥300mm；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8）压板直径Φ：≥230mm；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9）两立柱净距离：≥350mm；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10）工作活塞行程：≥140mm；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11）活塞位移最大速度：≥100mm/min；</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）油源系统，</w:t>
                  </w:r>
                  <w:r>
                    <w:rPr>
                      <w:rFonts w:ascii="仿宋_GB2312" w:hAnsi="仿宋_GB2312" w:cs="仿宋_GB2312" w:eastAsia="仿宋_GB2312"/>
                      <w:sz w:val="21"/>
                    </w:rPr>
                    <w:t>5L/min油源一台；直动式伺服控制阀一只；</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）微机控制电液伺服压力试验机专用试验软件一套；</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套</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合同签订后90个日历日内。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陕西铁路工程职业技术学院高新校区。</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货到现场后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最终验收合格后，乙方持《终验合格单》原件并向甲方提供全额增值税专用发票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1、产品到货后，乙方负责安装调试，达到正常运行条件后书面通知甲方验收。 2、安装完成后应提供详细的安装报告，并详细记录各种指示的实测数据。 3、提供完整的操作手册和安装、调试、维修手册；提供制造厂家的检验测试报告或产品出厂检测报告。 4、甲方根据合同要求对产品进行验收、确认产品的产地、规格、型号和数量。验收依据为本合同文本、招标文件和国内相应的标准、规范。 5、验收合格后，填写产品验收单，并向甲方提交产品所包含的所有资料，以便甲方日后管理和维护。 6、验收由甲方负责组织或者邀请有关专家、质检机构、采购代理机构共同进行验收,验收须以合同、招标文件、澄清、及国家相应的标准、规范等为依据。 7、具体验收方案（包括但不限于）如下：验收由双方共同进行，外观无破损、部件齐全，符合GB/T 2611等通用标准及对应专用标准（GB/T 16491、GB/T 16826）；性能指标经校准达标，测力系统误差、变形测量精度等符合检定规程；专用工具、备品备件与清单一致；安装调试后运行正常，报告完整；技术资料齐全有效。</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1、试验仪器在包装运输上用高强度木箱及防潮防震材料，标储运标志。 2、根据产品特性，由乙方在保证产品质量的前提下，自行选择运输及包装方式，发生的一切费用全部由乙方承担。</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（1）项目质保期：2年。 （2）乙方保证所提供的产品质量可靠，进货渠道正常，配置合理，技术性能完全满足招标文件要求； （3）若产品所用原材料或加工工艺造成的质量和内外观缺陷问题，由乙方负责解决并承担费用。（乙方保证货物是全新的、未曾使用过的、以优质工艺及材料制造，并保证所供产品的完整性，本合同产品为成套供货，合同总价中已包括满足产品完整运行的附件，备件，配套件等，产品质量应符合国标标准和本合同附件的要求,乙方应随机提供产品检验报告。） （4）产品的质保期为产品2年质保期内若发生产品质量问题，乙方应立即免费解决；超过质保期的，按照厂家承诺进行。 （5）产品性能未达到技术要求的，乙方限期内进行整改；整改仍达不到要求的，甲方有权解除合同，保留依法索赔的权利。 （6）知识产权：即乙方应保证甲方在使用成交货物时，不承担任何涉及知识产权法律诉讼的责任。</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1、所投产品需执行的国家相关标准、行业标准、地方标准或者其他标准、规范： （1）《试验机通用技术要求》GB/T 2611； （2）《静单轴试验机的检验 第1部分：拉力和（或）压力试验机测力系统的检验与校准》GB/T 16825.1； （3）《电子式万能试验机》GB/T 16491； （4）《拉力试验机的检验》GB/T 16825； （5）《电液伺服万能试验机》GB/T 16826； （6）《金属材料 室温拉伸试验方法》GB/T 228.1； （7）《金属材料 弯曲试验方法》GB/T 232； （8）《普通混凝土力学性能试验方法标准》GB/T 50081。 2、投标总价包括：产品的供应费及所发生的运输费、杂费（含保险）、商检费、搬运费、安装调试费、培训费等，包括从产品供应地点到交货地点所包含的一切费用。合同总价不可变更，不受市场价变化的影响，不受实际数量变化的影响。 3、建设功能目标包括： （1）精准可靠的试验数据采集 a.能精准测量弹性模量、挠度、转角、应变等力学参数，误差控制在行业标准内； b.数据采集频率高、稳定性强，确保试验过程中数据不丢失、无偏差。 （2）覆盖多元试验场景 a.支持拉伸、压缩、弯曲、剪切、扭转等多种力学试验类型； b.可适配不同材质（钢筋、混凝土、复合材料等）和标准规格的试件，满足工程材料测试需求。 （3）高效智能的操作与分析 a.具备自动化智能操作功能，减少人工干预，提高试验效率； b.内置数据处理与分析模块，能快速生成试验报告，支持数据导出与追溯。 （4）安全稳定的运行保障 a.设备运行符合安全规范，具备过载保护、紧急停止等安全机制； b.结构耐用、故障率低，适应长期连续试验的工作强度和售后保障。 （5）灵活的扩展性与兼容性 a.可根据校企合作项目需求，升级功能或扩展试验范围； b.能与高校、企业等单位的现有数据管理系统或综合服务平台对接，实现数据互联、互通、互享。 4、专用工具需配套齐全，含专用扳手等，满足日常维护。备品备件提供传感器等易损件清单及价格，保修期内免费更换非人为损坏件。安装调试由供方技术人员规定时日内完成，确保符合标准，提供报告。配套工程含必要管线铺设等。质量保证期需在合同中明确，期间免费维修。售后及时响应，提供有效解决方案，需现场维修的经沟通后按时到场，终身技术支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2、具有良好的商业信誉和健全的财务会计制度（提供2024年度财务审计报告或开标前12个月内银行出具的资信证明或财政部门认可的政府采购专业担保机构出具的投标担保函）； 3、具有履行合同所必需的设备和专业技术能力的书面声明（格式详见附件）； 4、具有依法缴纳税收和社会保障资金的良好记录（提供开标前 12 个月内任一月份的社保和缴纳税收的证明，依法不需要缴纳社会保障资金、免税或无须缴纳税款的供应商，应提供相关证明文件)； 5、参加政府采购活动前 3 年内在经营活动中没有重大违法记录的书面声明（格式详见附件）。</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非联合体投标承诺书.docx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政府采购承诺书.docx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法定代表人直接参加的，须出示身份证；法定代表人授权他人参加的，须提供法定代表人授权委托书及被授权人身份证。</w:t>
            </w:r>
          </w:p>
        </w:tc>
        <w:tc>
          <w:tcPr>
            <w:tcW w:type="dxa" w:w="1661"/>
          </w:tcPr>
          <w:p>
            <w:pPr>
              <w:pStyle w:val="null3"/>
            </w:pPr>
            <w:r>
              <w:rPr>
                <w:rFonts w:ascii="仿宋_GB2312" w:hAnsi="仿宋_GB2312" w:cs="仿宋_GB2312" w:eastAsia="仿宋_GB2312"/>
              </w:rPr>
              <w:t>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本项目不接受联合体投标，不得分包、转包。</w:t>
            </w:r>
          </w:p>
        </w:tc>
        <w:tc>
          <w:tcPr>
            <w:tcW w:type="dxa" w:w="1661"/>
          </w:tcPr>
          <w:p>
            <w:pPr>
              <w:pStyle w:val="null3"/>
            </w:pPr>
            <w:r>
              <w:rPr>
                <w:rFonts w:ascii="仿宋_GB2312" w:hAnsi="仿宋_GB2312" w:cs="仿宋_GB2312" w:eastAsia="仿宋_GB2312"/>
              </w:rPr>
              <w:t>非联合体投标承诺书.docx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交货安装期</w:t>
            </w:r>
          </w:p>
        </w:tc>
        <w:tc>
          <w:tcPr>
            <w:tcW w:type="dxa" w:w="3322"/>
          </w:tcPr>
          <w:p>
            <w:pPr>
              <w:pStyle w:val="null3"/>
            </w:pPr>
            <w:r>
              <w:rPr>
                <w:rFonts w:ascii="仿宋_GB2312" w:hAnsi="仿宋_GB2312" w:cs="仿宋_GB2312" w:eastAsia="仿宋_GB2312"/>
              </w:rPr>
              <w:t>交货安装期是否按招标文件要求的各项节点响应。</w:t>
            </w:r>
          </w:p>
        </w:tc>
        <w:tc>
          <w:tcPr>
            <w:tcW w:type="dxa" w:w="1661"/>
          </w:tcPr>
          <w:p>
            <w:pPr>
              <w:pStyle w:val="null3"/>
            </w:pPr>
            <w:r>
              <w:rPr>
                <w:rFonts w:ascii="仿宋_GB2312" w:hAnsi="仿宋_GB2312" w:cs="仿宋_GB2312" w:eastAsia="仿宋_GB2312"/>
              </w:rPr>
              <w:t>开标一览表及分项报价表.docx 商务偏离表.docx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投标文件有效期是否响应招标文件的要求。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质保期是否按照招标文件的相关要求响应。</w:t>
            </w:r>
          </w:p>
        </w:tc>
        <w:tc>
          <w:tcPr>
            <w:tcW w:type="dxa" w:w="1661"/>
          </w:tcPr>
          <w:p>
            <w:pPr>
              <w:pStyle w:val="null3"/>
            </w:pPr>
            <w:r>
              <w:rPr>
                <w:rFonts w:ascii="仿宋_GB2312" w:hAnsi="仿宋_GB2312" w:cs="仿宋_GB2312" w:eastAsia="仿宋_GB2312"/>
              </w:rPr>
              <w:t>开标一览表及分项报价表.docx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付款方式是否响应招标文件的要求。</w:t>
            </w:r>
          </w:p>
        </w:tc>
        <w:tc>
          <w:tcPr>
            <w:tcW w:type="dxa" w:w="1661"/>
          </w:tcPr>
          <w:p>
            <w:pPr>
              <w:pStyle w:val="null3"/>
            </w:pPr>
            <w:r>
              <w:rPr>
                <w:rFonts w:ascii="仿宋_GB2312" w:hAnsi="仿宋_GB2312" w:cs="仿宋_GB2312" w:eastAsia="仿宋_GB2312"/>
              </w:rPr>
              <w:t>开标一览表及分项报价表.docx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投标保证金是否按要求缴纳。</w:t>
            </w:r>
          </w:p>
        </w:tc>
        <w:tc>
          <w:tcPr>
            <w:tcW w:type="dxa" w:w="1661"/>
          </w:tcPr>
          <w:p>
            <w:pPr>
              <w:pStyle w:val="null3"/>
            </w:pPr>
            <w:r>
              <w:rPr>
                <w:rFonts w:ascii="仿宋_GB2312" w:hAnsi="仿宋_GB2312" w:cs="仿宋_GB2312" w:eastAsia="仿宋_GB2312"/>
              </w:rPr>
              <w:t>保证金交纳凭证.docx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投标报价是否超过采购预算或最高限价。</w:t>
            </w:r>
          </w:p>
        </w:tc>
        <w:tc>
          <w:tcPr>
            <w:tcW w:type="dxa" w:w="1661"/>
          </w:tcPr>
          <w:p>
            <w:pPr>
              <w:pStyle w:val="null3"/>
            </w:pPr>
            <w:r>
              <w:rPr>
                <w:rFonts w:ascii="仿宋_GB2312" w:hAnsi="仿宋_GB2312" w:cs="仿宋_GB2312" w:eastAsia="仿宋_GB2312"/>
              </w:rPr>
              <w:t>开标一览表及分项报价表.docx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技术要求</w:t>
            </w:r>
          </w:p>
        </w:tc>
        <w:tc>
          <w:tcPr>
            <w:tcW w:type="dxa" w:w="2492"/>
          </w:tcPr>
          <w:p>
            <w:pPr>
              <w:pStyle w:val="null3"/>
            </w:pPr>
            <w:r>
              <w:rPr>
                <w:rFonts w:ascii="仿宋_GB2312" w:hAnsi="仿宋_GB2312" w:cs="仿宋_GB2312" w:eastAsia="仿宋_GB2312"/>
              </w:rPr>
              <w:t>技术方案中各项设备的技术参数响应清晰明确，符合使用要求，技术指标和性能完全响应招标文件要求 ，满足使用需求，计21分。结合规格、技术参数偏离表的响应证明材料，按招标文件内配置最低要求，带“▲”号指标项每出现1项负偏离扣2分，非“▲”号指标项每出现1项负偏离，扣0.3分，扣完本项分值为止。供应商须按招标文件要求提供带“▲”号指标项的证明材料（包括但不限于产品彩页或检测报告或带网址链接的官网截图或加盖厂家公章的技术参数说明），否则自行承担未提供证明材料导致技术参数被视为负偏离的风险。</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货物简要说明一览表.docx</w:t>
            </w:r>
          </w:p>
        </w:tc>
      </w:tr>
      <w:tr>
        <w:tc>
          <w:tcPr>
            <w:tcW w:type="dxa" w:w="831"/>
            <w:vMerge/>
          </w:tcPr>
          <w:p/>
        </w:tc>
        <w:tc>
          <w:tcPr>
            <w:tcW w:type="dxa" w:w="1661"/>
          </w:tcPr>
          <w:p>
            <w:pPr>
              <w:pStyle w:val="null3"/>
            </w:pPr>
            <w:r>
              <w:rPr>
                <w:rFonts w:ascii="仿宋_GB2312" w:hAnsi="仿宋_GB2312" w:cs="仿宋_GB2312" w:eastAsia="仿宋_GB2312"/>
              </w:rPr>
              <w:t>产品质量保障</w:t>
            </w:r>
          </w:p>
        </w:tc>
        <w:tc>
          <w:tcPr>
            <w:tcW w:type="dxa" w:w="2492"/>
          </w:tcPr>
          <w:p>
            <w:pPr>
              <w:pStyle w:val="null3"/>
            </w:pPr>
            <w:r>
              <w:rPr>
                <w:rFonts w:ascii="仿宋_GB2312" w:hAnsi="仿宋_GB2312" w:cs="仿宋_GB2312" w:eastAsia="仿宋_GB2312"/>
              </w:rPr>
              <w:t>投标产品技术工艺先进，性能稳定，方便操作，安全可靠，符合国内相关标准或行业标准，整体配置具有合理性、一致性、兼容性，产品品牌、型号、产地明确，备品配件供应有保障，有具体可行的质量保证承诺，保证使用单位能熟练操作维护和正常使用。 1.选型方案先进可靠，质量保证承诺详尽得6分； 2.选型方案全部满足采购需求，有质量保证承诺得4分； 3.选型方案部分满足采购需求，有质量保证承诺得2分； 4.未提供得0分。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货物简要说明一览表.docx</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供应商针对本项目时间合理性，提供具体可行的实施方案：①供货组织安排；②人员配备、财力调配；③运输、派送措施；④设备到货后验收；⑤实施进度；⑥设备安装调试等。 以上6项内容每一项内容全面详细、阐述条理清晰得1.5分，满分9分，每有一项存在缺陷，扣1分，扣完为止。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拟配备团队情况.docx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针对本项目具有可行的技术培训方案，①制定培训课程计划表；②培训的地点和时间；③培训内容；④培训的人员安排。 以上4项内容每一项内容全面详细、阐述条理清晰得2分，满分8分，每有一项存在缺陷，扣1.5分，扣完为止。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提供详细的售后服务方案及售后服务承诺等，①具有相应的物力、人力配备；②运维期间服务人员的工作内容及服务方式，③故障响应时间及解决办法、补救措施；④售后响应承诺。 以上4项内容每一项内容全面详细、阐述条理清晰得2分，满分8分，每有一项存在缺陷，扣1.5分，扣完为止。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校园服务</w:t>
            </w:r>
          </w:p>
        </w:tc>
        <w:tc>
          <w:tcPr>
            <w:tcW w:type="dxa" w:w="2492"/>
          </w:tcPr>
          <w:p>
            <w:pPr>
              <w:pStyle w:val="null3"/>
            </w:pPr>
            <w:r>
              <w:rPr>
                <w:rFonts w:ascii="仿宋_GB2312" w:hAnsi="仿宋_GB2312" w:cs="仿宋_GB2312" w:eastAsia="仿宋_GB2312"/>
              </w:rPr>
              <w:t>供应商应遵循学校校园文化育人体系，配合学校营造良好的校园育人环境，围绕环境育人、文化育人、活动育人、服务育人等各个方面，提供相应的承诺及方案。 1.方案清晰明确，承诺完整得2分； 2.方案存在部分偏差，承诺基本完整得1分； 3.未提供或方案过于简略无法满足上述要求的得0分。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供应商投标产品中每有一项为节能产品或环境标志产品经国家认证的得0.5分，最高得1分。（以经国家确定的认证机构出具的、处于有效期内的节能产品、环境标志产品认证证书为准）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提供2022年1月1日至今供应商类似项目业绩（以合同签订时间为准），提供合同复印件（扫描件）加盖供应商公章，每份有效业绩计1分，最高得5分。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满足招标文件要求且投标价格最低的投标报价为评标基准价，其价格分为满分40分。其他供应商的价格分统一按照下列公式计算：投标报价得分=（评标基准价/投标报价）×40 符合招标文件规定的小微企业、监狱企业、残疾人福利性单位优惠的供应商，价格给予10%的扣除，用扣除后的价格参与评审。</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开标一览表及分项报价表.docx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详见附件：开标一览表及分项报价表.docx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详见附件：规格技术参数偏离表.docx</w:t>
      </w:r>
    </w:p>
    <w:p>
      <w:pPr>
        <w:pStyle w:val="null3"/>
        <w:ind w:firstLine="960"/>
      </w:pPr>
      <w:r>
        <w:rPr>
          <w:rFonts w:ascii="仿宋_GB2312" w:hAnsi="仿宋_GB2312" w:cs="仿宋_GB2312" w:eastAsia="仿宋_GB2312"/>
        </w:rPr>
        <w:t>详见附件：货物简要说明一览表.docx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详见附件：非联合体投标承诺书.docx</w:t>
      </w:r>
    </w:p>
    <w:p>
      <w:pPr>
        <w:pStyle w:val="null3"/>
        <w:ind w:firstLine="960"/>
      </w:pPr>
      <w:r>
        <w:rPr>
          <w:rFonts w:ascii="仿宋_GB2312" w:hAnsi="仿宋_GB2312" w:cs="仿宋_GB2312" w:eastAsia="仿宋_GB2312"/>
        </w:rPr>
        <w:t>详见附件：保证金交纳凭证.docx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详见附件：方案.docx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详见附件：拟配备团队情况.docx</w:t>
      </w:r>
    </w:p>
    <w:p>
      <w:pPr>
        <w:pStyle w:val="null3"/>
        <w:ind w:firstLine="960"/>
      </w:pPr>
      <w:r>
        <w:rPr>
          <w:rFonts w:ascii="仿宋_GB2312" w:hAnsi="仿宋_GB2312" w:cs="仿宋_GB2312" w:eastAsia="仿宋_GB2312"/>
        </w:rPr>
        <w:t>详见附件：节能环保.docx</w:t>
      </w:r>
    </w:p>
    <w:p>
      <w:pPr>
        <w:pStyle w:val="null3"/>
        <w:ind w:firstLine="960"/>
      </w:pPr>
      <w:r>
        <w:rPr>
          <w:rFonts w:ascii="仿宋_GB2312" w:hAnsi="仿宋_GB2312" w:cs="仿宋_GB2312" w:eastAsia="仿宋_GB2312"/>
        </w:rPr>
        <w:t>详见附件：项目业绩一览表.docx</w:t>
      </w:r>
    </w:p>
    <w:p>
      <w:pPr>
        <w:pStyle w:val="null3"/>
        <w:ind w:firstLine="960"/>
      </w:pPr>
      <w:r>
        <w:rPr>
          <w:rFonts w:ascii="仿宋_GB2312" w:hAnsi="仿宋_GB2312" w:cs="仿宋_GB2312" w:eastAsia="仿宋_GB2312"/>
        </w:rPr>
        <w:t>详见附件：政府采购承诺书.docx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详见附件：合同模板（货物类）.docx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