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版本号：ZCBN-省本级-2025-1432920251011001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2025年第二批省级水利发展资金水利科技项目-1</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ZCBN-省本级-2025-14329</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陕西省水利电力工程咨询有限责任公司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陕西省水利电力工程咨询有限责任公司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2025年第二批省级水利发展资金水利科技项目-1</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ZCBN-省本级-2025-14329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2025年第二批省级水利发展资金水利科技项目-1</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1、南水北调中线水源区（陕西）河库复合系统水质耦合作用机制与调控策略研究: 主要工作内容为汉江干流梯级水库水体分层与水质演变规律、水库富营养化与藻类污染特征、水库底泥内源污染特征等；梯级水库对汉江水质的影响，包括入库径流对水库水质影响、水库泄洪对汉江水质影响及其控制技术方法；面源污染为主、点源与面源污染共存等典型支流流域径流污染特征与污染源治理技术方案；汉江干流水质变化规律与模拟预测。 2、陕北煤炭开发引起水生态问题与水资源利用途径：主要工作内容为变化环境下水生态演化机理研究；煤炭开发对水生态影响评价标准、等级量化、预警阈值体系研究；水资源高效利用关键技术体系研发与示范；煤炭开发与生态环境保护、水资源协调发展的水生态风险管控机制与治理战略框架研究。 3、杨凌农高会水利科技成果展示与推介：主要工作内容为征集调研省水利厅相关业务处室和厅直单位、各地市（区）水利局（水务局）的水利科技先进成果，分析确定农高会水利展厅的参展主题、宣传产品、参展方案。杨凌农高会水利展厅策划方案设计征集、优选、确定成果展示与推介方案。杨凌农高会线上线下参观展览、宣传、人员安排、保障，布撤展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1、营业执照或事业单位法人证书：供应商为合法注册的法人、其他组织，具有独立承担民事责任的能力，提供营业执照或事业单位法人证书，供应商为自然人的提供身份证；</w:t>
      </w:r>
    </w:p>
    <w:p>
      <w:pPr>
        <w:pStyle w:val="null3"/>
      </w:pPr>
      <w:r>
        <w:rPr>
          <w:rFonts w:ascii="仿宋_GB2312" w:hAnsi="仿宋_GB2312" w:cs="仿宋_GB2312" w:eastAsia="仿宋_GB2312"/>
        </w:rPr>
        <w:t>2、没有重大违法记录的书面声明：参加政府采购活动前三年内，在经营活动中没有重大违法记录；</w:t>
      </w:r>
    </w:p>
    <w:p>
      <w:pPr>
        <w:pStyle w:val="null3"/>
      </w:pPr>
      <w:r>
        <w:rPr>
          <w:rFonts w:ascii="仿宋_GB2312" w:hAnsi="仿宋_GB2312" w:cs="仿宋_GB2312" w:eastAsia="仿宋_GB2312"/>
        </w:rPr>
        <w:t>3、依法缴纳社会保险证明资料：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p>
      <w:pPr>
        <w:pStyle w:val="null3"/>
      </w:pPr>
      <w:r>
        <w:rPr>
          <w:rFonts w:ascii="仿宋_GB2312" w:hAnsi="仿宋_GB2312" w:cs="仿宋_GB2312" w:eastAsia="仿宋_GB2312"/>
        </w:rPr>
        <w:t>4、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1、营业执照或事业单位法人证书：供应商为合法注册的法人、其他组织，具有独立承担民事责任的能力，提供营业执照或事业单位法人证书，供应商为自然人的提供身份证；</w:t>
      </w:r>
    </w:p>
    <w:p>
      <w:pPr>
        <w:pStyle w:val="null3"/>
      </w:pPr>
      <w:r>
        <w:rPr>
          <w:rFonts w:ascii="仿宋_GB2312" w:hAnsi="仿宋_GB2312" w:cs="仿宋_GB2312" w:eastAsia="仿宋_GB2312"/>
        </w:rPr>
        <w:t>2、没有重大违法记录的书面声明：参加政府采购活动前三年内，在经营活动中没有重大违法记录；</w:t>
      </w:r>
    </w:p>
    <w:p>
      <w:pPr>
        <w:pStyle w:val="null3"/>
      </w:pPr>
      <w:r>
        <w:rPr>
          <w:rFonts w:ascii="仿宋_GB2312" w:hAnsi="仿宋_GB2312" w:cs="仿宋_GB2312" w:eastAsia="仿宋_GB2312"/>
        </w:rPr>
        <w:t>3、依法缴纳社会保险证明资料：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p>
      <w:pPr>
        <w:pStyle w:val="null3"/>
      </w:pPr>
      <w:r>
        <w:rPr>
          <w:rFonts w:ascii="仿宋_GB2312" w:hAnsi="仿宋_GB2312" w:cs="仿宋_GB2312" w:eastAsia="仿宋_GB2312"/>
        </w:rPr>
        <w:t>4、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1、营业执照或事业单位法人证书：供应商为合法注册的法人、其他组织，具有独立承担民事责任的能力，提供营业执照或事业单位法人证书，供应商为自然人的提供身份证；</w:t>
      </w:r>
    </w:p>
    <w:p>
      <w:pPr>
        <w:pStyle w:val="null3"/>
      </w:pPr>
      <w:r>
        <w:rPr>
          <w:rFonts w:ascii="仿宋_GB2312" w:hAnsi="仿宋_GB2312" w:cs="仿宋_GB2312" w:eastAsia="仿宋_GB2312"/>
        </w:rPr>
        <w:t>2、没有重大违法记录的书面声明：参加政府采购活动前三年内，在经营活动中没有重大违法记录；</w:t>
      </w:r>
    </w:p>
    <w:p>
      <w:pPr>
        <w:pStyle w:val="null3"/>
      </w:pPr>
      <w:r>
        <w:rPr>
          <w:rFonts w:ascii="仿宋_GB2312" w:hAnsi="仿宋_GB2312" w:cs="仿宋_GB2312" w:eastAsia="仿宋_GB2312"/>
        </w:rPr>
        <w:t>3、依法缴纳社会保险证明资料：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p>
      <w:pPr>
        <w:pStyle w:val="null3"/>
      </w:pPr>
      <w:r>
        <w:rPr>
          <w:rFonts w:ascii="仿宋_GB2312" w:hAnsi="仿宋_GB2312" w:cs="仿宋_GB2312" w:eastAsia="仿宋_GB2312"/>
        </w:rPr>
        <w:t>4、信用中国和中国政府采购网查询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刘波波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17791390877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陕西省水利电力工程咨询有限责任公司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陕西省西安市碑林区兴庆路36号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029-87396339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代理服务费收费标准：本项目代理服务费参照国家计委关于印发《招标代理服务收费管理暂行 办法》的通知（计价格〔2002〕1980号）、《国家发展和改革委员会办公厅关于招标代理服 务收费有关问题的通知》（发改办价格〔2003〕857号）及（发改办价格〔2011〕534号）规 定的标准收取。成交供应商在领取成交通知书前，须向代理机构一次性支付代理服务费。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陕西省水利电力工程咨询有限责任公司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陕西省水利电力工程咨询有限责任公司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陕西省水利电力工程咨询有限责任公司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符合竞争性磋商文件及采购人要求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符合竞争性磋商文件及采购人要求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符合竞争性磋商文件及采购人要求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陕西省水利电力工程咨询有限责任公司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陕西省水利电力工程咨询有限责任公司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陕西省水利电力工程咨询有限责任公司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联系电话：029-87396339</w:t>
      </w:r>
    </w:p>
    <w:p>
      <w:pPr>
        <w:pStyle w:val="null3"/>
      </w:pPr>
      <w:r>
        <w:rPr>
          <w:rFonts w:ascii="仿宋_GB2312" w:hAnsi="仿宋_GB2312" w:cs="仿宋_GB2312" w:eastAsia="仿宋_GB2312"/>
        </w:rPr>
        <w:t>地址：西安市碑林区兴庆路36号</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1、南水北调中线水源区（陕西）河库复合系统水质耦合作用机制与调控策略研究: 主要工作内容为汉江干流梯级水库水体分层与水质演变规律、水库富营养化与藻类污染特征、水库底泥内源污染特征等；梯级水库对汉江水质的影响，包括入库径流对水库水质影响、水库泄洪对汉江水质影响及其控制技术方法；面源污染为主、点源与面源污染共存等典型支流流域径流污染特征与污染源治理技术方案；汉江干流水质变化规律与模拟预测。 2、陕北煤炭开发引起水生态问题与水资源利用途径：主要工作内容为变化环境下水生态演化机理研究；煤炭开发对水生态影响评价标准、等级量化、预警阈值体系研究；水资源高效利用关键技术体系研发与示范；煤炭开发与生态环境保护、水资源协调发展的水生态风险管控机制与治理战略框架研究。 3、杨凌农高会水利科技成果展示与推介：主要工作内容为征集调研省水利厅相关业务处室和厅直单位、各地市（区）水利局（水务局）的水利科技先进成果，分析确定农高会水利展厅的参展主题、宣传产品、参展方案。杨凌农高会水利展厅策划方案设计征集、优选、确定成果展示与推介方案。杨凌农高会线上线下参观展览、宣传、人员安排、保障，布撤展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南水北调中线水源区（陕西）河库复合系统水质耦合作用机制与调控策略研究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陕北煤炭开发引起水生态问题与水资源利用途径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杨凌农高会水利成熟适用技术推广与示范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标的名称：南水北调中线水源区（陕西）河库复合系统水质耦合作用机制与调控策略研究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满足国家相关技术规范及有关政策的要求。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一、采购内容:</w:t>
            </w:r>
          </w:p>
          <w:p>
            <w:pPr>
              <w:pStyle w:val="null3"/>
              <w:ind w:firstLine="560"/>
              <w:jc w:val="both"/>
            </w:pPr>
            <w:r>
              <w:rPr>
                <w:rFonts w:ascii="仿宋_GB2312" w:hAnsi="仿宋_GB2312" w:cs="仿宋_GB2312" w:eastAsia="仿宋_GB2312"/>
                <w:sz w:val="24"/>
              </w:rPr>
              <w:t>明确典型支流流域面源污染与重要点源污染特征及典型污染物来源，提出水库水质污染控制技术方法与措施、流域面源与重要点源污染控制方案与技术措施，初步构建汉江干流陕西段水质预测模型，编制研究报告。</w:t>
            </w:r>
          </w:p>
          <w:p>
            <w:pPr>
              <w:pStyle w:val="null3"/>
              <w:jc w:val="both"/>
            </w:pPr>
            <w:r>
              <w:rPr>
                <w:rFonts w:ascii="仿宋_GB2312" w:hAnsi="仿宋_GB2312" w:cs="仿宋_GB2312" w:eastAsia="仿宋_GB2312"/>
                <w:sz w:val="24"/>
              </w:rPr>
              <w:t>二、主要功能或目标:</w:t>
            </w:r>
          </w:p>
          <w:p>
            <w:pPr>
              <w:pStyle w:val="null3"/>
              <w:ind w:firstLine="560"/>
              <w:jc w:val="both"/>
            </w:pPr>
            <w:r>
              <w:rPr>
                <w:rFonts w:ascii="仿宋_GB2312" w:hAnsi="仿宋_GB2312" w:cs="仿宋_GB2312" w:eastAsia="仿宋_GB2312"/>
                <w:sz w:val="24"/>
              </w:rPr>
              <w:t>探究汉江干流不同梯级水库水体分层期水质演变规律及其对水库泄流水质影响，明确汉江流域面源径流污染及重要点源污染控制的技术措施与方法，提出水库水质污染控制与水质原位改善及水库泄流水质污染调控的技术方法或方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标的名称：陕北煤炭开发引起水生态问题与水资源利用途径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满足国家相关技术规范及有关政策的要求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一、采购内容:</w:t>
            </w:r>
          </w:p>
          <w:p>
            <w:pPr>
              <w:pStyle w:val="null3"/>
              <w:ind w:firstLine="560"/>
              <w:jc w:val="both"/>
            </w:pPr>
            <w:r>
              <w:rPr>
                <w:rFonts w:ascii="仿宋_GB2312" w:hAnsi="仿宋_GB2312" w:cs="仿宋_GB2312" w:eastAsia="仿宋_GB2312"/>
                <w:sz w:val="24"/>
              </w:rPr>
              <w:t>陕北煤炭开发区水资源保护和高效利用路径与关键技术，煤炭开发与水资源协调发展的生态环境保护路径与保障机制。</w:t>
            </w:r>
          </w:p>
          <w:p>
            <w:pPr>
              <w:pStyle w:val="null3"/>
              <w:jc w:val="both"/>
            </w:pPr>
            <w:r>
              <w:rPr>
                <w:rFonts w:ascii="仿宋_GB2312" w:hAnsi="仿宋_GB2312" w:cs="仿宋_GB2312" w:eastAsia="仿宋_GB2312"/>
                <w:sz w:val="24"/>
              </w:rPr>
              <w:t>二、主要功能或目标:</w:t>
            </w:r>
          </w:p>
          <w:p>
            <w:pPr>
              <w:pStyle w:val="null3"/>
              <w:ind w:firstLine="560"/>
              <w:jc w:val="both"/>
            </w:pPr>
            <w:r>
              <w:rPr>
                <w:rFonts w:ascii="仿宋_GB2312" w:hAnsi="仿宋_GB2312" w:cs="仿宋_GB2312" w:eastAsia="仿宋_GB2312"/>
                <w:sz w:val="24"/>
              </w:rPr>
              <w:t>开展煤炭开发对水生态影响与水资源保护利用途径研究，构建煤炭开发与水资源协调发展的水资源高效利用、生态风险管控与治理战略框架，为能源基地水煤协同开发与保护提供科技支撑。</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标的名称：杨凌农高会水利成熟适用技术推广与示范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满足国家相关技术规范及有关政策的要求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一、采购内容:</w:t>
            </w:r>
          </w:p>
          <w:p>
            <w:pPr>
              <w:pStyle w:val="null3"/>
              <w:ind w:firstLine="560"/>
              <w:jc w:val="both"/>
            </w:pPr>
            <w:r>
              <w:rPr>
                <w:rFonts w:ascii="仿宋_GB2312" w:hAnsi="仿宋_GB2312" w:cs="仿宋_GB2312" w:eastAsia="仿宋_GB2312"/>
                <w:sz w:val="24"/>
              </w:rPr>
              <w:t>征集调研省水利厅相关业务处室和厅直单位、各地市（区）水利局（水务局）的水利科技先进成果，分析确定农高会水利展厅的参展主题、宣传产品、参展方案。</w:t>
            </w:r>
          </w:p>
          <w:p>
            <w:pPr>
              <w:pStyle w:val="null3"/>
              <w:jc w:val="both"/>
            </w:pPr>
            <w:r>
              <w:rPr>
                <w:rFonts w:ascii="仿宋_GB2312" w:hAnsi="仿宋_GB2312" w:cs="仿宋_GB2312" w:eastAsia="仿宋_GB2312"/>
                <w:sz w:val="24"/>
              </w:rPr>
              <w:t>二、主要功能或目标:</w:t>
            </w:r>
          </w:p>
          <w:p>
            <w:pPr>
              <w:pStyle w:val="null3"/>
              <w:jc w:val="both"/>
            </w:pPr>
            <w:r>
              <w:rPr>
                <w:rFonts w:ascii="仿宋_GB2312" w:hAnsi="仿宋_GB2312" w:cs="仿宋_GB2312" w:eastAsia="仿宋_GB2312"/>
                <w:sz w:val="24"/>
              </w:rPr>
              <w:t xml:space="preserve">    杨凌农高会线上线下参观展览、宣传、人员安排、保障与布撤展等；需满足的要求:征集调研省水利厅相关业务处室和厅直单位、各地市水利科技先进成果，分析确定农高会水利展厅的参展主题、宣传产品、参展方案。杨凌农高会水利展厅策划方案设计征集、优选、确定。杨凌农高会时间确定、宣传讲解人员安排、制定保障措施等。提交杨凌农高会水利科技成果展示与推介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南水北调中线水源区（陕西）河库复合系统水质耦合作用机制与调控策略研究：（1）申请发明专利1项；( 2）发表EI、SCI学术论文2篇以上；（3）培养博士生1名，研究生3名以上。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陕北煤炭开发引起水生态问题与水资源利用途径：（1）陕北煤炭开发引起水生态问题与水资源利用途径”报告1份；（2）提出煤炭开发区水资源高效利用与保护技术体系1套； （3）申请专利1项 （4）提交政府咨询报告1项。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杨凌农高会水利成熟适用技术推广与示范：无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自合同签订之日起240日历天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自合同签订之日起240日历天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自合同签订之日起240日历天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1、按照采购人要求的流程进行项目验收。2、验收依据：竞争性磋商文件、竞争性磋商响应文件、合同文本、相应标准等。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1、按照采购人要求的流程进行项目验收。2、验收依据：竞争性磋商文件、竞争性磋商响应文件、合同文本、相应标准等。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1、按照采购人要求的流程进行项目验收。2、验收依据：竞争性磋商文件、竞争性磋商响应文件、合同文本、相应标准等。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合同签订后首次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项目通过初步验收（任务完成80%以上）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完成最终验收后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合同签订后首次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项目通过初步验收（任务完成80%以上）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完成最终验收后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合同签订后首次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项目通过初步验收（任务完成80%以上）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完成最终验收后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 服务质量不能满足技术要求，采购人有权终止合同，并对供方违约行为进行追究，同时按《中华人民共和国政府采购法》的有 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1、按《中华人民共和国民法典》中的相关条款执行。2、未按合同要求提供服务或 服务质量不能满足技术要求，采购人有权终止合同，并对供方违约行为进行追究，同时按《中华人民共和国政府采购法》的有 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1、按《中华人民共和国民法典》中的相关条款执行。2、未按合同要求提供服务或 服务质量不能满足技术要求，采购人有权终止合同，并对供方违约行为进行追究，同时按《中华人民共和国政府采购法》的有 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实际服务期限以“南水北调中线水源区（陕西）河库复合系统水质耦合作用机制与调控策略研究”合同为准。2、本项目实际服务期限以“陕北煤炭开发引起水生态问题与水资源利用途径”合同为准。3、本项目实际服务期限以“杨凌农高会水利成熟适用技术推广与示范”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供应商应提供健全的财务报告证明材料；</w:t>
            </w:r>
          </w:p>
        </w:tc>
        <w:tc>
          <w:tcPr>
            <w:tcW w:type="dxa" w:w="3322"/>
          </w:tcPr>
          <w:p>
            <w:pPr>
              <w:pStyle w:val="null3"/>
            </w:pPr>
            <w:r>
              <w:rPr>
                <w:rFonts w:ascii="仿宋_GB2312" w:hAnsi="仿宋_GB2312" w:cs="仿宋_GB2312" w:eastAsia="仿宋_GB2312"/>
              </w:rPr>
              <w:t>供应商应提供2022-2024年任意一年的财务报告，2024年1月至今新成立公司须提供银行资信证明或新成立以来的财务报表，至少包括资产负债表、利润表、现金流量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供应商应提供健全的财务报告证明材料；</w:t>
            </w:r>
          </w:p>
        </w:tc>
        <w:tc>
          <w:tcPr>
            <w:tcW w:type="dxa" w:w="3322"/>
          </w:tcPr>
          <w:p>
            <w:pPr>
              <w:pStyle w:val="null3"/>
            </w:pPr>
            <w:r>
              <w:rPr>
                <w:rFonts w:ascii="仿宋_GB2312" w:hAnsi="仿宋_GB2312" w:cs="仿宋_GB2312" w:eastAsia="仿宋_GB2312"/>
              </w:rPr>
              <w:t>供应商应提供2022-2024年任意一年的财务报告，2024年1月至今新成立公司须提供银行资信证明或新成立以来的财务报表，至少包括资产负债表、利润表、现金流量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供应商应提供健全的财务报告证明材料；</w:t>
            </w:r>
          </w:p>
        </w:tc>
        <w:tc>
          <w:tcPr>
            <w:tcW w:type="dxa" w:w="3322"/>
          </w:tcPr>
          <w:p>
            <w:pPr>
              <w:pStyle w:val="null3"/>
            </w:pPr>
            <w:r>
              <w:rPr>
                <w:rFonts w:ascii="仿宋_GB2312" w:hAnsi="仿宋_GB2312" w:cs="仿宋_GB2312" w:eastAsia="仿宋_GB2312"/>
              </w:rPr>
              <w:t>供应商应提供2022-2024年任意一年的财务报告，2024年1月至今新成立公司须提供银行资信证明或新成立以来的财务报表，至少包括资产负债表、利润表、现金流量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供应商为合法注册的法人、其他组织，具有独立承担民事责任的能力，提供营业执照或事业单位法人证书，供应商为自然人的提供身份证；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供应商为合法注册的法人、其他组织，具有独立承担民事责任的能力，提供营业执照或事业单位法人证书，供应商为自然人的提供身份证；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供应商为合法注册的法人、其他组织，具有独立承担民事责任的能力，提供营业执照或事业单位法人证书，供应商为自然人的提供身份证；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2025年1月至今任意一个月依法缴纳社会保险的证明（缴费凭证复印件），或者委托他人缴纳的委托代办协议和2025年1月至今任意一个月的缴纳证明（收据复印件），依法不需要缴纳社会保障资金的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信用中国和中国政府采购网查询截图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授权委托书.docx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应符合“第七章 响应文件格式”的要求</w:t>
            </w:r>
          </w:p>
        </w:tc>
        <w:tc>
          <w:tcPr>
            <w:tcW w:type="dxa" w:w="1661"/>
          </w:tcPr>
          <w:p>
            <w:pPr>
              <w:pStyle w:val="null3"/>
            </w:pPr>
            <w:r>
              <w:rPr>
                <w:rFonts w:ascii="仿宋_GB2312" w:hAnsi="仿宋_GB2312" w:cs="仿宋_GB2312" w:eastAsia="仿宋_GB2312"/>
              </w:rPr>
              <w:t>服务内容及服务邀请应答表 中小企业声明函 授权委托书.docx 报价表 拒绝商业贿赂承诺书.docx 响应文件封面 供应商应提交的相关资格证明材料.docx 承揽的类似项目情况表.docx 残疾人福利性单位声明函 标的清单 供应商认为有必要说明的事宜.docx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磋商响应文件内容符合“第三章 磋商项目技术、服务、商务及其他要求”的内容</w:t>
            </w:r>
          </w:p>
        </w:tc>
        <w:tc>
          <w:tcPr>
            <w:tcW w:type="dxa" w:w="1661"/>
          </w:tcPr>
          <w:p>
            <w:pPr>
              <w:pStyle w:val="null3"/>
            </w:pPr>
            <w:r>
              <w:rPr>
                <w:rFonts w:ascii="仿宋_GB2312" w:hAnsi="仿宋_GB2312" w:cs="仿宋_GB2312" w:eastAsia="仿宋_GB2312"/>
              </w:rPr>
              <w:t>服务内容及服务邀请应答表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授权委托书.docx 报价表 拒绝商业贿赂承诺书.docx 响应文件封面 供应商应提交的相关资格证明材料.docx 承揽的类似项目情况表.docx 残疾人福利性单位声明函 标的清单 供应商认为有必要说明的事宜.docx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授权委托书.docx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应符合“第七章 响应文件格式”的要求</w:t>
            </w:r>
          </w:p>
        </w:tc>
        <w:tc>
          <w:tcPr>
            <w:tcW w:type="dxa" w:w="1661"/>
          </w:tcPr>
          <w:p>
            <w:pPr>
              <w:pStyle w:val="null3"/>
            </w:pPr>
            <w:r>
              <w:rPr>
                <w:rFonts w:ascii="仿宋_GB2312" w:hAnsi="仿宋_GB2312" w:cs="仿宋_GB2312" w:eastAsia="仿宋_GB2312"/>
              </w:rPr>
              <w:t>服务内容及服务邀请应答表 中小企业声明函 授权委托书.docx 拒绝商业贿赂承诺书.docx 报价表 响应文件封面 供应商应提交的相关资格证明材料.docx 承揽的类似项目情况表.docx 残疾人福利性单位声明函 标的清单 供应商认为有必要说明的事宜.docx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磋商响应文件内容符合“第三章 磋商项目技术、服务、商务及其他要求”的内容</w:t>
            </w:r>
          </w:p>
        </w:tc>
        <w:tc>
          <w:tcPr>
            <w:tcW w:type="dxa" w:w="1661"/>
          </w:tcPr>
          <w:p>
            <w:pPr>
              <w:pStyle w:val="null3"/>
            </w:pPr>
            <w:r>
              <w:rPr>
                <w:rFonts w:ascii="仿宋_GB2312" w:hAnsi="仿宋_GB2312" w:cs="仿宋_GB2312" w:eastAsia="仿宋_GB2312"/>
              </w:rPr>
              <w:t>响应文件封面 服务内容及服务邀请应答表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授权委托书.docx 报价表 拒绝商业贿赂承诺书.docx 响应文件封面 供应商应提交的相关资格证明材料.docx 承揽的类似项目情况表.docx 残疾人福利性单位声明函 标的清单 供应商认为有必要说明的事宜.docx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授权委托书.docx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应符合“第七章 响应文件格式”的要求</w:t>
            </w:r>
          </w:p>
        </w:tc>
        <w:tc>
          <w:tcPr>
            <w:tcW w:type="dxa" w:w="1661"/>
          </w:tcPr>
          <w:p>
            <w:pPr>
              <w:pStyle w:val="null3"/>
            </w:pPr>
            <w:r>
              <w:rPr>
                <w:rFonts w:ascii="仿宋_GB2312" w:hAnsi="仿宋_GB2312" w:cs="仿宋_GB2312" w:eastAsia="仿宋_GB2312"/>
              </w:rPr>
              <w:t>服务内容及服务邀请应答表 中小企业声明函 授权委托书.docx 拒绝商业贿赂承诺书.docx 报价表 响应文件封面 供应商应提交的相关资格证明材料.docx 承揽的类似项目情况表.docx 残疾人福利性单位声明函 标的清单 供应商认为有必要说明的事宜.docx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磋商响应文件内容符合“第三章 磋商项目技术、服务、商务及其他要求”的内容</w:t>
            </w:r>
          </w:p>
        </w:tc>
        <w:tc>
          <w:tcPr>
            <w:tcW w:type="dxa" w:w="1661"/>
          </w:tcPr>
          <w:p>
            <w:pPr>
              <w:pStyle w:val="null3"/>
            </w:pPr>
            <w:r>
              <w:rPr>
                <w:rFonts w:ascii="仿宋_GB2312" w:hAnsi="仿宋_GB2312" w:cs="仿宋_GB2312" w:eastAsia="仿宋_GB2312"/>
              </w:rPr>
              <w:t>响应文件封面 服务内容及服务邀请应答表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授权委托书.docx 报价表 拒绝商业贿赂承诺书.docx 响应文件封面 供应商应提交的相关资格证明材料.docx 承揽的类似项目情况表.docx 残疾人福利性单位声明函 标的清单 供应商认为有必要说明的事宜.docx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 响应函</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招标要求（包括但不限于实施计划、技术方案、清晰性、针对性、所需收集资料及文件的准确性等）进行打分：供应商的实施计划合理、技术方案完善、实施性强，条理清晰、具有针对性且报告编制所需收集资料及文件的准确性。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根据供应商提供的工作计划方案（包括但不限于工作进度、工作计划、工作时效等）进行打分： 供应商提供的工作进度完善、工作计划明确、工作时效高。每项完全满足评审标准得3分，有缺陷或者不满足扣1分，缺项不得分。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 、难点分析</w:t>
            </w:r>
          </w:p>
        </w:tc>
        <w:tc>
          <w:tcPr>
            <w:tcW w:type="dxa" w:w="2492"/>
          </w:tcPr>
          <w:p>
            <w:pPr>
              <w:pStyle w:val="null3"/>
            </w:pPr>
            <w:r>
              <w:rPr>
                <w:rFonts w:ascii="仿宋_GB2312" w:hAnsi="仿宋_GB2312" w:cs="仿宋_GB2312" w:eastAsia="仿宋_GB2312"/>
              </w:rPr>
              <w:t>根据供应商提供的重点、难点分析（包括但不限于工作重点理解深刻程度，对工作难点把握准确性、全面性等）进行打分：工作重点理解深刻，对工作难点把握准确、全面。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工作质量保证措施</w:t>
            </w:r>
          </w:p>
        </w:tc>
        <w:tc>
          <w:tcPr>
            <w:tcW w:type="dxa" w:w="2492"/>
          </w:tcPr>
          <w:p>
            <w:pPr>
              <w:pStyle w:val="null3"/>
            </w:pPr>
            <w:r>
              <w:rPr>
                <w:rFonts w:ascii="仿宋_GB2312" w:hAnsi="仿宋_GB2312" w:cs="仿宋_GB2312" w:eastAsia="仿宋_GB2312"/>
              </w:rPr>
              <w:t>根据供应商提供的质量保证措施：质量保证体系健全，质量保证措施具有针对性。每项完全满足评审标准得5分，有缺陷或者不满足扣2.5分，缺项不得分。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全面性、合理性，内容与深度是否达到本项目的要求，后续配合计划的完善度）进行打分：供应商服务承诺全面、合理，内容与深度均达到本项目要求、后续配合计划完善。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根据供应商对于本项目的人员配备情况进行打分：人员安排合理，职责分工明确。 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自2021年10月1日至投标截止日前，具有类似项目业绩，每具有一个计3分，最高12分。 注：应附合同 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 磋商报价得分=（磋商基准价/最后磋商报价）×价格权值×100 2、价格评审过程中，不得去掉最后报价中的最高报价和最低报价。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招标要求（包括但不限于实施计划、技术方案、清晰性、针对性、所需收集资料及文件的准确性等）进行打分：供应商的实施计划合理、技术方案完善、实施性强，条理清晰、具有针对性且报告编制所需收集资料及文件的准确性。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根据供应商提供的工作计划方案（包括但不限于工作进度、工作计划、工作时效等）进行打分： 供应商提供的工作进度完善、工作计划明确、工作时效高。每项完全满足评审标准得3分，有缺陷或者不满足扣1分，缺项不得分。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提供的重点、难点分析（包括但不限于工作重点理解深刻程度，对工作难点把握准确性、全面性等）进行打分：工作重点理解深刻，对工作难点把握准确、全面。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工作质量保证措施</w:t>
            </w:r>
          </w:p>
        </w:tc>
        <w:tc>
          <w:tcPr>
            <w:tcW w:type="dxa" w:w="2492"/>
          </w:tcPr>
          <w:p>
            <w:pPr>
              <w:pStyle w:val="null3"/>
            </w:pPr>
            <w:r>
              <w:rPr>
                <w:rFonts w:ascii="仿宋_GB2312" w:hAnsi="仿宋_GB2312" w:cs="仿宋_GB2312" w:eastAsia="仿宋_GB2312"/>
              </w:rPr>
              <w:t>根据供应商提供的质量保证措施：质量保证体系健全，质量保证措施具有针对性。每项完全满足评审标准得5分，有缺陷或者不满足扣2.5分，缺项不得分。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全面性、合理性，内容与深度是否达到本项目的要求，后续配合计划的完善度）进行打分：供应商服务承诺全面、合理，内容与深度均达到本项目要求、后续配合计划完善。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根据供应商对于本项目的人员配备情况进行打分：人员安排合理，职责分工明确。 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自2021年10月1日至投标截止日前，具有类似项目业绩，每具有一个计3分，最高12分。 注：应附合同 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 磋商报价得分=（磋商基准价/最后磋商报价）×价格权值×100 2、价格评审过程中，不得去掉最后报价中的最高报价和最低报价。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招标要求（包括但不限于实施计划、技术方案、清晰性、针对性、所需收集资料及文件的准确性等）进行打分：供应商的实施计划合理、技术方案完善、实施性强，条理清晰、具有针对性且报告编制所需收集资料及文件的准确性。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w:t>
            </w:r>
          </w:p>
        </w:tc>
        <w:tc>
          <w:tcPr>
            <w:tcW w:type="dxa" w:w="2492"/>
          </w:tcPr>
          <w:p>
            <w:pPr>
              <w:pStyle w:val="null3"/>
            </w:pPr>
            <w:r>
              <w:rPr>
                <w:rFonts w:ascii="仿宋_GB2312" w:hAnsi="仿宋_GB2312" w:cs="仿宋_GB2312" w:eastAsia="仿宋_GB2312"/>
              </w:rPr>
              <w:t>根据供应商提供的工作计划方案（包括但不限于工作进度、工作计划、工作时效等）进行打分： 供应商提供的工作进度完善、工作计划明确、工作时效高。每项完全满足评审标准得3分，有缺陷或者不满足扣1分，缺项不得分。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提供的重点、难点分析（包括但不限于工作重点理解深刻程度，对工作难点把握准确性、全面性等）进行打分：工作重点理解深刻，对工作难点把握准确、全面。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工作质量保证措施</w:t>
            </w:r>
          </w:p>
        </w:tc>
        <w:tc>
          <w:tcPr>
            <w:tcW w:type="dxa" w:w="2492"/>
          </w:tcPr>
          <w:p>
            <w:pPr>
              <w:pStyle w:val="null3"/>
            </w:pPr>
            <w:r>
              <w:rPr>
                <w:rFonts w:ascii="仿宋_GB2312" w:hAnsi="仿宋_GB2312" w:cs="仿宋_GB2312" w:eastAsia="仿宋_GB2312"/>
              </w:rPr>
              <w:t>根据供应商提供的质量保证措施：质量保证体系健全，质量保证措施具有针对性。每项完全满足评审标准得5分，有缺陷或者不满足扣2.5分，缺项不得分。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全面性、合理性，内容与深度是否达到本项目的要求，后续配合计划的完善度）进行打分：供应商服务承诺全面、合理，内容与深度均达到本项目要求、后续配合计划完善。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根据供应商对于本项目的人员配备情况进行打分：人员安排合理，职责分工明确。 每项完全满足评审标准得5分，有缺陷或者不满足扣2.5分，缺项不得分。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自2021年10月1日至投标截止日前，具有类似项目业绩，每具有一个计3分，最高12分。 注：应附合同 协议书或中标（成交）通知书或立项文件或成果文件（如论文、课题、专利等）复印件。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1、满足磋商文件要求且最后报价最低的供应商的价格为磋商基准价，其价格分为满分。其他供应商的价格分统一按照下列公式计算： 磋商报价得分=（磋商基准价/最后磋商报价）×价格权值×100 2、价格评审过程中，不得去掉最后报价中的最高报价和最低报价。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详见附件：承揽的类似项目情况表.docx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详见附件：承揽的类似项目情况表.docx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详见附件：承揽的类似项目情况表.docx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