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版本号：DQB-2025078-CS20251014002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2025年厅机关信息化运维项目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DQB-2025078-CS</w:t>
      </w:r>
      <w:r>
        <w:br/>
      </w:r>
      <w:r>
        <w:br/>
      </w:r>
      <w:r>
        <w:br/>
      </w:r>
    </w:p>
    <w:p>
      <w:pPr>
        <w:pStyle w:val="null3"/>
        <w:jc w:val="center"/>
        <w:outlineLvl w:val="2"/>
      </w:pPr>
      <w:r>
        <w:rPr>
          <w:rFonts w:ascii="仿宋_GB2312" w:hAnsi="仿宋_GB2312" w:cs="仿宋_GB2312" w:eastAsia="仿宋_GB2312"/>
          <w:sz w:val="28"/>
          <w:b/>
        </w:rPr>
        <w:t>省司法厅机关</w:t>
      </w:r>
    </w:p>
    <w:p>
      <w:pPr>
        <w:pStyle w:val="null3"/>
        <w:jc w:val="center"/>
        <w:outlineLvl w:val="2"/>
      </w:pPr>
      <w:r>
        <w:rPr>
          <w:rFonts w:ascii="仿宋_GB2312" w:hAnsi="仿宋_GB2312" w:cs="仿宋_GB2312" w:eastAsia="仿宋_GB2312"/>
          <w:sz w:val="28"/>
          <w:b/>
        </w:rPr>
        <w:t>陕西德勤招标有限公司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陕西德勤招标有限公司</w:t>
      </w:r>
      <w:r>
        <w:rPr>
          <w:rFonts w:ascii="仿宋_GB2312" w:hAnsi="仿宋_GB2312" w:cs="仿宋_GB2312" w:eastAsia="仿宋_GB2312"/>
        </w:rPr>
        <w:t>（以下简称“代理机构”）受</w:t>
      </w:r>
      <w:r>
        <w:rPr>
          <w:rFonts w:ascii="仿宋_GB2312" w:hAnsi="仿宋_GB2312" w:cs="仿宋_GB2312" w:eastAsia="仿宋_GB2312"/>
        </w:rPr>
        <w:t>省司法厅机关</w:t>
      </w:r>
      <w:r>
        <w:rPr>
          <w:rFonts w:ascii="仿宋_GB2312" w:hAnsi="仿宋_GB2312" w:cs="仿宋_GB2312" w:eastAsia="仿宋_GB2312"/>
        </w:rPr>
        <w:t>委托，拟对</w:t>
      </w:r>
      <w:r>
        <w:rPr>
          <w:rFonts w:ascii="仿宋_GB2312" w:hAnsi="仿宋_GB2312" w:cs="仿宋_GB2312" w:eastAsia="仿宋_GB2312"/>
        </w:rPr>
        <w:t>2025年厅机关信息化运维项目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DQB-2025078-CS</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2025年厅机关信息化运维项目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厅机关信息化运维项目。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采购包1（厅机关信息化运维）：属于专门面向中小企业采购。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1、营业执照等主体资格证明文件：提供企业营业执照/事业单位法人证书/专业服务机构执业许可证/民办非企业单位登记证书。</w:t>
      </w:r>
    </w:p>
    <w:p>
      <w:pPr>
        <w:pStyle w:val="null3"/>
      </w:pPr>
      <w:r>
        <w:rPr>
          <w:rFonts w:ascii="仿宋_GB2312" w:hAnsi="仿宋_GB2312" w:cs="仿宋_GB2312" w:eastAsia="仿宋_GB2312"/>
        </w:rPr>
        <w:t>2、财务状况报告：财务状况报告：提供2024年度经审计的财务报告（成立时间至提交响应文件截止时间不足一年的可提供成立后任意时段的资产负债表），或其递交响应文件截止之日前三个月内基本开户银行出具的资信证明，或信用担保机构出具的投标担保函（以上三种形式的资料提供任何一种即可）。</w:t>
      </w:r>
    </w:p>
    <w:p>
      <w:pPr>
        <w:pStyle w:val="null3"/>
      </w:pPr>
      <w:r>
        <w:rPr>
          <w:rFonts w:ascii="仿宋_GB2312" w:hAnsi="仿宋_GB2312" w:cs="仿宋_GB2312" w:eastAsia="仿宋_GB2312"/>
        </w:rPr>
        <w:t>3、书面声明：提供书面声明，包括声明具有履行合同所必需的设备和专业技术能力；未为本项目提供整体设计、规范编制或者项目管理、监理、检测等服务。</w:t>
      </w:r>
    </w:p>
    <w:p>
      <w:pPr>
        <w:pStyle w:val="null3"/>
      </w:pPr>
      <w:r>
        <w:rPr>
          <w:rFonts w:ascii="仿宋_GB2312" w:hAnsi="仿宋_GB2312" w:cs="仿宋_GB2312" w:eastAsia="仿宋_GB2312"/>
        </w:rPr>
        <w:t>4、社保缴纳证明：提供递交响应文件截止之日前一年内任意一个月的社会保障资金缴存单据或社保机构开具的社会保险参保缴费情况证明。依法不需要缴纳社会保障资金的供应商应提供相关文件证明。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5、税收缴纳证明：提供递交响应文件截止之日前一年内任意一个月的依法缴纳税收的相关凭据，凭据应有税务机关或代收机关的公章或业务专用章。依法免税或无须缴纳税收的供应商，应提供相应证明文件。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6、近三年无重大违法、违纪书面声明：提供《近三年无重大违法、违纪书面声明》</w:t>
      </w:r>
    </w:p>
    <w:p>
      <w:pPr>
        <w:pStyle w:val="null3"/>
      </w:pPr>
      <w:r>
        <w:rPr>
          <w:rFonts w:ascii="仿宋_GB2312" w:hAnsi="仿宋_GB2312" w:cs="仿宋_GB2312" w:eastAsia="仿宋_GB2312"/>
        </w:rPr>
        <w:t>7、信用记录：供应商未被列入“信用中国”网站记录的“失信被执行人”或“重大税收违法案件当事人”名单；不处于“中国政府采购网”记录的“政府采购严重违法失信行为记录名单”中的禁止参加政府采购活动期间。（以采购人或采购代理机构开标当天查询结果为准）；</w:t>
      </w:r>
    </w:p>
    <w:p>
      <w:pPr>
        <w:pStyle w:val="null3"/>
      </w:pPr>
      <w:r>
        <w:rPr>
          <w:rFonts w:ascii="仿宋_GB2312" w:hAnsi="仿宋_GB2312" w:cs="仿宋_GB2312" w:eastAsia="仿宋_GB2312"/>
        </w:rPr>
        <w:t>8、控股管理关系：提供直接控股和管理关系清单。若与其他供应商存在单位负责人为同一人或者存在直接控股、管理关系的，则响应无效。</w:t>
      </w:r>
    </w:p>
    <w:p>
      <w:pPr>
        <w:pStyle w:val="null3"/>
      </w:pPr>
      <w:r>
        <w:rPr>
          <w:rFonts w:ascii="仿宋_GB2312" w:hAnsi="仿宋_GB2312" w:cs="仿宋_GB2312" w:eastAsia="仿宋_GB2312"/>
        </w:rPr>
        <w:t>9、法定代表人授权委托书：法定代表人参加磋商的，须提供本人身份证复印件（附在响应文件中）；法定代表人授权他人参加磋商的，须提供法定代表人授权委托书。磋商文件中凡是需要法定代表人盖章之处，非法人单位的负责人均参照执行。 法人的分支机构参与磋商时，除提供《法定代表人授权委托书》、《法定代表人证明书》外，还须同时提供法人给分支机构出具的授权书。</w:t>
      </w:r>
    </w:p>
    <w:p>
      <w:pPr>
        <w:pStyle w:val="null3"/>
      </w:pPr>
      <w:r>
        <w:rPr>
          <w:rFonts w:ascii="仿宋_GB2312" w:hAnsi="仿宋_GB2312" w:cs="仿宋_GB2312" w:eastAsia="仿宋_GB2312"/>
        </w:rPr>
        <w:t>10、本项目不接受联合体磋商，不允许分包：供应商应提供《非联合体不分包磋商声明》，视为独立磋商，不分包。</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省司法厅机关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陕西省西安市雁塔区建工路50号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省司法厅机关经办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029-87293976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陕西德勤招标有限公司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陕西省西安市高新区丈八一路1号汇鑫中心D座2206室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李浩、姜仕路、李维婧、李寅辰</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02981169855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采购包1：490,000.00元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采购包1保证金金额：9,800.00元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开户名称：陕西德勤招标有限公司</w:t>
            </w:r>
          </w:p>
          <w:p>
            <w:pPr>
              <w:pStyle w:val="null3"/>
            </w:pPr>
            <w:r>
              <w:rPr>
                <w:rFonts w:ascii="仿宋_GB2312" w:hAnsi="仿宋_GB2312" w:cs="仿宋_GB2312" w:eastAsia="仿宋_GB2312"/>
              </w:rPr>
              <w:t>开户银行：光大银行西安丈八东路支行</w:t>
            </w:r>
          </w:p>
          <w:p>
            <w:pPr>
              <w:pStyle w:val="null3"/>
            </w:pPr>
            <w:r>
              <w:rPr>
                <w:rFonts w:ascii="仿宋_GB2312" w:hAnsi="仿宋_GB2312" w:cs="仿宋_GB2312" w:eastAsia="仿宋_GB2312"/>
              </w:rPr>
              <w:t>银行账号：52880188000141274</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代理服务费收费标准：成交金额100万元以下，按照费率1.5%计取； 核算代理服务费低于5000元时按5000元收取。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省司法厅机关</w:t>
      </w:r>
      <w:r>
        <w:rPr>
          <w:rFonts w:ascii="仿宋_GB2312" w:hAnsi="仿宋_GB2312" w:cs="仿宋_GB2312" w:eastAsia="仿宋_GB2312"/>
        </w:rPr>
        <w:t>和</w:t>
      </w:r>
      <w:r>
        <w:rPr>
          <w:rFonts w:ascii="仿宋_GB2312" w:hAnsi="仿宋_GB2312" w:cs="仿宋_GB2312" w:eastAsia="仿宋_GB2312"/>
        </w:rPr>
        <w:t>陕西德勤招标有限公司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省司法厅机关</w:t>
      </w:r>
      <w:r>
        <w:rPr>
          <w:rFonts w:ascii="仿宋_GB2312" w:hAnsi="仿宋_GB2312" w:cs="仿宋_GB2312" w:eastAsia="仿宋_GB2312"/>
        </w:rPr>
        <w:t>负责解释。除上述磋商文件内容，其他内容由</w:t>
      </w:r>
      <w:r>
        <w:rPr>
          <w:rFonts w:ascii="仿宋_GB2312" w:hAnsi="仿宋_GB2312" w:cs="仿宋_GB2312" w:eastAsia="仿宋_GB2312"/>
        </w:rPr>
        <w:t>陕西德勤招标有限公司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省司法厅机关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陕西德勤招标有限公司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详见采购文件及合同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陕西德勤招标有限公司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陕西德勤招标有限公司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陕西德勤招标有限公司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联系人：李浩、姜仕路、李维婧、李寅辰</w:t>
      </w:r>
    </w:p>
    <w:p>
      <w:pPr>
        <w:pStyle w:val="null3"/>
      </w:pPr>
      <w:r>
        <w:rPr>
          <w:rFonts w:ascii="仿宋_GB2312" w:hAnsi="仿宋_GB2312" w:cs="仿宋_GB2312" w:eastAsia="仿宋_GB2312"/>
        </w:rPr>
        <w:t>联系电话：02981169855</w:t>
      </w:r>
    </w:p>
    <w:p>
      <w:pPr>
        <w:pStyle w:val="null3"/>
      </w:pPr>
      <w:r>
        <w:rPr>
          <w:rFonts w:ascii="仿宋_GB2312" w:hAnsi="仿宋_GB2312" w:cs="仿宋_GB2312" w:eastAsia="仿宋_GB2312"/>
        </w:rPr>
        <w:t>地址：陕西省西安市高新区丈八一路1号汇鑫中心D座2206室</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厅机关信息化运维项目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490,000.00</w:t>
      </w:r>
    </w:p>
    <w:p>
      <w:pPr>
        <w:pStyle w:val="null3"/>
      </w:pPr>
      <w:r>
        <w:rPr>
          <w:rFonts w:ascii="仿宋_GB2312" w:hAnsi="仿宋_GB2312" w:cs="仿宋_GB2312" w:eastAsia="仿宋_GB2312"/>
        </w:rPr>
        <w:t>采购包最高限价（元）: 490,000.00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信息化运维</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490,000.00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标的名称：信息化运维</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3360"/>
              <w:jc w:val="left"/>
            </w:pPr>
            <w:r>
              <w:rPr>
                <w:rFonts w:ascii="仿宋_GB2312" w:hAnsi="仿宋_GB2312" w:cs="仿宋_GB2312" w:eastAsia="仿宋_GB2312"/>
                <w:sz w:val="21"/>
              </w:rPr>
              <w:t>厅机关信息化运维服务内容</w:t>
            </w:r>
          </w:p>
          <w:tbl>
            <w:tblPr>
              <w:tblInd w:type="dxa" w:w="135"/>
              <w:tblBorders>
                <w:top w:val="none" w:color="000000" w:sz="4"/>
                <w:left w:val="none" w:color="000000" w:sz="4"/>
                <w:bottom w:val="none" w:color="000000" w:sz="4"/>
                <w:right w:val="none" w:color="000000" w:sz="4"/>
                <w:insideH w:val="none"/>
                <w:insideV w:val="none"/>
              </w:tblBorders>
            </w:tblPr>
            <w:tblGrid>
              <w:gridCol w:w="486"/>
              <w:gridCol w:w="2067"/>
            </w:tblGrid>
            <w:tr>
              <w:tc>
                <w:tcPr>
                  <w:tcW w:type="dxa" w:w="48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序号</w:t>
                  </w:r>
                </w:p>
              </w:tc>
              <w:tc>
                <w:tcPr>
                  <w:tcW w:type="dxa" w:w="20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项目</w:t>
                  </w:r>
                </w:p>
              </w:tc>
            </w:tr>
            <w:tr>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20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机房设备设施运维及日常网络保障</w:t>
                  </w:r>
                </w:p>
              </w:tc>
            </w:tr>
            <w:tr>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2</w:t>
                  </w:r>
                </w:p>
              </w:tc>
              <w:tc>
                <w:tcPr>
                  <w:tcW w:type="dxa" w:w="20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信息化业务软件系统运维</w:t>
                  </w:r>
                </w:p>
              </w:tc>
            </w:tr>
            <w:tr>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20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视频会议系统及厅指挥中心运维保障</w:t>
                  </w:r>
                </w:p>
              </w:tc>
            </w:tr>
            <w:tr>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4</w:t>
                  </w:r>
                </w:p>
              </w:tc>
              <w:tc>
                <w:tcPr>
                  <w:tcW w:type="dxa" w:w="20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信息化业务系统硬件维修及更换</w:t>
                  </w:r>
                </w:p>
              </w:tc>
            </w:tr>
            <w:tr>
              <w:tc>
                <w:tcPr>
                  <w:tcW w:type="dxa" w:w="4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206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厅机关日常办公运维保障</w:t>
                  </w:r>
                </w:p>
              </w:tc>
            </w:tr>
          </w:tbl>
          <w:p>
            <w:pPr>
              <w:pStyle w:val="null3"/>
              <w:jc w:val="both"/>
            </w:pPr>
            <w:r>
              <w:rPr>
                <w:rFonts w:ascii="仿宋_GB2312" w:hAnsi="仿宋_GB2312" w:cs="仿宋_GB2312" w:eastAsia="仿宋_GB2312"/>
                <w:sz w:val="21"/>
                <w:b/>
              </w:rPr>
              <w:t>一、机房设备设施运维及日常网络保障</w:t>
            </w:r>
          </w:p>
          <w:p>
            <w:pPr>
              <w:pStyle w:val="null3"/>
              <w:ind w:firstLine="480"/>
              <w:jc w:val="left"/>
            </w:pPr>
            <w:r>
              <w:rPr>
                <w:rFonts w:ascii="仿宋_GB2312" w:hAnsi="仿宋_GB2312" w:cs="仿宋_GB2312" w:eastAsia="仿宋_GB2312"/>
                <w:sz w:val="21"/>
                <w:color w:val="000000"/>
              </w:rPr>
              <w:t>1.机房设备设施的维护保养</w:t>
            </w:r>
          </w:p>
          <w:p>
            <w:pPr>
              <w:pStyle w:val="null3"/>
              <w:ind w:firstLine="480"/>
              <w:jc w:val="left"/>
            </w:pPr>
            <w:r>
              <w:rPr>
                <w:rFonts w:ascii="仿宋_GB2312" w:hAnsi="仿宋_GB2312" w:cs="仿宋_GB2312" w:eastAsia="仿宋_GB2312"/>
                <w:sz w:val="21"/>
                <w:color w:val="000000"/>
              </w:rPr>
              <w:t>2.机房网络故障排除（包括服务器、核心交换机、存储等）</w:t>
            </w:r>
          </w:p>
          <w:p>
            <w:pPr>
              <w:pStyle w:val="null3"/>
              <w:ind w:firstLine="480"/>
              <w:jc w:val="left"/>
            </w:pPr>
            <w:r>
              <w:rPr>
                <w:rFonts w:ascii="仿宋_GB2312" w:hAnsi="仿宋_GB2312" w:cs="仿宋_GB2312" w:eastAsia="仿宋_GB2312"/>
                <w:sz w:val="21"/>
                <w:color w:val="000000"/>
              </w:rPr>
              <w:t>3.</w:t>
            </w:r>
            <w:r>
              <w:rPr>
                <w:rFonts w:ascii="仿宋_GB2312" w:hAnsi="仿宋_GB2312" w:cs="仿宋_GB2312" w:eastAsia="仿宋_GB2312"/>
                <w:sz w:val="21"/>
                <w:color w:val="000000"/>
              </w:rPr>
              <w:t>机房门禁监控的日常维护</w:t>
            </w:r>
          </w:p>
          <w:p>
            <w:pPr>
              <w:pStyle w:val="null3"/>
              <w:ind w:firstLine="480"/>
              <w:jc w:val="left"/>
            </w:pPr>
            <w:r>
              <w:rPr>
                <w:rFonts w:ascii="仿宋_GB2312" w:hAnsi="仿宋_GB2312" w:cs="仿宋_GB2312" w:eastAsia="仿宋_GB2312"/>
                <w:sz w:val="21"/>
                <w:color w:val="000000"/>
              </w:rPr>
              <w:t>4.机房精密配电柜日常维护</w:t>
            </w:r>
          </w:p>
          <w:p>
            <w:pPr>
              <w:pStyle w:val="null3"/>
              <w:ind w:firstLine="480"/>
              <w:jc w:val="left"/>
            </w:pPr>
            <w:r>
              <w:rPr>
                <w:rFonts w:ascii="仿宋_GB2312" w:hAnsi="仿宋_GB2312" w:cs="仿宋_GB2312" w:eastAsia="仿宋_GB2312"/>
                <w:sz w:val="21"/>
                <w:color w:val="000000"/>
              </w:rPr>
              <w:t>5.</w:t>
            </w:r>
            <w:r>
              <w:rPr>
                <w:rFonts w:ascii="仿宋_GB2312" w:hAnsi="仿宋_GB2312" w:cs="仿宋_GB2312" w:eastAsia="仿宋_GB2312"/>
                <w:sz w:val="21"/>
                <w:color w:val="000000"/>
              </w:rPr>
              <w:t>机房</w:t>
            </w:r>
            <w:r>
              <w:rPr>
                <w:rFonts w:ascii="仿宋_GB2312" w:hAnsi="仿宋_GB2312" w:cs="仿宋_GB2312" w:eastAsia="仿宋_GB2312"/>
                <w:sz w:val="21"/>
                <w:color w:val="000000"/>
              </w:rPr>
              <w:t>温湿度一体化</w:t>
            </w:r>
            <w:r>
              <w:rPr>
                <w:rFonts w:ascii="仿宋_GB2312" w:hAnsi="仿宋_GB2312" w:cs="仿宋_GB2312" w:eastAsia="仿宋_GB2312"/>
                <w:sz w:val="21"/>
                <w:color w:val="000000"/>
              </w:rPr>
              <w:t>（温湿度检测）日常维护</w:t>
            </w:r>
          </w:p>
          <w:p>
            <w:pPr>
              <w:pStyle w:val="null3"/>
              <w:ind w:firstLine="480"/>
              <w:jc w:val="left"/>
            </w:pPr>
            <w:r>
              <w:rPr>
                <w:rFonts w:ascii="仿宋_GB2312" w:hAnsi="仿宋_GB2312" w:cs="仿宋_GB2312" w:eastAsia="仿宋_GB2312"/>
                <w:sz w:val="21"/>
                <w:color w:val="000000"/>
              </w:rPr>
              <w:t>6.机房UPS日常维护</w:t>
            </w:r>
          </w:p>
          <w:p>
            <w:pPr>
              <w:pStyle w:val="null3"/>
              <w:ind w:firstLine="480"/>
              <w:jc w:val="left"/>
            </w:pPr>
            <w:r>
              <w:rPr>
                <w:rFonts w:ascii="仿宋_GB2312" w:hAnsi="仿宋_GB2312" w:cs="仿宋_GB2312" w:eastAsia="仿宋_GB2312"/>
                <w:sz w:val="21"/>
                <w:color w:val="000000"/>
              </w:rPr>
              <w:t>7.</w:t>
            </w:r>
            <w:r>
              <w:rPr>
                <w:rFonts w:ascii="仿宋_GB2312" w:hAnsi="仿宋_GB2312" w:cs="仿宋_GB2312" w:eastAsia="仿宋_GB2312"/>
                <w:sz w:val="21"/>
                <w:color w:val="000000"/>
              </w:rPr>
              <w:t>机房日常和定期巡检</w:t>
            </w:r>
          </w:p>
          <w:p>
            <w:pPr>
              <w:pStyle w:val="null3"/>
              <w:ind w:firstLine="422"/>
              <w:jc w:val="left"/>
            </w:pPr>
            <w:r>
              <w:rPr>
                <w:rFonts w:ascii="仿宋_GB2312" w:hAnsi="仿宋_GB2312" w:cs="仿宋_GB2312" w:eastAsia="仿宋_GB2312"/>
                <w:sz w:val="21"/>
                <w:b/>
              </w:rPr>
              <w:t>二、信息化业务软件系统运维</w:t>
            </w:r>
          </w:p>
          <w:p>
            <w:pPr>
              <w:pStyle w:val="null3"/>
              <w:ind w:firstLine="480"/>
              <w:jc w:val="left"/>
            </w:pPr>
            <w:r>
              <w:rPr>
                <w:rFonts w:ascii="仿宋_GB2312" w:hAnsi="仿宋_GB2312" w:cs="仿宋_GB2312" w:eastAsia="仿宋_GB2312"/>
                <w:sz w:val="21"/>
                <w:color w:val="000000"/>
              </w:rPr>
              <w:t>1.业务软件系统（包括基层工作综合管理系统、智慧调解系统、基层法律服务系统、数字立法系统、行政执法监督系统等35个系统）的监控管理（包括运行情况、软件使用率等）</w:t>
            </w:r>
          </w:p>
          <w:p>
            <w:pPr>
              <w:pStyle w:val="null3"/>
              <w:ind w:firstLine="480"/>
              <w:jc w:val="left"/>
            </w:pPr>
            <w:r>
              <w:rPr>
                <w:rFonts w:ascii="仿宋_GB2312" w:hAnsi="仿宋_GB2312" w:cs="仿宋_GB2312" w:eastAsia="仿宋_GB2312"/>
                <w:sz w:val="21"/>
                <w:color w:val="000000"/>
              </w:rPr>
              <w:t>2.业务软件系统的运行保障</w:t>
            </w:r>
          </w:p>
          <w:p>
            <w:pPr>
              <w:pStyle w:val="null3"/>
              <w:ind w:firstLine="480"/>
              <w:jc w:val="left"/>
            </w:pPr>
            <w:r>
              <w:rPr>
                <w:rFonts w:ascii="仿宋_GB2312" w:hAnsi="仿宋_GB2312" w:cs="仿宋_GB2312" w:eastAsia="仿宋_GB2312"/>
                <w:sz w:val="21"/>
                <w:color w:val="000000"/>
              </w:rPr>
              <w:t>3.业务软件系统一般故障的排除</w:t>
            </w:r>
          </w:p>
          <w:p>
            <w:pPr>
              <w:pStyle w:val="null3"/>
              <w:ind w:firstLine="480"/>
              <w:jc w:val="left"/>
            </w:pPr>
            <w:r>
              <w:rPr>
                <w:rFonts w:ascii="仿宋_GB2312" w:hAnsi="仿宋_GB2312" w:cs="仿宋_GB2312" w:eastAsia="仿宋_GB2312"/>
                <w:sz w:val="21"/>
                <w:color w:val="000000"/>
              </w:rPr>
              <w:t>4.</w:t>
            </w:r>
            <w:r>
              <w:rPr>
                <w:rFonts w:ascii="仿宋_GB2312" w:hAnsi="仿宋_GB2312" w:cs="仿宋_GB2312" w:eastAsia="仿宋_GB2312"/>
                <w:sz w:val="21"/>
                <w:color w:val="000000"/>
              </w:rPr>
              <w:t>业务软件系统网络安全漏洞的整改</w:t>
            </w:r>
          </w:p>
          <w:p>
            <w:pPr>
              <w:pStyle w:val="null3"/>
              <w:ind w:firstLine="422"/>
              <w:jc w:val="left"/>
            </w:pPr>
            <w:r>
              <w:rPr>
                <w:rFonts w:ascii="仿宋_GB2312" w:hAnsi="仿宋_GB2312" w:cs="仿宋_GB2312" w:eastAsia="仿宋_GB2312"/>
                <w:sz w:val="21"/>
                <w:b/>
              </w:rPr>
              <w:t>三、视频会议系统及厅指挥中心运维保障</w:t>
            </w:r>
          </w:p>
          <w:p>
            <w:pPr>
              <w:pStyle w:val="null3"/>
              <w:ind w:firstLine="480"/>
              <w:jc w:val="left"/>
            </w:pPr>
            <w:r>
              <w:rPr>
                <w:rFonts w:ascii="仿宋_GB2312" w:hAnsi="仿宋_GB2312" w:cs="仿宋_GB2312" w:eastAsia="仿宋_GB2312"/>
                <w:sz w:val="21"/>
                <w:color w:val="000000"/>
              </w:rPr>
              <w:t>1.视频会议保障、视频会议系统相关设备维护保养和故障排除</w:t>
            </w:r>
          </w:p>
          <w:p>
            <w:pPr>
              <w:pStyle w:val="null3"/>
              <w:ind w:firstLine="480"/>
              <w:jc w:val="left"/>
            </w:pPr>
            <w:r>
              <w:rPr>
                <w:rFonts w:ascii="仿宋_GB2312" w:hAnsi="仿宋_GB2312" w:cs="仿宋_GB2312" w:eastAsia="仿宋_GB2312"/>
                <w:sz w:val="24"/>
                <w:color w:val="000000"/>
              </w:rPr>
              <w:t>2.</w:t>
            </w:r>
            <w:r>
              <w:rPr>
                <w:rFonts w:ascii="仿宋_GB2312" w:hAnsi="仿宋_GB2312" w:cs="仿宋_GB2312" w:eastAsia="仿宋_GB2312"/>
                <w:sz w:val="21"/>
                <w:color w:val="000000"/>
              </w:rPr>
              <w:t>党组会议室现场会议保障，指挥中心相关设备设施、系统的现场技术保障和故障排除</w:t>
            </w:r>
          </w:p>
          <w:p>
            <w:pPr>
              <w:pStyle w:val="null3"/>
              <w:ind w:firstLine="480"/>
              <w:jc w:val="left"/>
            </w:pPr>
            <w:r>
              <w:rPr>
                <w:rFonts w:ascii="仿宋_GB2312" w:hAnsi="仿宋_GB2312" w:cs="仿宋_GB2312" w:eastAsia="仿宋_GB2312"/>
                <w:sz w:val="21"/>
                <w:color w:val="000000"/>
              </w:rPr>
              <w:t>3.视频会议系统、党组会议室及指挥中心的定期巡检</w:t>
            </w:r>
          </w:p>
          <w:p>
            <w:pPr>
              <w:pStyle w:val="null3"/>
              <w:ind w:firstLine="480"/>
              <w:jc w:val="left"/>
            </w:pPr>
            <w:r>
              <w:rPr>
                <w:rFonts w:ascii="仿宋_GB2312" w:hAnsi="仿宋_GB2312" w:cs="仿宋_GB2312" w:eastAsia="仿宋_GB2312"/>
                <w:sz w:val="21"/>
                <w:color w:val="000000"/>
              </w:rPr>
              <w:t>4.视频会议系统、指挥中心的软件及时更新</w:t>
            </w:r>
          </w:p>
          <w:p>
            <w:pPr>
              <w:pStyle w:val="null3"/>
              <w:ind w:firstLine="422"/>
              <w:jc w:val="left"/>
            </w:pPr>
            <w:r>
              <w:rPr>
                <w:rFonts w:ascii="仿宋_GB2312" w:hAnsi="仿宋_GB2312" w:cs="仿宋_GB2312" w:eastAsia="仿宋_GB2312"/>
                <w:sz w:val="21"/>
                <w:b/>
              </w:rPr>
              <w:t>四、信息化业务系统硬件维修及更换</w:t>
            </w:r>
          </w:p>
          <w:p>
            <w:pPr>
              <w:pStyle w:val="null3"/>
              <w:ind w:firstLine="480"/>
              <w:jc w:val="left"/>
            </w:pPr>
            <w:r>
              <w:rPr>
                <w:rFonts w:ascii="仿宋_GB2312" w:hAnsi="仿宋_GB2312" w:cs="仿宋_GB2312" w:eastAsia="仿宋_GB2312"/>
                <w:sz w:val="21"/>
                <w:color w:val="000000"/>
              </w:rPr>
              <w:t>1.机房设备设施（包括服务器、交换机、空调、机柜、UPS、动环、监控门禁等）的维修和配件更换</w:t>
            </w:r>
          </w:p>
          <w:p>
            <w:pPr>
              <w:pStyle w:val="null3"/>
              <w:ind w:firstLine="480"/>
              <w:jc w:val="left"/>
            </w:pPr>
            <w:r>
              <w:rPr>
                <w:rFonts w:ascii="仿宋_GB2312" w:hAnsi="仿宋_GB2312" w:cs="仿宋_GB2312" w:eastAsia="仿宋_GB2312"/>
                <w:sz w:val="21"/>
                <w:color w:val="000000"/>
              </w:rPr>
              <w:t>2.厅机关日常网络设备的维修和配件更换</w:t>
            </w:r>
          </w:p>
          <w:p>
            <w:pPr>
              <w:pStyle w:val="null3"/>
              <w:ind w:firstLine="480"/>
              <w:jc w:val="left"/>
            </w:pPr>
            <w:r>
              <w:rPr>
                <w:rFonts w:ascii="仿宋_GB2312" w:hAnsi="仿宋_GB2312" w:cs="仿宋_GB2312" w:eastAsia="仿宋_GB2312"/>
                <w:sz w:val="21"/>
                <w:color w:val="000000"/>
              </w:rPr>
              <w:t>3.视频会议系统、指挥中心的维修和配件更换</w:t>
            </w:r>
          </w:p>
          <w:p>
            <w:pPr>
              <w:pStyle w:val="null3"/>
              <w:ind w:firstLine="422"/>
              <w:jc w:val="left"/>
            </w:pPr>
            <w:r>
              <w:rPr>
                <w:rFonts w:ascii="仿宋_GB2312" w:hAnsi="仿宋_GB2312" w:cs="仿宋_GB2312" w:eastAsia="仿宋_GB2312"/>
                <w:sz w:val="21"/>
                <w:b/>
              </w:rPr>
              <w:t>五、厅机关日常办公运维保障</w:t>
            </w:r>
          </w:p>
          <w:p>
            <w:pPr>
              <w:pStyle w:val="null3"/>
              <w:ind w:firstLine="480"/>
              <w:jc w:val="left"/>
            </w:pPr>
            <w:r>
              <w:rPr>
                <w:rFonts w:ascii="仿宋_GB2312" w:hAnsi="仿宋_GB2312" w:cs="仿宋_GB2312" w:eastAsia="仿宋_GB2312"/>
                <w:sz w:val="21"/>
                <w:color w:val="000000"/>
              </w:rPr>
              <w:t>1.厅机关日常网络运行（路由器、配置电脑网络等）现场保障</w:t>
            </w:r>
          </w:p>
          <w:p>
            <w:pPr>
              <w:pStyle w:val="null3"/>
              <w:ind w:firstLine="480"/>
              <w:jc w:val="left"/>
            </w:pPr>
            <w:r>
              <w:rPr>
                <w:rFonts w:ascii="仿宋_GB2312" w:hAnsi="仿宋_GB2312" w:cs="仿宋_GB2312" w:eastAsia="仿宋_GB2312"/>
                <w:sz w:val="21"/>
                <w:color w:val="000000"/>
              </w:rPr>
              <w:t>2.厅机关日常办公业务软件维护</w:t>
            </w:r>
          </w:p>
          <w:p>
            <w:pPr>
              <w:pStyle w:val="null3"/>
              <w:ind w:firstLine="422"/>
              <w:jc w:val="left"/>
            </w:pPr>
            <w:r>
              <w:rPr>
                <w:rFonts w:ascii="仿宋_GB2312" w:hAnsi="仿宋_GB2312" w:cs="仿宋_GB2312" w:eastAsia="仿宋_GB2312"/>
                <w:sz w:val="21"/>
                <w:b/>
              </w:rPr>
              <w:t>六、供应商应采取措施，对本单位的所有相关数据保密，不得外泄，双方签订保密协议。</w:t>
            </w:r>
          </w:p>
          <w:p>
            <w:pPr>
              <w:pStyle w:val="null3"/>
              <w:ind w:firstLine="422"/>
              <w:jc w:val="left"/>
            </w:pPr>
            <w:r>
              <w:rPr>
                <w:rFonts w:ascii="仿宋_GB2312" w:hAnsi="仿宋_GB2312" w:cs="仿宋_GB2312" w:eastAsia="仿宋_GB2312"/>
                <w:sz w:val="21"/>
                <w:b/>
              </w:rPr>
              <w:t>七、发生网络安全事件时，第一时间处置，配合公安机关调查取证。</w:t>
            </w:r>
          </w:p>
          <w:p>
            <w:pPr>
              <w:pStyle w:val="null3"/>
              <w:ind w:firstLine="422"/>
              <w:jc w:val="left"/>
            </w:pPr>
            <w:r>
              <w:rPr>
                <w:rFonts w:ascii="仿宋_GB2312" w:hAnsi="仿宋_GB2312" w:cs="仿宋_GB2312" w:eastAsia="仿宋_GB2312"/>
                <w:sz w:val="21"/>
                <w:b/>
              </w:rPr>
              <w:t>八、在运行维护过程中，出现设备或业务系统重大故障，负责联系厂家，配合现场处理。</w:t>
            </w:r>
          </w:p>
          <w:p>
            <w:pPr>
              <w:pStyle w:val="null3"/>
              <w:ind w:firstLine="422"/>
              <w:jc w:val="left"/>
            </w:pPr>
            <w:r>
              <w:rPr>
                <w:rFonts w:ascii="仿宋_GB2312" w:hAnsi="仿宋_GB2312" w:cs="仿宋_GB2312" w:eastAsia="仿宋_GB2312"/>
                <w:sz w:val="21"/>
                <w:b/>
              </w:rPr>
              <w:t>九、驻场要求：</w:t>
            </w:r>
          </w:p>
          <w:p>
            <w:pPr>
              <w:pStyle w:val="null3"/>
              <w:ind w:firstLine="480"/>
              <w:jc w:val="left"/>
            </w:pPr>
            <w:r>
              <w:rPr>
                <w:rFonts w:ascii="仿宋_GB2312" w:hAnsi="仿宋_GB2312" w:cs="仿宋_GB2312" w:eastAsia="仿宋_GB2312"/>
                <w:sz w:val="21"/>
                <w:color w:val="000000"/>
              </w:rPr>
              <w:t>9.1.驻场人员要求（供应商须安排专人进行驻场值守）：</w:t>
            </w:r>
          </w:p>
          <w:p>
            <w:pPr>
              <w:pStyle w:val="null3"/>
              <w:ind w:firstLine="480"/>
              <w:jc w:val="left"/>
            </w:pPr>
            <w:r>
              <w:rPr>
                <w:rFonts w:ascii="仿宋_GB2312" w:hAnsi="仿宋_GB2312" w:cs="仿宋_GB2312" w:eastAsia="仿宋_GB2312"/>
                <w:sz w:val="21"/>
                <w:color w:val="000000"/>
              </w:rPr>
              <w:t>9.2.熟悉计算机硬件基础原理和网络通信专业知识，具备电气类设备、不间断电源系统、机房空调等设备的运维操作技术；</w:t>
            </w:r>
          </w:p>
          <w:p>
            <w:pPr>
              <w:pStyle w:val="null3"/>
              <w:ind w:firstLine="480"/>
              <w:jc w:val="left"/>
            </w:pPr>
            <w:r>
              <w:rPr>
                <w:rFonts w:ascii="仿宋_GB2312" w:hAnsi="仿宋_GB2312" w:cs="仿宋_GB2312" w:eastAsia="仿宋_GB2312"/>
                <w:sz w:val="21"/>
                <w:color w:val="000000"/>
              </w:rPr>
              <w:t>9.3.了解数据机房运维业务，并具备业务经验，熟悉主流网络厂商交换路由设备，有排错能力。</w:t>
            </w:r>
          </w:p>
          <w:p>
            <w:pPr>
              <w:pStyle w:val="null3"/>
              <w:ind w:firstLine="480"/>
              <w:jc w:val="left"/>
            </w:pPr>
            <w:r>
              <w:rPr>
                <w:rFonts w:ascii="仿宋_GB2312" w:hAnsi="仿宋_GB2312" w:cs="仿宋_GB2312" w:eastAsia="仿宋_GB2312"/>
                <w:sz w:val="21"/>
                <w:color w:val="000000"/>
              </w:rPr>
              <w:t>9.4.熟悉主流编程语言C+，JAVA，能对业务系统部署，测试，排错等。</w:t>
            </w:r>
          </w:p>
          <w:p>
            <w:pPr>
              <w:pStyle w:val="null3"/>
              <w:ind w:firstLine="480"/>
              <w:jc w:val="left"/>
            </w:pPr>
            <w:r>
              <w:rPr>
                <w:rFonts w:ascii="仿宋_GB2312" w:hAnsi="仿宋_GB2312" w:cs="仿宋_GB2312" w:eastAsia="仿宋_GB2312"/>
                <w:sz w:val="21"/>
                <w:color w:val="000000"/>
              </w:rPr>
              <w:t>9.5.驻场人员不少于 3 人，具备相关运维服务能力，驻场人员不符合采购人要求的，应当在 3 日内更换其他人员。</w:t>
            </w:r>
          </w:p>
          <w:p>
            <w:pPr>
              <w:pStyle w:val="null3"/>
              <w:ind w:firstLine="480"/>
              <w:jc w:val="left"/>
            </w:pPr>
            <w:r>
              <w:rPr>
                <w:rFonts w:ascii="仿宋_GB2312" w:hAnsi="仿宋_GB2312" w:cs="仿宋_GB2312" w:eastAsia="仿宋_GB2312"/>
                <w:sz w:val="21"/>
                <w:color w:val="000000"/>
              </w:rPr>
              <w:t>9.6.驻场时间要求：</w:t>
            </w:r>
          </w:p>
          <w:p>
            <w:pPr>
              <w:pStyle w:val="null3"/>
              <w:ind w:firstLine="480"/>
              <w:jc w:val="left"/>
            </w:pPr>
            <w:r>
              <w:rPr>
                <w:rFonts w:ascii="仿宋_GB2312" w:hAnsi="仿宋_GB2312" w:cs="仿宋_GB2312" w:eastAsia="仿宋_GB2312"/>
                <w:sz w:val="21"/>
                <w:color w:val="000000"/>
              </w:rPr>
              <w:t>9.6.1.按照省司法厅机关上下班时间正常驻场值守，如遇重大任务保障、极端天气等特殊情况，根据采购人要求进行全天候值守。</w:t>
            </w:r>
          </w:p>
          <w:p>
            <w:pPr>
              <w:pStyle w:val="null3"/>
              <w:ind w:firstLine="480"/>
              <w:jc w:val="left"/>
            </w:pPr>
            <w:r>
              <w:rPr>
                <w:rFonts w:ascii="仿宋_GB2312" w:hAnsi="仿宋_GB2312" w:cs="仿宋_GB2312" w:eastAsia="仿宋_GB2312"/>
                <w:sz w:val="21"/>
                <w:color w:val="000000"/>
              </w:rPr>
              <w:t>9.6.2.国家法定节假日期间驻场值守。</w:t>
            </w:r>
          </w:p>
          <w:p>
            <w:pPr>
              <w:pStyle w:val="null3"/>
              <w:ind w:firstLine="480"/>
              <w:jc w:val="left"/>
            </w:pPr>
            <w:r>
              <w:rPr>
                <w:rFonts w:ascii="仿宋_GB2312" w:hAnsi="仿宋_GB2312" w:cs="仿宋_GB2312" w:eastAsia="仿宋_GB2312"/>
                <w:sz w:val="21"/>
                <w:color w:val="000000"/>
              </w:rPr>
              <w:t>9.6.3.非上班时间出现问题，1小时响应到达现场处理。</w:t>
            </w:r>
          </w:p>
          <w:p>
            <w:pPr>
              <w:pStyle w:val="null3"/>
              <w:ind w:firstLine="480"/>
              <w:jc w:val="left"/>
            </w:pPr>
            <w:r>
              <w:rPr>
                <w:rFonts w:ascii="仿宋_GB2312" w:hAnsi="仿宋_GB2312" w:cs="仿宋_GB2312" w:eastAsia="仿宋_GB2312"/>
                <w:sz w:val="21"/>
                <w:color w:val="000000"/>
              </w:rPr>
              <w:t>9.6.4.保持 7*24小时电话及远程技术支持。</w:t>
            </w:r>
          </w:p>
          <w:p>
            <w:pPr>
              <w:pStyle w:val="null3"/>
              <w:ind w:firstLine="480"/>
              <w:jc w:val="left"/>
            </w:pPr>
            <w:r>
              <w:rPr>
                <w:rFonts w:ascii="仿宋_GB2312" w:hAnsi="仿宋_GB2312" w:cs="仿宋_GB2312" w:eastAsia="仿宋_GB2312"/>
                <w:sz w:val="21"/>
                <w:color w:val="000000"/>
              </w:rPr>
              <w:t>9.6.5.若有重大任务或紧急任务，驻场人员须根据采购人安排，在此期间提供 24 小时驻场服务。</w:t>
            </w:r>
          </w:p>
          <w:p>
            <w:pPr>
              <w:pStyle w:val="null3"/>
              <w:ind w:firstLine="422"/>
              <w:jc w:val="left"/>
            </w:pPr>
            <w:r>
              <w:rPr>
                <w:rFonts w:ascii="仿宋_GB2312" w:hAnsi="仿宋_GB2312" w:cs="仿宋_GB2312" w:eastAsia="仿宋_GB2312"/>
                <w:sz w:val="21"/>
                <w:b/>
              </w:rPr>
              <w:t>十、商务要求</w:t>
            </w:r>
          </w:p>
          <w:p>
            <w:pPr>
              <w:pStyle w:val="null3"/>
              <w:ind w:firstLine="480"/>
              <w:jc w:val="left"/>
            </w:pPr>
            <w:r>
              <w:rPr>
                <w:rFonts w:ascii="仿宋_GB2312" w:hAnsi="仿宋_GB2312" w:cs="仿宋_GB2312" w:eastAsia="仿宋_GB2312"/>
                <w:sz w:val="21"/>
                <w:color w:val="000000"/>
              </w:rPr>
              <w:t>10.1.台账管理制度：建立健全的运维台账管理制度，按时对运维情况进行登记，配合采购人不定期的检查。</w:t>
            </w:r>
          </w:p>
          <w:p>
            <w:pPr>
              <w:pStyle w:val="null3"/>
              <w:ind w:firstLine="480"/>
              <w:jc w:val="left"/>
            </w:pPr>
            <w:r>
              <w:rPr>
                <w:rFonts w:ascii="仿宋_GB2312" w:hAnsi="仿宋_GB2312" w:cs="仿宋_GB2312" w:eastAsia="仿宋_GB2312"/>
                <w:sz w:val="21"/>
                <w:color w:val="000000"/>
              </w:rPr>
              <w:t>10.2.本项目成交供应商出具承诺函，将服从采购人对本项目服务团队所有人员的一切调整及安排。</w:t>
            </w:r>
          </w:p>
          <w:p>
            <w:pPr>
              <w:pStyle w:val="null3"/>
              <w:ind w:firstLine="422"/>
              <w:jc w:val="left"/>
            </w:pPr>
            <w:r>
              <w:rPr>
                <w:rFonts w:ascii="仿宋_GB2312" w:hAnsi="仿宋_GB2312" w:cs="仿宋_GB2312" w:eastAsia="仿宋_GB2312"/>
                <w:sz w:val="21"/>
                <w:b/>
              </w:rPr>
              <w:t>十一、踏勘要求：</w:t>
            </w:r>
          </w:p>
          <w:p>
            <w:pPr>
              <w:pStyle w:val="null3"/>
              <w:jc w:val="both"/>
            </w:pPr>
            <w:r>
              <w:rPr>
                <w:rFonts w:ascii="仿宋_GB2312" w:hAnsi="仿宋_GB2312" w:cs="仿宋_GB2312" w:eastAsia="仿宋_GB2312"/>
                <w:sz w:val="21"/>
              </w:rPr>
              <w:t>本项目不组织统一踏勘，各供应商可根据自身实际需求在响应文件截止时间前联系采购人自行踏勘。</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陕西省司法厅机关</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详见采购文件及合同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签订合同</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服务期满并验收合格</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未按合同要求提供、服务内容未满足采购人技术要求，采购人有权终止合同并对供方违约行为进行追究。</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供应商需要在线提交所有通过电子化交易平台实施的政府采购项目的响应文件，同时，线下提交纸质响应文件贰份；若电子响应文件与纸质响应文件不一致的，以电子响应文件为准；响应文件装订成册密封（在书脊处标明项目名称、供应商名称（机打或手写均可），逐页标注连页码），在封口处加盖供应商公章；纸质响应文件递交截止时间与线上开评标时间一致；纸质响应文件可邮寄递交，应于递交响应文件截止时间前邮寄到代理机构。</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提供企业营业执照/事业单位法人证书/专业服务机构执业许可证/民办非企业单位登记证书。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财务状况报告：提供2024年度经审计的财务报告（成立时间至提交响应文件截止时间不足一年的可提供成立后任意时段的资产负债表），或其递交响应文件截止之日前三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提供书面声明，包括声明具有履行合同所必需的设备和专业技术能力；未为本项目提供整体设计、规范编制或者项目管理、监理、检测等服务。</w:t>
            </w:r>
          </w:p>
        </w:tc>
        <w:tc>
          <w:tcPr>
            <w:tcW w:type="dxa" w:w="1661"/>
          </w:tcPr>
          <w:p>
            <w:pPr>
              <w:pStyle w:val="null3"/>
            </w:pPr>
            <w:r>
              <w:rPr>
                <w:rFonts w:ascii="仿宋_GB2312" w:hAnsi="仿宋_GB2312" w:cs="仿宋_GB2312" w:eastAsia="仿宋_GB2312"/>
              </w:rPr>
              <w:t>书面声明</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提供递交响应文件截止之日前一年内任意一个月的社会保障资金缴存单据或社保机构开具的社会保险参保缴费情况证明。依法不需要缴纳社会保障资金的供应商应提供相关文件证明。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提供递交响应文件截止之日前一年内任意一个月的依法缴纳税收的相关凭据，凭据应有税务机关或代收机关的公章或业务专用章。依法免税或无须缴纳税收的供应商，应提供相应证明文件。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近三年无重大违法、违纪书面声明</w:t>
            </w:r>
          </w:p>
        </w:tc>
        <w:tc>
          <w:tcPr>
            <w:tcW w:type="dxa" w:w="3322"/>
          </w:tcPr>
          <w:p>
            <w:pPr>
              <w:pStyle w:val="null3"/>
            </w:pPr>
            <w:r>
              <w:rPr>
                <w:rFonts w:ascii="仿宋_GB2312" w:hAnsi="仿宋_GB2312" w:cs="仿宋_GB2312" w:eastAsia="仿宋_GB2312"/>
              </w:rPr>
              <w:t>提供《近三年无重大违法、违纪书面声明》</w:t>
            </w:r>
          </w:p>
        </w:tc>
        <w:tc>
          <w:tcPr>
            <w:tcW w:type="dxa" w:w="1661"/>
          </w:tcPr>
          <w:p>
            <w:pPr>
              <w:pStyle w:val="null3"/>
            </w:pPr>
            <w:r>
              <w:rPr>
                <w:rFonts w:ascii="仿宋_GB2312" w:hAnsi="仿宋_GB2312" w:cs="仿宋_GB2312" w:eastAsia="仿宋_GB2312"/>
              </w:rPr>
              <w:t>近三年无重大违法、违纪书面声明</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列入“信用中国”网站记录的“失信被执行人”或“重大税收违法案件当事人”名单；不处于“中国政府采购网”记录的“政府采购严重违法失信行为记录名单”中的禁止参加政府采购活动期间。（以采购人或采购代理机构开标当天查询结果为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提供直接控股和管理关系清单。若与其他供应商存在单位负责人为同一人或者存在直接控股、管理关系的，则响应无效。</w:t>
            </w:r>
          </w:p>
        </w:tc>
        <w:tc>
          <w:tcPr>
            <w:tcW w:type="dxa" w:w="1661"/>
          </w:tcPr>
          <w:p>
            <w:pPr>
              <w:pStyle w:val="null3"/>
            </w:pPr>
            <w:r>
              <w:rPr>
                <w:rFonts w:ascii="仿宋_GB2312" w:hAnsi="仿宋_GB2312" w:cs="仿宋_GB2312" w:eastAsia="仿宋_GB2312"/>
              </w:rPr>
              <w:t>控股管理关系</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磋商的，须提供本人身份证复印件（附在响应文件中）；法定代表人授权他人参加磋商的，须提供法定代表人授权委托书。磋商文件中凡是需要法定代表人盖章之处，非法人单位的负责人均参照执行。 法人的分支机构参与磋商时，除提供《法定代表人授权委托书》、《法定代表人证明书》外，还须同时提供法人给分支机构出具的授权书。</w:t>
            </w:r>
          </w:p>
        </w:tc>
        <w:tc>
          <w:tcPr>
            <w:tcW w:type="dxa" w:w="1661"/>
          </w:tcPr>
          <w:p>
            <w:pPr>
              <w:pStyle w:val="null3"/>
            </w:pPr>
            <w:r>
              <w:rPr>
                <w:rFonts w:ascii="仿宋_GB2312" w:hAnsi="仿宋_GB2312" w:cs="仿宋_GB2312" w:eastAsia="仿宋_GB2312"/>
              </w:rPr>
              <w:t>法定代表人授权书</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本项目不接受联合体磋商，不允许分包</w:t>
            </w:r>
          </w:p>
        </w:tc>
        <w:tc>
          <w:tcPr>
            <w:tcW w:type="dxa" w:w="3322"/>
          </w:tcPr>
          <w:p>
            <w:pPr>
              <w:pStyle w:val="null3"/>
            </w:pPr>
            <w:r>
              <w:rPr>
                <w:rFonts w:ascii="仿宋_GB2312" w:hAnsi="仿宋_GB2312" w:cs="仿宋_GB2312" w:eastAsia="仿宋_GB2312"/>
              </w:rPr>
              <w:t>供应商应提供《非联合体不分包磋商声明》，视为独立磋商，不分包。</w:t>
            </w:r>
          </w:p>
        </w:tc>
        <w:tc>
          <w:tcPr>
            <w:tcW w:type="dxa" w:w="1661"/>
          </w:tcPr>
          <w:p>
            <w:pPr>
              <w:pStyle w:val="null3"/>
            </w:pPr>
            <w:r>
              <w:rPr>
                <w:rFonts w:ascii="仿宋_GB2312" w:hAnsi="仿宋_GB2312" w:cs="仿宋_GB2312" w:eastAsia="仿宋_GB2312"/>
              </w:rPr>
              <w:t>非联合体不分包响应声明</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响应文件语言及有效期</w:t>
            </w:r>
          </w:p>
        </w:tc>
        <w:tc>
          <w:tcPr>
            <w:tcW w:type="dxa" w:w="3322"/>
          </w:tcPr>
          <w:p>
            <w:pPr>
              <w:pStyle w:val="null3"/>
            </w:pPr>
            <w:r>
              <w:rPr>
                <w:rFonts w:ascii="仿宋_GB2312" w:hAnsi="仿宋_GB2312" w:cs="仿宋_GB2312" w:eastAsia="仿宋_GB2312"/>
              </w:rPr>
              <w:t>响应文件语言及有效期符合磋商文件要求。</w:t>
            </w:r>
          </w:p>
        </w:tc>
        <w:tc>
          <w:tcPr>
            <w:tcW w:type="dxa" w:w="1661"/>
          </w:tcPr>
          <w:p>
            <w:pPr>
              <w:pStyle w:val="null3"/>
            </w:pPr>
            <w:r>
              <w:rPr>
                <w:rFonts w:ascii="仿宋_GB2312" w:hAnsi="仿宋_GB2312" w:cs="仿宋_GB2312" w:eastAsia="仿宋_GB2312"/>
              </w:rPr>
              <w:t>服务内容及服务邀请应答表 分项报价表 保证金汇款声明函 中小企业声明函 商务应答表 供应商应提交的相关资格证明材料 报价表 非联合体不分包响应声明 控股管理关系 法定代表人授权书 响应文件封面 近三年无重大违法、违纪书面声明 残疾人福利性单位声明函 服务方案 标的清单 响应函 书面声明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响应文件封面、响应函、法定代表人（负责人）授权委托书三处的项目名称、项目编号、标段（如有）</w:t>
            </w:r>
          </w:p>
        </w:tc>
        <w:tc>
          <w:tcPr>
            <w:tcW w:type="dxa" w:w="3322"/>
          </w:tcPr>
          <w:p>
            <w:pPr>
              <w:pStyle w:val="null3"/>
            </w:pPr>
            <w:r>
              <w:rPr>
                <w:rFonts w:ascii="仿宋_GB2312" w:hAnsi="仿宋_GB2312" w:cs="仿宋_GB2312" w:eastAsia="仿宋_GB2312"/>
              </w:rPr>
              <w:t>三处均无遗漏，且与所投项目名称、项目编号、标段（如有）一致。</w:t>
            </w:r>
          </w:p>
        </w:tc>
        <w:tc>
          <w:tcPr>
            <w:tcW w:type="dxa" w:w="1661"/>
          </w:tcPr>
          <w:p>
            <w:pPr>
              <w:pStyle w:val="null3"/>
            </w:pPr>
            <w:r>
              <w:rPr>
                <w:rFonts w:ascii="仿宋_GB2312" w:hAnsi="仿宋_GB2312" w:cs="仿宋_GB2312" w:eastAsia="仿宋_GB2312"/>
              </w:rPr>
              <w:t>响应文件封面 响应函 法定代表人授权书</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均按磋商文件要求签字、盖章（评分标准中要求提供的证明材料除外）。</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响应报价表</w:t>
            </w:r>
          </w:p>
        </w:tc>
        <w:tc>
          <w:tcPr>
            <w:tcW w:type="dxa" w:w="3322"/>
          </w:tcPr>
          <w:p>
            <w:pPr>
              <w:pStyle w:val="null3"/>
            </w:pPr>
            <w:r>
              <w:rPr>
                <w:rFonts w:ascii="仿宋_GB2312" w:hAnsi="仿宋_GB2312" w:cs="仿宋_GB2312" w:eastAsia="仿宋_GB2312"/>
              </w:rPr>
              <w:t>（1）响应报价符合唯一性要求： （2）响应报价表填写符合要求； （3）计量单位、报价货币均符合磋商文件要求； （4）未超出采购预算或磋商文件规定的最高限价。</w:t>
            </w:r>
          </w:p>
        </w:tc>
        <w:tc>
          <w:tcPr>
            <w:tcW w:type="dxa" w:w="1661"/>
          </w:tcPr>
          <w:p>
            <w:pPr>
              <w:pStyle w:val="null3"/>
            </w:pPr>
            <w:r>
              <w:rPr>
                <w:rFonts w:ascii="仿宋_GB2312" w:hAnsi="仿宋_GB2312" w:cs="仿宋_GB2312" w:eastAsia="仿宋_GB2312"/>
              </w:rPr>
              <w:t>分项报价表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商务条款响应</w:t>
            </w:r>
          </w:p>
        </w:tc>
        <w:tc>
          <w:tcPr>
            <w:tcW w:type="dxa" w:w="3322"/>
          </w:tcPr>
          <w:p>
            <w:pPr>
              <w:pStyle w:val="null3"/>
            </w:pPr>
            <w:r>
              <w:rPr>
                <w:rFonts w:ascii="仿宋_GB2312" w:hAnsi="仿宋_GB2312" w:cs="仿宋_GB2312" w:eastAsia="仿宋_GB2312"/>
              </w:rPr>
              <w:t>完全理解接受并签署磋商文件商务条款响应表。</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保证金交纳符合磋商文件要求。</w:t>
            </w:r>
          </w:p>
        </w:tc>
        <w:tc>
          <w:tcPr>
            <w:tcW w:type="dxa" w:w="1661"/>
          </w:tcPr>
          <w:p>
            <w:pPr>
              <w:pStyle w:val="null3"/>
            </w:pPr>
            <w:r>
              <w:rPr>
                <w:rFonts w:ascii="仿宋_GB2312" w:hAnsi="仿宋_GB2312" w:cs="仿宋_GB2312" w:eastAsia="仿宋_GB2312"/>
              </w:rPr>
              <w:t>保证金汇款声明函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无其他磋商文件或法规明确规定响应无效的事项</w:t>
            </w:r>
          </w:p>
        </w:tc>
        <w:tc>
          <w:tcPr>
            <w:tcW w:type="dxa" w:w="3322"/>
          </w:tcPr>
          <w:p>
            <w:pPr>
              <w:pStyle w:val="null3"/>
            </w:pPr>
            <w:r>
              <w:rPr>
                <w:rFonts w:ascii="仿宋_GB2312" w:hAnsi="仿宋_GB2312" w:cs="仿宋_GB2312" w:eastAsia="仿宋_GB2312"/>
              </w:rPr>
              <w:t>没有不符合磋商文件规定的被视为无效响应的其他条款。</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供应商根据对本项目运维需求的总体认识，提供针对本项目的整体服务方案。(包括但不限于①能够了解本项目整体架构及信息化功能，②熟悉本系统的实施情况，③充分理解本次项目的实际需求，整体服务方案合理，能满足项目需要) 1.方案详细具体、科学合理、可行性高，得15分； 2.方案较详细、较合理、可行性较高，得10分； 3.方案一般、可行性一般的，得6分； 4.不提供方案的，得0分。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项目质量控制方案</w:t>
            </w:r>
          </w:p>
        </w:tc>
        <w:tc>
          <w:tcPr>
            <w:tcW w:type="dxa" w:w="2492"/>
          </w:tcPr>
          <w:p>
            <w:pPr>
              <w:pStyle w:val="null3"/>
            </w:pPr>
            <w:r>
              <w:rPr>
                <w:rFonts w:ascii="仿宋_GB2312" w:hAnsi="仿宋_GB2312" w:cs="仿宋_GB2312" w:eastAsia="仿宋_GB2312"/>
              </w:rPr>
              <w:t>供应商提供项目质量、安全控制措施；质量保证和安全控制措施科学、合理，有针对性； 1.方案完善，分析全面,具有很强的合理性和可操作性得10分； 2.方案较完善，分析到位，具有较强的合理性得7分； 3.方案较基本合理，分析到位，具有合理性得4分； 4.未提供不得分；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保密服务方案</w:t>
            </w:r>
          </w:p>
        </w:tc>
        <w:tc>
          <w:tcPr>
            <w:tcW w:type="dxa" w:w="2492"/>
          </w:tcPr>
          <w:p>
            <w:pPr>
              <w:pStyle w:val="null3"/>
            </w:pPr>
            <w:r>
              <w:rPr>
                <w:rFonts w:ascii="仿宋_GB2312" w:hAnsi="仿宋_GB2312" w:cs="仿宋_GB2312" w:eastAsia="仿宋_GB2312"/>
              </w:rPr>
              <w:t>项目运维过程中的日常维护和定期巡检，运维保障等、保密工作是否专业、严密、合理、可行，相关信息不泄密， 1.完全满足，得10分； 2.满足，得7分； 3.基本满足，得4分； 3.未提供不得分；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服务团队</w:t>
            </w:r>
          </w:p>
        </w:tc>
        <w:tc>
          <w:tcPr>
            <w:tcW w:type="dxa" w:w="2492"/>
          </w:tcPr>
          <w:p>
            <w:pPr>
              <w:pStyle w:val="null3"/>
            </w:pPr>
            <w:r>
              <w:rPr>
                <w:rFonts w:ascii="仿宋_GB2312" w:hAnsi="仿宋_GB2312" w:cs="仿宋_GB2312" w:eastAsia="仿宋_GB2312"/>
              </w:rPr>
              <w:t>针对本项目提供服务团队（含驻场人员）名单，团队人员具有相关专业方面的从业经验，有完善的项目实施团队及管理方案，项目团队人员分工合理，责任明确，根据所提供材料的完整程度计分： 1.人员充足完备，搭配合理，证书等资料齐全，管理方案完善合理，团队组成完全满足项目运维服务要求，按其响应程度得10分； 2.人员搭配较为合理，证书等资料基本齐全，管理方案较完善，团队组成基本满足项目基本要求，得7分； 3.团队组成符合招标文件基本要求，人员有关证书等资料提供不全，管理方案内容缺失，团队组成不能满足项目基本要求，得4分。 4.未提供不得分。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是否有突发应急事件处理方案，提出对突发事件快速响应的时间、调动人员的数量及合理措施等的处理方案。应急方案的全面详细、可操作性为赋分原则。 1.应急方案全面详细和可操作性强，得10分； 2.应急方案基本全面和具有基本的可操作性，得7分； 3.应急方案和可操作性的4分。 4.未提供不得分。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服务保障</w:t>
            </w:r>
          </w:p>
        </w:tc>
        <w:tc>
          <w:tcPr>
            <w:tcW w:type="dxa" w:w="2492"/>
          </w:tcPr>
          <w:p>
            <w:pPr>
              <w:pStyle w:val="null3"/>
            </w:pPr>
            <w:r>
              <w:rPr>
                <w:rFonts w:ascii="仿宋_GB2312" w:hAnsi="仿宋_GB2312" w:cs="仿宋_GB2312" w:eastAsia="仿宋_GB2312"/>
              </w:rPr>
              <w:t>1、投标人具有健全服务质量监督控制体系及信息安全管理体系，提供的服务流程科学、合理、体系完善，确保系统运行可靠、稳定并建 立安全管理制度： 1）内容描述完整、详细，流程科学、合理，体系完善，得5分； 2）内容描述完整，有较为科学的流程、有合理性，得3分； 3）内容描述不完整，流程不科学或缺乏合理性，得1分。 2、投标人具备本地化服务能力和备品备件保障能力，且具备完善的备件管理制度、响应及 时并提供相关证明文件： 1）本地 化服务能力强，有备品备件保障支 持，有完善的备品备件管理制度，能及时提供响应，得5分； 2）有本地化服务能力及备品备件保障支持，相关管理制度不完善或响应不及时，得3分； 3）有备品备件保障支持，缺少本地化服务能力，不能及时响应，或无相关管理制度，得1分。 3、投标人可提供7*24小时电话服务热线。支持范围包括问题提交、问题远程指导、分析和排除、产品功能介绍、配置、安装、调试、客户化以及使用中遇到的技术问题的咨询等： 1）提供符合标准的热线，支持范围完善，完全满足采购人需求，得5分； 2）提供符合标准的热线，支持范围能基本满足采购人需求，得3分； 3）不能提供服务热线或相应服务支持范围缺失，不能满足采购人要求，得1分。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投标人可提供培训方案，投标人制定完整可行的培训方案，通过培训，使得采购人能具备运维管理能力等； 1.培训计划、方案及措施完整、可行，有全面的规范、方案及技术操作等方面的培训，得10分； 2.培训计划、方案及措施基本完整，有相关的技术操作等方面的培训，得7分； 3.有培训计划、方案及措施，得4分。 4.未提供不得分。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供应商提供2022年1月1日同类业绩的合同，每个同类业绩得2分，满分10分。（须提供合同完整复印件加盖公章）。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价格分统一采用低价优先法计算，即满足磋商文件要求且最低的响应报价为基准价，其价格分为满分。其他供应商的价格分统一按照下列公式计算： 响应报价得分=(基准价／响应报价)×价格权值×100 计算分数时四舍五入取小数点后两位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详见附件：近三年无重大违法、违纪书面声明</w:t>
      </w:r>
    </w:p>
    <w:p>
      <w:pPr>
        <w:pStyle w:val="null3"/>
        <w:ind w:firstLine="960"/>
      </w:pPr>
      <w:r>
        <w:rPr>
          <w:rFonts w:ascii="仿宋_GB2312" w:hAnsi="仿宋_GB2312" w:cs="仿宋_GB2312" w:eastAsia="仿宋_GB2312"/>
        </w:rPr>
        <w:t>详见附件：控股管理关系</w:t>
      </w:r>
    </w:p>
    <w:p>
      <w:pPr>
        <w:pStyle w:val="null3"/>
        <w:ind w:firstLine="960"/>
      </w:pPr>
      <w:r>
        <w:rPr>
          <w:rFonts w:ascii="仿宋_GB2312" w:hAnsi="仿宋_GB2312" w:cs="仿宋_GB2312" w:eastAsia="仿宋_GB2312"/>
        </w:rPr>
        <w:t>详见附件：书面声明</w:t>
      </w:r>
    </w:p>
    <w:p>
      <w:pPr>
        <w:pStyle w:val="null3"/>
        <w:ind w:firstLine="960"/>
      </w:pPr>
      <w:r>
        <w:rPr>
          <w:rFonts w:ascii="仿宋_GB2312" w:hAnsi="仿宋_GB2312" w:cs="仿宋_GB2312" w:eastAsia="仿宋_GB2312"/>
        </w:rPr>
        <w:t>详见附件：法定代表人授权书</w:t>
      </w:r>
    </w:p>
    <w:p>
      <w:pPr>
        <w:pStyle w:val="null3"/>
        <w:ind w:firstLine="960"/>
      </w:pPr>
      <w:r>
        <w:rPr>
          <w:rFonts w:ascii="仿宋_GB2312" w:hAnsi="仿宋_GB2312" w:cs="仿宋_GB2312" w:eastAsia="仿宋_GB2312"/>
        </w:rPr>
        <w:t>详见附件：非联合体不分包响应声明</w:t>
      </w:r>
    </w:p>
    <w:p>
      <w:pPr>
        <w:pStyle w:val="null3"/>
        <w:ind w:firstLine="960"/>
      </w:pPr>
      <w:r>
        <w:rPr>
          <w:rFonts w:ascii="仿宋_GB2312" w:hAnsi="仿宋_GB2312" w:cs="仿宋_GB2312" w:eastAsia="仿宋_GB2312"/>
        </w:rPr>
        <w:t>详见附件：保证金汇款声明函</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