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版本号：DQB-2025076-CS20251020002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厅机关办公区域维修改造项目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DQB-2025076-CS</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厅机关办公区域维修改造项目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DQB-2025076-CS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厅机关办公区域维修改造项目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厅机关办公区域维修改造项目。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采购包1（厅机关办公区域维修改造项目）：属于专门面向小微企业采购。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2、拟派项目负责人资质和专业要求：建筑施工总承包三级以上（含三级）资质或建筑装修装饰工程专业承包二级以上（含二级）资质，具有有效的安全生产许可证。 证书等级：建筑工程专业注册建造师二级及以上资格和安全生产考核合格B证专业：建筑工程专业注册建造师二级及以上资格和安全生产考核合格B证 补充说明：拟派项目经理须具有建筑工程专业注册建造师二级及以上资格和安全生产考核合格B证，且无在建项目（提供无在建承诺函）。</w:t>
      </w:r>
    </w:p>
    <w:p>
      <w:pPr>
        <w:pStyle w:val="null3"/>
      </w:pPr>
      <w:r>
        <w:rPr>
          <w:rFonts w:ascii="仿宋_GB2312" w:hAnsi="仿宋_GB2312" w:cs="仿宋_GB2312" w:eastAsia="仿宋_GB2312"/>
        </w:rPr>
        <w:t>3、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5、社保缴纳证明：提供递交响应文件截止之日前一年内任意一个月的社会保障资金缴存单据或社保机构开具的社会保险参保缴费情况证明。依法不需要缴纳社会保障资金的供应商应提供相关文件证明。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7、近三年无重大违法、违纪书面声明：提供《近三年无重大违法、违纪书面声明》。</w:t>
      </w:r>
    </w:p>
    <w:p>
      <w:pPr>
        <w:pStyle w:val="null3"/>
      </w:pPr>
      <w:r>
        <w:rPr>
          <w:rFonts w:ascii="仿宋_GB2312" w:hAnsi="仿宋_GB2312" w:cs="仿宋_GB2312" w:eastAsia="仿宋_GB2312"/>
        </w:rPr>
        <w:t>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10、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11、本项目不接受联合体磋商，不允许分包：供应商应提供《非联合体不分包磋商声明》，视为独立磋商，不分包。</w:t>
      </w:r>
    </w:p>
    <w:p>
      <w:pPr>
        <w:pStyle w:val="null3"/>
      </w:pPr>
      <w:r>
        <w:rPr>
          <w:rFonts w:ascii="仿宋_GB2312" w:hAnsi="仿宋_GB2312" w:cs="仿宋_GB2312" w:eastAsia="仿宋_GB2312"/>
        </w:rPr>
        <w:t>12、其他特殊资格：具备建筑工程施工总承包三级及以上资质或建筑装修装饰工程专业承包二级及以上资质，具有有效的安全生产许可证。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省司法厅机关经办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银行账号：52880188000141356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代理服务费收费标准：成交金额100万元以下，按照费率1.5%计取； 核算代理服务费低于5000元时按5000元收取。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厅机关办公区域维修改造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标的名称：厅机关办公区域维修改造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1"/>
                <w:color w:val="000000"/>
              </w:rPr>
              <w:t>一、依据设计文件的要求，本工程项目的材料、设备、施工须达到所涉及到的现行中华人民共和国以及省、自治区、直辖市或行业的工程建设标准、规范的要求。</w:t>
            </w:r>
          </w:p>
          <w:p>
            <w:pPr>
              <w:pStyle w:val="null3"/>
              <w:ind w:firstLine="480"/>
              <w:jc w:val="left"/>
            </w:pPr>
            <w:r>
              <w:rPr>
                <w:rFonts w:ascii="仿宋_GB2312" w:hAnsi="仿宋_GB2312" w:cs="仿宋_GB2312" w:eastAsia="仿宋_GB2312"/>
                <w:sz w:val="21"/>
                <w:color w:val="000000"/>
              </w:rPr>
              <w:t>二、根据工程设计要求，该项工程项目的材料、设备、施工除须达到以上标准外，还应满足设计要求和业主在磋商文件中的有关要求。</w:t>
            </w:r>
          </w:p>
          <w:p>
            <w:pPr>
              <w:pStyle w:val="null3"/>
              <w:ind w:firstLine="480"/>
              <w:jc w:val="left"/>
            </w:pPr>
            <w:r>
              <w:rPr>
                <w:rFonts w:ascii="仿宋_GB2312" w:hAnsi="仿宋_GB2312" w:cs="仿宋_GB2312" w:eastAsia="仿宋_GB2312"/>
                <w:sz w:val="21"/>
                <w:color w:val="000000"/>
              </w:rPr>
              <w:t>三、该工程项目的材料、设备、施工如无上述一、二条的标准，在材料、设备的定货采购和施工安装时，应出具生产厂家或施工安装企业在技术监督部门已备案企业标准，并经监理和采购人批准后方可实施。</w:t>
            </w:r>
          </w:p>
          <w:p>
            <w:pPr>
              <w:pStyle w:val="null3"/>
              <w:ind w:firstLine="480"/>
              <w:jc w:val="left"/>
            </w:pPr>
            <w:r>
              <w:rPr>
                <w:rFonts w:ascii="仿宋_GB2312" w:hAnsi="仿宋_GB2312" w:cs="仿宋_GB2312" w:eastAsia="仿宋_GB2312"/>
                <w:sz w:val="21"/>
                <w:color w:val="000000"/>
              </w:rPr>
              <w:t>四、项目概况</w:t>
            </w:r>
          </w:p>
          <w:p>
            <w:pPr>
              <w:pStyle w:val="null3"/>
              <w:ind w:firstLine="480"/>
              <w:jc w:val="left"/>
            </w:pPr>
            <w:r>
              <w:rPr>
                <w:rFonts w:ascii="仿宋_GB2312" w:hAnsi="仿宋_GB2312" w:cs="仿宋_GB2312" w:eastAsia="仿宋_GB2312"/>
                <w:sz w:val="21"/>
                <w:color w:val="000000"/>
              </w:rPr>
              <w:t>厅机关办公区域维修改造项目</w:t>
            </w:r>
            <w:r>
              <w:rPr>
                <w:rFonts w:ascii="仿宋_GB2312" w:hAnsi="仿宋_GB2312" w:cs="仿宋_GB2312" w:eastAsia="仿宋_GB2312"/>
                <w:sz w:val="21"/>
                <w:color w:val="000000"/>
              </w:rPr>
              <w:t>，</w:t>
            </w:r>
            <w:r>
              <w:rPr>
                <w:rFonts w:ascii="仿宋_GB2312" w:hAnsi="仿宋_GB2312" w:cs="仿宋_GB2312" w:eastAsia="仿宋_GB2312"/>
                <w:sz w:val="21"/>
                <w:color w:val="000000"/>
              </w:rPr>
              <w:t>厅机关办公场所于</w:t>
            </w:r>
            <w:r>
              <w:rPr>
                <w:rFonts w:ascii="仿宋_GB2312" w:hAnsi="仿宋_GB2312" w:cs="仿宋_GB2312" w:eastAsia="仿宋_GB2312"/>
                <w:sz w:val="21"/>
                <w:color w:val="000000"/>
              </w:rPr>
              <w:t>2018年搬至现址，目前已在此集中办公7年，由于院落树木树龄较长且均靠近办公楼附近，近几年风吹日晒树木落叶及树枝杂物常年累积导致院落办公楼楼顶下水堵塞及部分防水受损，局部屋顶出现漏水及生锈现象。另外在1号办公楼改造加固工程过程中，我厅利用现有办公楼空间重新改造新的五楼党组会议，目前各类设备已安装完毕，还需对党组会议室进行改造装修。为了进一步提升厅机关院落环境和办公条件，经研究，拟对厅机关1、2、3号楼及前楼、老干部活动室楼顶屋面进行清理及防水维修;对职工活动室和小二楼进行屋面彩钢板除锈喷涂防腐处理;对厅机关五楼党组会进行改造装修</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五、商务要求：</w:t>
            </w:r>
          </w:p>
          <w:p>
            <w:pPr>
              <w:pStyle w:val="null3"/>
              <w:ind w:firstLine="480"/>
              <w:jc w:val="left"/>
            </w:pPr>
            <w:r>
              <w:rPr>
                <w:rFonts w:ascii="仿宋_GB2312" w:hAnsi="仿宋_GB2312" w:cs="仿宋_GB2312" w:eastAsia="仿宋_GB2312"/>
                <w:sz w:val="21"/>
                <w:color w:val="000000"/>
              </w:rPr>
              <w:t>1.工期：</w:t>
            </w:r>
            <w:r>
              <w:rPr>
                <w:rFonts w:ascii="仿宋_GB2312" w:hAnsi="仿宋_GB2312" w:cs="仿宋_GB2312" w:eastAsia="仿宋_GB2312"/>
                <w:sz w:val="21"/>
                <w:color w:val="000000"/>
              </w:rPr>
              <w:t>25天</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2.缺陷责任期：2年。</w:t>
            </w:r>
          </w:p>
          <w:p>
            <w:pPr>
              <w:pStyle w:val="null3"/>
              <w:ind w:firstLine="480"/>
              <w:jc w:val="left"/>
            </w:pPr>
            <w:r>
              <w:rPr>
                <w:rFonts w:ascii="仿宋_GB2312" w:hAnsi="仿宋_GB2312" w:cs="仿宋_GB2312" w:eastAsia="仿宋_GB2312"/>
                <w:sz w:val="21"/>
                <w:color w:val="000000"/>
              </w:rPr>
              <w:t>3.质量保修期：3年。</w:t>
            </w:r>
          </w:p>
          <w:p>
            <w:pPr>
              <w:pStyle w:val="null3"/>
              <w:ind w:firstLine="480"/>
              <w:jc w:val="left"/>
            </w:pPr>
            <w:r>
              <w:rPr>
                <w:rFonts w:ascii="仿宋_GB2312" w:hAnsi="仿宋_GB2312" w:cs="仿宋_GB2312" w:eastAsia="仿宋_GB2312"/>
                <w:sz w:val="21"/>
                <w:color w:val="000000"/>
              </w:rPr>
              <w:t>4.实施地点：采购人指定地点；</w:t>
            </w:r>
          </w:p>
          <w:p>
            <w:pPr>
              <w:pStyle w:val="null3"/>
              <w:ind w:firstLine="480"/>
              <w:jc w:val="left"/>
            </w:pPr>
            <w:r>
              <w:rPr>
                <w:rFonts w:ascii="仿宋_GB2312" w:hAnsi="仿宋_GB2312" w:cs="仿宋_GB2312" w:eastAsia="仿宋_GB2312"/>
                <w:sz w:val="21"/>
                <w:color w:val="000000"/>
              </w:rPr>
              <w:t>5.付款方式：</w:t>
            </w:r>
          </w:p>
          <w:p>
            <w:pPr>
              <w:pStyle w:val="null3"/>
              <w:ind w:firstLine="480"/>
              <w:jc w:val="left"/>
            </w:pPr>
            <w:r>
              <w:rPr>
                <w:rFonts w:ascii="仿宋_GB2312" w:hAnsi="仿宋_GB2312" w:cs="仿宋_GB2312" w:eastAsia="仿宋_GB2312"/>
                <w:sz w:val="21"/>
                <w:color w:val="000000"/>
              </w:rPr>
              <w:t>5.1合同签订后，15日内，支付合同总价的40%作为预付款。</w:t>
            </w:r>
          </w:p>
          <w:p>
            <w:pPr>
              <w:pStyle w:val="null3"/>
              <w:ind w:firstLine="480"/>
              <w:jc w:val="left"/>
            </w:pPr>
            <w:r>
              <w:rPr>
                <w:rFonts w:ascii="仿宋_GB2312" w:hAnsi="仿宋_GB2312" w:cs="仿宋_GB2312" w:eastAsia="仿宋_GB2312"/>
                <w:sz w:val="21"/>
                <w:color w:val="000000"/>
              </w:rPr>
              <w:t>5.2工程竣工验收合格后，成交供应商向采购人报送决算报告，经采购人结算审计后，以审计结算报告工程价款为准，一次性支付至结算审计后价款的97%，留3%作为质保金，质保期满后无质量问题，支付到结算审计后价款的100%。</w:t>
            </w:r>
          </w:p>
          <w:p>
            <w:pPr>
              <w:pStyle w:val="null3"/>
              <w:ind w:firstLine="480"/>
              <w:jc w:val="left"/>
            </w:pPr>
            <w:r>
              <w:rPr>
                <w:rFonts w:ascii="仿宋_GB2312" w:hAnsi="仿宋_GB2312" w:cs="仿宋_GB2312" w:eastAsia="仿宋_GB2312"/>
                <w:sz w:val="21"/>
                <w:color w:val="000000"/>
              </w:rPr>
              <w:t>6.保修要求：属于保修范围和内容的项目，供应商应在接到维修通知后， 1 天内派人维修。发生紧急抢修事故，供应商应在接到事故通知后 2 小时内到达事故现场并于 4 小时内完成应急维修。</w:t>
            </w:r>
          </w:p>
          <w:p>
            <w:pPr>
              <w:pStyle w:val="null3"/>
              <w:jc w:val="both"/>
            </w:pPr>
            <w:r>
              <w:rPr>
                <w:rFonts w:ascii="仿宋_GB2312" w:hAnsi="仿宋_GB2312" w:cs="仿宋_GB2312" w:eastAsia="仿宋_GB2312"/>
                <w:sz w:val="21"/>
              </w:rPr>
              <w:t xml:space="preserve">         7.供应商负责配合采购人统筹协调项目工序衔接，保证施工的安全和质量，并如期完工。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工程质量应达到国家或专业质量检验评定标准的合格条件。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建筑施工总承包三级以上（含三级）资质或建筑装修装饰工程专业承包二级以上（含二级）资质，具有有效的安全生产许可证。 证书等级：建筑工程专业注册建造师二级及以上资格和安全生产考核合格B证专业：建筑工程专业注册建造师二级及以上资格和安全生产考核合格B证 补充说明：拟派项目经理须具有建筑工程专业注册建造师二级及以上资格和安全生产考核合格B证，且无在建项目（提供无在建承诺函）。</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其他特殊资格</w:t>
            </w:r>
          </w:p>
        </w:tc>
        <w:tc>
          <w:tcPr>
            <w:tcW w:type="dxa" w:w="3322"/>
          </w:tcPr>
          <w:p>
            <w:pPr>
              <w:pStyle w:val="null3"/>
            </w:pPr>
            <w:r>
              <w:rPr>
                <w:rFonts w:ascii="仿宋_GB2312" w:hAnsi="仿宋_GB2312" w:cs="仿宋_GB2312" w:eastAsia="仿宋_GB2312"/>
              </w:rPr>
              <w:t>具备建筑工程施工总承包三级及以上资质或建筑装修装饰工程专业承包二级及以上资质，具有有效的安全生产许可证。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已标价工程量清单 分项报价表 中小企业声明函 商务应答表 技术服务合同条款及其他商务要求应答表 供应商应提交的相关资格证明材料 非联合体不分包响应声明 控股管理关系 法定代表人授权书 强制优先采购产品承诺函 响应文件封面 近三年无重大违法、违纪书面声明 项目管理机构组成表 残疾人福利性单位声明函 报价函 服务方案 标的清单 供应商类似项目业绩一览表 响应函 书面声明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响应要求</w:t>
            </w:r>
          </w:p>
        </w:tc>
        <w:tc>
          <w:tcPr>
            <w:tcW w:type="dxa" w:w="3322"/>
          </w:tcPr>
          <w:p>
            <w:pPr>
              <w:pStyle w:val="null3"/>
            </w:pPr>
            <w:r>
              <w:rPr>
                <w:rFonts w:ascii="仿宋_GB2312" w:hAnsi="仿宋_GB2312" w:cs="仿宋_GB2312" w:eastAsia="仿宋_GB2312"/>
              </w:rPr>
              <w:t>同一供应商不得同时参与本项目加固改造施工、监理、鉴定、设计的采购包，如同时参与需放弃参与其他采购包响应，放弃参与的采购包按无效响应处理，否则所有参与的采购包均按无效响应处理。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施工组织及项目管理设置合理、全面。对工程项目的实施具有有效地计划、组织、协调、控制，针对性强、可行性强，能完全确保实现项目的管理目标的得10分； 施工组织及项目管理设置合理、全面。对工程项目的实施具有一定的计划、组织、协调、控制效果，有一定的合理性和可行性的得6分； 施工组织及项目管理设置基本全面、合理，基本能确保实现项目管理目标的得3分； 施工组织或项目管理机构设置部分存在不合理，但总体基本能达到项目管理目标的得1分； 未提供或安排不合理，达不到管理目标的不得分。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施工方案全面、合理，施工方法先进，可行性强，完全满足工程施工要求的得10分； 施工方案全面、合理，施工方法较先进，有一定的可行性，能满足工程施工要求的得6分； 施工方案较完整、合理，施工方案有针对性，基本可行，满足工程施工要求的得3分； 施工方案存在部分不完整，施工方法针对本项目基本可行的得1分； 未提供或明显不合理的不得分。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针对本项目可能出现的问题及重大故障，（包括但不限于因施工造成的水、电、通信的中断抢修、恶劣天气、人为因素等情况）分析全面，应急措施和解决方案具体，可行性强的得10分； 针对本项目可能出现的问题及重大故障有较全面得分析，应急措施和解决方案有一定合理性和可行性的得6分； 针对本项目可能出现的问题及重大故障有基本全面得分析，应急措施和解决方案基本合理可行的得3分； 针对本项目可能出现的问题及重大故障有一定得分析，但分析不太全面，应急措施和解决方案部分合理可行的得1分； 未提供或存在明显不合理的不得分。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质量保修承诺内容完善，合理得5分； 质量保修承诺内容基本完善，基本合理得3分； 质量保修承诺内容不完善，合理性较差得1分； 注：若出现缺项或只有标题无内容或内容有严重错误者，该项得0分。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进度计划安排，施工进度表和施工网络图</w:t>
            </w:r>
          </w:p>
        </w:tc>
        <w:tc>
          <w:tcPr>
            <w:tcW w:type="dxa" w:w="2492"/>
          </w:tcPr>
          <w:p>
            <w:pPr>
              <w:pStyle w:val="null3"/>
            </w:pPr>
            <w:r>
              <w:rPr>
                <w:rFonts w:ascii="仿宋_GB2312" w:hAnsi="仿宋_GB2312" w:cs="仿宋_GB2312" w:eastAsia="仿宋_GB2312"/>
              </w:rPr>
              <w:t>进度安排合理、可行、科学、符合项目实施需求，施工进度表或网络图表达清晰、合理的得5分； 进度安排较合理、较可行、较符合项目实施需求，施工进度表或网络图表达较不明确、较不清晰的得3分； 进度安排合理和可行较差的，施工进度表或网络图表达不明确、不清晰、较混乱的得1分；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投入本项目机械设备及劳动力安排</w:t>
            </w:r>
          </w:p>
        </w:tc>
        <w:tc>
          <w:tcPr>
            <w:tcW w:type="dxa" w:w="2492"/>
          </w:tcPr>
          <w:p>
            <w:pPr>
              <w:pStyle w:val="null3"/>
            </w:pPr>
            <w:r>
              <w:rPr>
                <w:rFonts w:ascii="仿宋_GB2312" w:hAnsi="仿宋_GB2312" w:cs="仿宋_GB2312" w:eastAsia="仿宋_GB2312"/>
              </w:rPr>
              <w:t>机械配备投入合且数量充足、投入计划紧贴项目进度，劳动力安排合理，可操作性强，能够确保项目如期保质完成的得5分； 机械配备投入计划基本合理，基本与项目进度匹配，劳动力数量基本合理，计划表基本清晰、可行，能保证项目建设进度的得3分； 机械配备投入数量存在部分不合理，与项目建设进度匹配度较差，劳动力数量存在部分不合理，计划表不清晰、可行性较差的得1分；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有清晰合理的工期计划措施，实施进度安排合理，可行性强，具有详细明确的实施进度计划表，能够确保工程如期保质完成的得5分； 进度安排合理，有一定的可行性，实施进度计划基本明确的能够基本保证项目如期完成的得3分； 进度安排合理性、可行性均较差的得1分； 未提供或不能保证项目如期完成的不得分。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确保文明施工、环境保护的组织措施</w:t>
            </w:r>
          </w:p>
        </w:tc>
        <w:tc>
          <w:tcPr>
            <w:tcW w:type="dxa" w:w="2492"/>
          </w:tcPr>
          <w:p>
            <w:pPr>
              <w:pStyle w:val="null3"/>
            </w:pPr>
            <w:r>
              <w:rPr>
                <w:rFonts w:ascii="仿宋_GB2312" w:hAnsi="仿宋_GB2312" w:cs="仿宋_GB2312" w:eastAsia="仿宋_GB2312"/>
              </w:rPr>
              <w:t>措施全面、完整，能从多方面确保文明施工、考虑影响环境得因素，并提出相关解决和防治措施，实施度高、可落地性强，可确保达到环境保护的要求得5分； 措施基本全面、完整，基本有一定的可行性，能基本满足文明施工、环境保护要求的得3分 措施存在较大不合理性、内容简单的得1分；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措施完整全面，能够从多方面保证安全生产，且合理性、可行性强的得5分； 措施基本完整全面，能从多个方面确保安全生产，基本合理、可行的得3分； 措施不完整、全面，但有一定的可行性的得1分；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提供2022年1月1日以来同类项目业绩（以合同复印件加盖供应商公章为准，时间以签订时间为准），每提供1份得2分，本项满分10分。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