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版本号：SXXDDL-【2025】04820251011001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陕西省危险物品车辆运行安全风险监测系统建设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SXXDDL-【2025】048</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陕西省危险物品车辆运行安全风险监测系统建设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SXXDDL-【2025】048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陕西省危险物品车辆运行安全风险监测系统建设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构建陕西省危险物品道路运输环节“全链条”安全风险防控机制，强化危险物品运输安全监管工作；充分运用互联网+、卫星定位、实时传输等监管技术手段，依托应急管理部的危险物品流通信息与数据资源，构建陕西省危险物品车辆运行安全风险监测系统。通过对危险物品运输流通大数据的动态比对与综合分析，为陕西省的危险物品道路运输风险监测预警提供坚实的数据支撑和科学的决策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采购包1（陕西省危险物品车辆运行安全风险监测系统建设）：属于专门面向中小企业采购。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身份证明：供应商应授权合法的人员参加磋商全过程，法定代表人（负责人）委托代理人参加磋商时，应提供法定代表人委托授权书及被授权人的参保缴费证明；法定代表人（负责人）亲自参加磋商时，应提供法定代表人（负责人）身份证明书。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029-61166710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的通知》（计价格【2002】1980号）规定标准（按包）收取。取费基数为成交价，按计价格[2002]1980号规定标准计算中标（成交）服务费低于5000元的，中标（成交）服务费按5000元收取，由成交供应商在领取中标同通知书前进行支付。 请将采购代理服务费汇至下列指定账户：开户名称：陕西希地工程项目管理有限公司；开户银行：建设银行西安友谊东路支行；开户账号：61001905400052501896。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该项目完成后，乙方向甲方申请验收，甲方组织相关人员(必要时邀请第三方专家)组成的验收小组对项目进行最终验收。验收依据为签订的合同文本、磋商文件、响应文件和国内相应的标准、规范。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联系人：郭佳佳、曹静</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 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构建陕西省危险物品道路运输环节“全链条”安全风险防控机制，强化危险物品运输安全监管工作；充分运用互联网+、卫星定位、实时传输等监管技术手段，依托应急管理部的危险物品流通信息与数据资源，构建陕西省危险物品车辆运行安全风险监测系统。通过对危险物品运输流通大数据的动态比对与综合分析，为陕西省的危险物品道路运输风险监测预警提供坚实的数据支撑和科学的决策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危险物品车辆运行风险监测系统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标的名称：危险物品车辆运行风险监测系统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技术要求</w:t>
            </w:r>
          </w:p>
          <w:p>
            <w:pPr>
              <w:pStyle w:val="null3"/>
              <w:ind w:firstLine="400"/>
              <w:jc w:val="left"/>
            </w:pPr>
            <w:r>
              <w:rPr>
                <w:rFonts w:ascii="仿宋_GB2312" w:hAnsi="仿宋_GB2312" w:cs="仿宋_GB2312" w:eastAsia="仿宋_GB2312"/>
              </w:rPr>
              <w:t>（一）</w:t>
            </w:r>
            <w:r>
              <w:rPr>
                <w:rFonts w:ascii="仿宋_GB2312" w:hAnsi="仿宋_GB2312" w:cs="仿宋_GB2312" w:eastAsia="仿宋_GB2312"/>
              </w:rPr>
              <w:t>供应商</w:t>
            </w:r>
            <w:r>
              <w:rPr>
                <w:rFonts w:ascii="仿宋_GB2312" w:hAnsi="仿宋_GB2312" w:cs="仿宋_GB2312" w:eastAsia="仿宋_GB2312"/>
              </w:rPr>
              <w:t>须承诺所提供的服务、人员及设备符合相关国家强制性规定。</w:t>
            </w:r>
          </w:p>
          <w:p>
            <w:pPr>
              <w:pStyle w:val="null3"/>
              <w:ind w:firstLine="400"/>
              <w:jc w:val="left"/>
            </w:pPr>
            <w:r>
              <w:rPr>
                <w:rFonts w:ascii="仿宋_GB2312" w:hAnsi="仿宋_GB2312" w:cs="仿宋_GB2312" w:eastAsia="仿宋_GB2312"/>
              </w:rPr>
              <w:t>（二）</w:t>
            </w:r>
            <w:r>
              <w:rPr>
                <w:rFonts w:ascii="仿宋_GB2312" w:hAnsi="仿宋_GB2312" w:cs="仿宋_GB2312" w:eastAsia="仿宋_GB2312"/>
              </w:rPr>
              <w:t>供应商</w:t>
            </w:r>
            <w:r>
              <w:rPr>
                <w:rFonts w:ascii="仿宋_GB2312" w:hAnsi="仿宋_GB2312" w:cs="仿宋_GB2312" w:eastAsia="仿宋_GB2312"/>
              </w:rPr>
              <w:t>在</w:t>
            </w:r>
            <w:r>
              <w:rPr>
                <w:rFonts w:ascii="仿宋_GB2312" w:hAnsi="仿宋_GB2312" w:cs="仿宋_GB2312" w:eastAsia="仿宋_GB2312"/>
              </w:rPr>
              <w:t>响应</w:t>
            </w:r>
            <w:r>
              <w:rPr>
                <w:rFonts w:ascii="仿宋_GB2312" w:hAnsi="仿宋_GB2312" w:cs="仿宋_GB2312" w:eastAsia="仿宋_GB2312"/>
              </w:rPr>
              <w:t>文件中根据本项目需求提出完整的解决方案，系统的整体框架、功能组成、信息编码规范和各功能模块的实现方法以及主要业务流程的设计框架。系统开发应详细列出采用的国家标准、行业标准，无国家标准、行业标准的，应具体说明能达到的技术指标。方案应完整详细地列出系统开发任务清单，包括服务内容、所需的时间、投入的人力、需要用户提供的支持与配合等。方案应响应用户提出的各项技术与业务需求，不支持某项要求，应明示并解释偏差理由。</w:t>
            </w:r>
          </w:p>
          <w:p>
            <w:pPr>
              <w:pStyle w:val="null3"/>
              <w:ind w:firstLine="400"/>
              <w:jc w:val="left"/>
            </w:pPr>
            <w:r>
              <w:rPr>
                <w:rFonts w:ascii="仿宋_GB2312" w:hAnsi="仿宋_GB2312" w:cs="仿宋_GB2312" w:eastAsia="仿宋_GB2312"/>
              </w:rPr>
              <w:t>（三）</w:t>
            </w:r>
            <w:r>
              <w:rPr>
                <w:rFonts w:ascii="仿宋_GB2312" w:hAnsi="仿宋_GB2312" w:cs="仿宋_GB2312" w:eastAsia="仿宋_GB2312"/>
              </w:rPr>
              <w:t>供应商</w:t>
            </w:r>
            <w:r>
              <w:rPr>
                <w:rFonts w:ascii="仿宋_GB2312" w:hAnsi="仿宋_GB2312" w:cs="仿宋_GB2312" w:eastAsia="仿宋_GB2312"/>
              </w:rPr>
              <w:t>根据对软件开发系统的理解，在技术文件中明确需求分析的结果和系统的整体结构，并对技术方案中的重点技术问题提出解决方案。</w:t>
            </w:r>
          </w:p>
          <w:p>
            <w:pPr>
              <w:pStyle w:val="null3"/>
              <w:ind w:firstLine="400"/>
              <w:jc w:val="left"/>
            </w:pPr>
            <w:r>
              <w:rPr>
                <w:rFonts w:ascii="仿宋_GB2312" w:hAnsi="仿宋_GB2312" w:cs="仿宋_GB2312" w:eastAsia="仿宋_GB2312"/>
              </w:rPr>
              <w:t>（四）</w:t>
            </w:r>
            <w:r>
              <w:rPr>
                <w:rFonts w:ascii="仿宋_GB2312" w:hAnsi="仿宋_GB2312" w:cs="仿宋_GB2312" w:eastAsia="仿宋_GB2312"/>
              </w:rPr>
              <w:t>供应商</w:t>
            </w:r>
            <w:r>
              <w:rPr>
                <w:rFonts w:ascii="仿宋_GB2312" w:hAnsi="仿宋_GB2312" w:cs="仿宋_GB2312" w:eastAsia="仿宋_GB2312"/>
              </w:rPr>
              <w:t>须在</w:t>
            </w:r>
            <w:r>
              <w:rPr>
                <w:rFonts w:ascii="仿宋_GB2312" w:hAnsi="仿宋_GB2312" w:cs="仿宋_GB2312" w:eastAsia="仿宋_GB2312"/>
              </w:rPr>
              <w:t>响应</w:t>
            </w:r>
            <w:r>
              <w:rPr>
                <w:rFonts w:ascii="仿宋_GB2312" w:hAnsi="仿宋_GB2312" w:cs="仿宋_GB2312" w:eastAsia="仿宋_GB2312"/>
              </w:rPr>
              <w:t>方案中明确开发方法、开发环境和开发技术，并明确系统运行的硬件、软件和网络环境。</w:t>
            </w:r>
          </w:p>
          <w:p>
            <w:pPr>
              <w:pStyle w:val="null3"/>
              <w:ind w:firstLine="400"/>
              <w:jc w:val="left"/>
            </w:pPr>
            <w:r>
              <w:rPr>
                <w:rFonts w:ascii="仿宋_GB2312" w:hAnsi="仿宋_GB2312" w:cs="仿宋_GB2312" w:eastAsia="仿宋_GB2312"/>
              </w:rPr>
              <w:t>（五）</w:t>
            </w:r>
            <w:r>
              <w:rPr>
                <w:rFonts w:ascii="仿宋_GB2312" w:hAnsi="仿宋_GB2312" w:cs="仿宋_GB2312" w:eastAsia="仿宋_GB2312"/>
              </w:rPr>
              <w:t>供应商</w:t>
            </w:r>
            <w:r>
              <w:rPr>
                <w:rFonts w:ascii="仿宋_GB2312" w:hAnsi="仿宋_GB2312" w:cs="仿宋_GB2312" w:eastAsia="仿宋_GB2312"/>
              </w:rPr>
              <w:t>应按照项目需求提出详细的工程期限、工程进度计划，包括项目总耗时段所投入的人力和完成的工作量等。</w:t>
            </w:r>
          </w:p>
          <w:p>
            <w:pPr>
              <w:pStyle w:val="null3"/>
              <w:ind w:firstLine="400"/>
              <w:jc w:val="left"/>
            </w:pPr>
            <w:r>
              <w:rPr>
                <w:rFonts w:ascii="仿宋_GB2312" w:hAnsi="仿宋_GB2312" w:cs="仿宋_GB2312" w:eastAsia="仿宋_GB2312"/>
              </w:rPr>
              <w:t>（六）</w:t>
            </w:r>
            <w:r>
              <w:rPr>
                <w:rFonts w:ascii="仿宋_GB2312" w:hAnsi="仿宋_GB2312" w:cs="仿宋_GB2312" w:eastAsia="仿宋_GB2312"/>
              </w:rPr>
              <w:t>供应商为本项目配备的人员</w:t>
            </w:r>
            <w:r>
              <w:rPr>
                <w:rFonts w:ascii="仿宋_GB2312" w:hAnsi="仿宋_GB2312" w:cs="仿宋_GB2312" w:eastAsia="仿宋_GB2312"/>
              </w:rPr>
              <w:t>须</w:t>
            </w:r>
            <w:r>
              <w:rPr>
                <w:rFonts w:ascii="仿宋_GB2312" w:hAnsi="仿宋_GB2312" w:cs="仿宋_GB2312" w:eastAsia="仿宋_GB2312"/>
              </w:rPr>
              <w:t>包含</w:t>
            </w:r>
            <w:r>
              <w:rPr>
                <w:rFonts w:ascii="仿宋_GB2312" w:hAnsi="仿宋_GB2312" w:cs="仿宋_GB2312" w:eastAsia="仿宋_GB2312"/>
              </w:rPr>
              <w:t>项目经理、技术负责人</w:t>
            </w:r>
            <w:r>
              <w:rPr>
                <w:rFonts w:ascii="仿宋_GB2312" w:hAnsi="仿宋_GB2312" w:cs="仿宋_GB2312" w:eastAsia="仿宋_GB2312"/>
              </w:rPr>
              <w:t>、</w:t>
            </w:r>
            <w:r>
              <w:rPr>
                <w:rFonts w:ascii="仿宋_GB2312" w:hAnsi="仿宋_GB2312" w:cs="仿宋_GB2312" w:eastAsia="仿宋_GB2312"/>
              </w:rPr>
              <w:t>运维负责人</w:t>
            </w:r>
            <w:r>
              <w:rPr>
                <w:rFonts w:ascii="仿宋_GB2312" w:hAnsi="仿宋_GB2312" w:cs="仿宋_GB2312" w:eastAsia="仿宋_GB2312"/>
              </w:rPr>
              <w:t>、</w:t>
            </w:r>
            <w:r>
              <w:rPr>
                <w:rFonts w:ascii="仿宋_GB2312" w:hAnsi="仿宋_GB2312" w:cs="仿宋_GB2312" w:eastAsia="仿宋_GB2312"/>
              </w:rPr>
              <w:t>项目需求分析师、系统分析员及主要软件开发人员。原则上不允许更换，如需更换开发人员，必须经采购人同意。</w:t>
            </w:r>
          </w:p>
          <w:p>
            <w:pPr>
              <w:pStyle w:val="null3"/>
              <w:ind w:firstLine="400"/>
              <w:jc w:val="left"/>
            </w:pPr>
            <w:r>
              <w:rPr>
                <w:rFonts w:ascii="仿宋_GB2312" w:hAnsi="仿宋_GB2312" w:cs="仿宋_GB2312" w:eastAsia="仿宋_GB2312"/>
              </w:rPr>
              <w:t>（七）</w:t>
            </w:r>
            <w:r>
              <w:rPr>
                <w:rFonts w:ascii="仿宋_GB2312" w:hAnsi="仿宋_GB2312" w:cs="仿宋_GB2312" w:eastAsia="仿宋_GB2312"/>
              </w:rPr>
              <w:t>供应商</w:t>
            </w:r>
            <w:r>
              <w:rPr>
                <w:rFonts w:ascii="仿宋_GB2312" w:hAnsi="仿宋_GB2312" w:cs="仿宋_GB2312" w:eastAsia="仿宋_GB2312"/>
              </w:rPr>
              <w:t>必须在</w:t>
            </w:r>
            <w:r>
              <w:rPr>
                <w:rFonts w:ascii="仿宋_GB2312" w:hAnsi="仿宋_GB2312" w:cs="仿宋_GB2312" w:eastAsia="仿宋_GB2312"/>
              </w:rPr>
              <w:t>响应</w:t>
            </w:r>
            <w:r>
              <w:rPr>
                <w:rFonts w:ascii="仿宋_GB2312" w:hAnsi="仿宋_GB2312" w:cs="仿宋_GB2312" w:eastAsia="仿宋_GB2312"/>
              </w:rPr>
              <w:t>文件中提出完整的培训</w:t>
            </w:r>
            <w:r>
              <w:rPr>
                <w:rFonts w:ascii="仿宋_GB2312" w:hAnsi="仿宋_GB2312" w:cs="仿宋_GB2312" w:eastAsia="仿宋_GB2312"/>
              </w:rPr>
              <w:t>方案，包括最终用户的培训，保证用户能够掌握相关的技术并独立进行系统维护。</w:t>
            </w:r>
          </w:p>
          <w:p>
            <w:pPr>
              <w:pStyle w:val="null3"/>
              <w:ind w:firstLine="400"/>
              <w:jc w:val="left"/>
            </w:pPr>
            <w:r>
              <w:rPr>
                <w:rFonts w:ascii="仿宋_GB2312" w:hAnsi="仿宋_GB2312" w:cs="仿宋_GB2312" w:eastAsia="仿宋_GB2312"/>
              </w:rPr>
              <w:t>（八）具体需求详见本部分项目需求书。</w:t>
            </w:r>
          </w:p>
          <w:p>
            <w:pPr>
              <w:pStyle w:val="null3"/>
              <w:jc w:val="center"/>
            </w:pPr>
            <w:r>
              <w:rPr>
                <w:rFonts w:ascii="仿宋_GB2312" w:hAnsi="仿宋_GB2312" w:cs="仿宋_GB2312" w:eastAsia="仿宋_GB2312"/>
                <w:b/>
              </w:rPr>
              <w:t>项目需求书</w:t>
            </w:r>
          </w:p>
          <w:p>
            <w:pPr>
              <w:pStyle w:val="null3"/>
              <w:jc w:val="left"/>
            </w:pPr>
            <w:r>
              <w:rPr>
                <w:rFonts w:ascii="仿宋_GB2312" w:hAnsi="仿宋_GB2312" w:cs="仿宋_GB2312" w:eastAsia="仿宋_GB2312"/>
                <w:b/>
              </w:rPr>
              <w:t>一、项目背景</w:t>
            </w:r>
          </w:p>
          <w:p>
            <w:pPr>
              <w:pStyle w:val="null3"/>
              <w:ind w:firstLine="400"/>
              <w:jc w:val="left"/>
            </w:pPr>
            <w:r>
              <w:rPr>
                <w:rFonts w:ascii="仿宋_GB2312" w:hAnsi="仿宋_GB2312" w:cs="仿宋_GB2312" w:eastAsia="仿宋_GB2312"/>
              </w:rPr>
              <w:t>构建陕西省危险物品道路运输环节</w:t>
            </w:r>
            <w:r>
              <w:rPr>
                <w:rFonts w:ascii="仿宋_GB2312" w:hAnsi="仿宋_GB2312" w:cs="仿宋_GB2312" w:eastAsia="仿宋_GB2312"/>
              </w:rPr>
              <w:t>“全链条”安全风险防控机制，强化危险物品运输安全监管工作；充分运用互联网+、卫星定位、实时传输等监管技术手段，依托应急管理部的危险物品流通信息与数据资源，构建陕西省危险物品车辆运行安全风险监测系统。通过对危险物品运输流通大数据的动态比对与综合分析，为陕西省的危险物品道路运输风险监测预警提供坚实的数据支撑和科学的决策依据。</w:t>
            </w:r>
          </w:p>
          <w:p>
            <w:pPr>
              <w:pStyle w:val="null3"/>
              <w:jc w:val="left"/>
            </w:pPr>
            <w:r>
              <w:rPr>
                <w:rFonts w:ascii="仿宋_GB2312" w:hAnsi="仿宋_GB2312" w:cs="仿宋_GB2312" w:eastAsia="仿宋_GB2312"/>
                <w:b/>
              </w:rPr>
              <w:t>二、建设内容</w:t>
            </w:r>
          </w:p>
          <w:p>
            <w:pPr>
              <w:pStyle w:val="null3"/>
              <w:ind w:firstLine="400"/>
              <w:jc w:val="left"/>
            </w:pPr>
            <w:r>
              <w:rPr>
                <w:rFonts w:ascii="仿宋_GB2312" w:hAnsi="仿宋_GB2312" w:cs="仿宋_GB2312" w:eastAsia="仿宋_GB2312"/>
              </w:rPr>
              <w:t>建设</w:t>
            </w:r>
            <w:r>
              <w:rPr>
                <w:rFonts w:ascii="仿宋_GB2312" w:hAnsi="仿宋_GB2312" w:cs="仿宋_GB2312" w:eastAsia="仿宋_GB2312"/>
              </w:rPr>
              <w:t>陕西省</w:t>
            </w:r>
            <w:r>
              <w:rPr>
                <w:rFonts w:ascii="仿宋_GB2312" w:hAnsi="仿宋_GB2312" w:cs="仿宋_GB2312" w:eastAsia="仿宋_GB2312"/>
              </w:rPr>
              <w:t>危险物品车辆运行安全风险监测系统，建设内容如下：</w:t>
            </w:r>
          </w:p>
          <w:p>
            <w:pPr>
              <w:pStyle w:val="null3"/>
              <w:ind w:firstLine="400"/>
              <w:jc w:val="left"/>
            </w:pPr>
            <w:r>
              <w:rPr>
                <w:rFonts w:ascii="仿宋_GB2312" w:hAnsi="仿宋_GB2312" w:cs="仿宋_GB2312" w:eastAsia="仿宋_GB2312"/>
                <w:b/>
              </w:rPr>
              <w:t>1.建设完善省级节点功能</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建设完善车辆运行轨迹监测功能，能够实现稳定接收部级系统推送的车辆发货、运行轨迹等预告信息，提供与本省交通运输、公安部门信息系统对接接口，各部门可通过接口获取预告信息。根据监管需要，实现对有关信息的查询、本省车辆及“两外”车辆的位置、轨迹及收发货数据的展示。</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2）建设完善预警信息接收推送功能，能够接收部级系统推送的预警信息，对预警信息进行分级分类，并提供预警信息与本省交通运输、公安等部门系统对接接口，各部门可通过该接口获取预警信息。</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3）建设完善预警信息处置反馈功能，能够及时跟踪、收集交通运输、公安等部门及相关属地对预警信息的处置情况，并能对相关情况定期汇总分析。</w:t>
            </w:r>
          </w:p>
          <w:p>
            <w:pPr>
              <w:pStyle w:val="null3"/>
              <w:ind w:firstLine="400"/>
              <w:jc w:val="left"/>
            </w:pPr>
            <w:r>
              <w:rPr>
                <w:rFonts w:ascii="仿宋_GB2312" w:hAnsi="仿宋_GB2312" w:cs="仿宋_GB2312" w:eastAsia="仿宋_GB2312"/>
                <w:b/>
              </w:rPr>
              <w:t>2.开展部省系统数据对接</w:t>
            </w:r>
          </w:p>
          <w:p>
            <w:pPr>
              <w:pStyle w:val="null3"/>
              <w:ind w:firstLine="400"/>
              <w:jc w:val="left"/>
            </w:pPr>
            <w:r>
              <w:rPr>
                <w:rFonts w:ascii="仿宋_GB2312" w:hAnsi="仿宋_GB2312" w:cs="仿宋_GB2312" w:eastAsia="仿宋_GB2312"/>
              </w:rPr>
              <w:t>相关功能建设完成后，根据部级系统部署要求，配合开展数据对接，贯通部省两级车辆轨迹、视频信息共享、预警信息推送和预警信息处置反馈等功能，实现部省两级系统数据互联互通，能够满足部级系统全国推广需求。</w:t>
            </w:r>
          </w:p>
          <w:tbl>
            <w:tblPr>
              <w:tblInd w:type="dxa" w:w="225"/>
              <w:tblBorders>
                <w:top w:val="none" w:color="000000" w:sz="4"/>
                <w:left w:val="none" w:color="000000" w:sz="4"/>
                <w:bottom w:val="none" w:color="000000" w:sz="4"/>
                <w:right w:val="none" w:color="000000" w:sz="4"/>
                <w:insideH w:val="none"/>
                <w:insideV w:val="none"/>
              </w:tblBorders>
            </w:tblPr>
            <w:tblGrid>
              <w:gridCol w:w="337"/>
              <w:gridCol w:w="512"/>
              <w:gridCol w:w="1703"/>
            </w:tblGrid>
            <w:tr>
              <w:tc>
                <w:tcPr>
                  <w:tcW w:type="dxa" w:w="337"/>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512"/>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功能名称</w:t>
                  </w:r>
                </w:p>
              </w:tc>
              <w:tc>
                <w:tcPr>
                  <w:tcW w:type="dxa" w:w="1703"/>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功能描述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数据看板</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今日车辆统计</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发往本省车辆统计：</w:t>
                  </w:r>
                </w:p>
                <w:p>
                  <w:pPr>
                    <w:pStyle w:val="null3"/>
                    <w:jc w:val="left"/>
                  </w:pPr>
                  <w:r>
                    <w:rPr>
                      <w:rFonts w:ascii="仿宋_GB2312" w:hAnsi="仿宋_GB2312" w:cs="仿宋_GB2312" w:eastAsia="仿宋_GB2312"/>
                      <w:sz w:val="20"/>
                      <w:color w:val="000000"/>
                    </w:rPr>
                    <w:t>系统监测所有以本省行政区划为最终目的地的危险物品运输车辆，采集车辆基础信息（车牌号、所属企业、货物类别）、出发地坐标、预计到达时间，并且在数据看板中展示实时数据。</w:t>
                  </w:r>
                </w:p>
                <w:p>
                  <w:pPr>
                    <w:pStyle w:val="null3"/>
                    <w:jc w:val="left"/>
                  </w:pPr>
                  <w:r>
                    <w:rPr>
                      <w:rFonts w:ascii="仿宋_GB2312" w:hAnsi="仿宋_GB2312" w:cs="仿宋_GB2312" w:eastAsia="仿宋_GB2312"/>
                      <w:sz w:val="20"/>
                      <w:color w:val="000000"/>
                    </w:rPr>
                    <w:t>本省发出车辆统计：</w:t>
                  </w:r>
                </w:p>
                <w:p>
                  <w:pPr>
                    <w:pStyle w:val="null3"/>
                    <w:jc w:val="left"/>
                  </w:pPr>
                  <w:r>
                    <w:rPr>
                      <w:rFonts w:ascii="仿宋_GB2312" w:hAnsi="仿宋_GB2312" w:cs="仿宋_GB2312" w:eastAsia="仿宋_GB2312"/>
                      <w:sz w:val="20"/>
                      <w:color w:val="000000"/>
                    </w:rPr>
                    <w:t>系统监测所有本省行政区划为起点的危险物品运输车辆，采集车辆基础信息（车牌号、所属企业、货物类别）、出发地坐标、预计到达时间，并且在数据看板中展示实时数据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数据看板数据从接收至前端展示的刷新间隔不大于</w:t>
                  </w:r>
                  <w:r>
                    <w:rPr>
                      <w:rFonts w:ascii="仿宋_GB2312" w:hAnsi="仿宋_GB2312" w:cs="仿宋_GB2312" w:eastAsia="仿宋_GB2312"/>
                      <w:sz w:val="20"/>
                      <w:color w:val="000000"/>
                    </w:rPr>
                    <w:t>60秒</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途经本省车辆：</w:t>
                  </w:r>
                </w:p>
                <w:p>
                  <w:pPr>
                    <w:pStyle w:val="null3"/>
                    <w:jc w:val="left"/>
                  </w:pPr>
                  <w:r>
                    <w:rPr>
                      <w:rFonts w:ascii="仿宋_GB2312" w:hAnsi="仿宋_GB2312" w:cs="仿宋_GB2312" w:eastAsia="仿宋_GB2312"/>
                      <w:sz w:val="20"/>
                      <w:color w:val="000000"/>
                    </w:rPr>
                    <w:t>系统监测车辆收发货地址，根据路线判断途</w:t>
                  </w:r>
                  <w:r>
                    <w:rPr>
                      <w:rFonts w:ascii="仿宋_GB2312" w:hAnsi="仿宋_GB2312" w:cs="仿宋_GB2312" w:eastAsia="仿宋_GB2312"/>
                      <w:sz w:val="20"/>
                      <w:color w:val="000000"/>
                    </w:rPr>
                    <w:t>经</w:t>
                  </w:r>
                  <w:r>
                    <w:rPr>
                      <w:rFonts w:ascii="仿宋_GB2312" w:hAnsi="仿宋_GB2312" w:cs="仿宋_GB2312" w:eastAsia="仿宋_GB2312"/>
                      <w:sz w:val="20"/>
                      <w:color w:val="000000"/>
                    </w:rPr>
                    <w:t>本</w:t>
                  </w:r>
                  <w:r>
                    <w:rPr>
                      <w:rFonts w:ascii="仿宋_GB2312" w:hAnsi="仿宋_GB2312" w:cs="仿宋_GB2312" w:eastAsia="仿宋_GB2312"/>
                      <w:sz w:val="20"/>
                      <w:color w:val="000000"/>
                    </w:rPr>
                    <w:t>省</w:t>
                  </w:r>
                  <w:r>
                    <w:rPr>
                      <w:rFonts w:ascii="仿宋_GB2312" w:hAnsi="仿宋_GB2312" w:cs="仿宋_GB2312" w:eastAsia="仿宋_GB2312"/>
                      <w:sz w:val="20"/>
                      <w:color w:val="000000"/>
                    </w:rPr>
                    <w:t>的车辆，采集车辆基础信息（车牌号、所属企业、货物类别）、出发地坐标、预计到达时间，并且在数据看板中展示实时数据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系统应能基于车辆实时位置基于省边界</w:t>
                  </w:r>
                  <w:r>
                    <w:rPr>
                      <w:rFonts w:ascii="仿宋_GB2312" w:hAnsi="仿宋_GB2312" w:cs="仿宋_GB2312" w:eastAsia="仿宋_GB2312"/>
                      <w:sz w:val="20"/>
                      <w:color w:val="000000"/>
                    </w:rPr>
                    <w:t>50km进行入省预告。</w:t>
                  </w:r>
                </w:p>
                <w:p>
                  <w:pPr>
                    <w:pStyle w:val="null3"/>
                    <w:jc w:val="left"/>
                  </w:pPr>
                  <w:r>
                    <w:rPr>
                      <w:rFonts w:ascii="仿宋_GB2312" w:hAnsi="仿宋_GB2312" w:cs="仿宋_GB2312" w:eastAsia="仿宋_GB2312"/>
                      <w:sz w:val="20"/>
                      <w:color w:val="000000"/>
                    </w:rPr>
                    <w:t>省内车辆统计：</w:t>
                  </w:r>
                </w:p>
                <w:p>
                  <w:pPr>
                    <w:pStyle w:val="null3"/>
                    <w:jc w:val="left"/>
                  </w:pPr>
                  <w:r>
                    <w:rPr>
                      <w:rFonts w:ascii="仿宋_GB2312" w:hAnsi="仿宋_GB2312" w:cs="仿宋_GB2312" w:eastAsia="仿宋_GB2312"/>
                      <w:sz w:val="20"/>
                      <w:color w:val="000000"/>
                    </w:rPr>
                    <w:t>省内</w:t>
                  </w:r>
                  <w:r>
                    <w:rPr>
                      <w:rFonts w:ascii="仿宋_GB2312" w:hAnsi="仿宋_GB2312" w:cs="仿宋_GB2312" w:eastAsia="仿宋_GB2312"/>
                      <w:sz w:val="20"/>
                      <w:color w:val="000000"/>
                    </w:rPr>
                    <w:t>危险物品</w:t>
                  </w:r>
                  <w:r>
                    <w:rPr>
                      <w:rFonts w:ascii="仿宋_GB2312" w:hAnsi="仿宋_GB2312" w:cs="仿宋_GB2312" w:eastAsia="仿宋_GB2312"/>
                      <w:sz w:val="20"/>
                      <w:color w:val="000000"/>
                    </w:rPr>
                    <w:t>运输车辆的实时统计结果。</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收发货情况统计</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危险化学品收发货统计：</w:t>
                  </w:r>
                </w:p>
                <w:p>
                  <w:pPr>
                    <w:pStyle w:val="null3"/>
                    <w:jc w:val="left"/>
                  </w:pPr>
                  <w:r>
                    <w:rPr>
                      <w:rFonts w:ascii="仿宋_GB2312" w:hAnsi="仿宋_GB2312" w:cs="仿宋_GB2312" w:eastAsia="仿宋_GB2312"/>
                      <w:sz w:val="20"/>
                      <w:color w:val="000000"/>
                    </w:rPr>
                    <w:t>系统对危险化学品的收发货情况进行统计，包括收发数量、时间等信息，为监管部门提供数据支持。</w:t>
                  </w:r>
                </w:p>
                <w:p>
                  <w:pPr>
                    <w:pStyle w:val="null3"/>
                    <w:jc w:val="left"/>
                  </w:pPr>
                  <w:r>
                    <w:rPr>
                      <w:rFonts w:ascii="仿宋_GB2312" w:hAnsi="仿宋_GB2312" w:cs="仿宋_GB2312" w:eastAsia="仿宋_GB2312"/>
                      <w:sz w:val="20"/>
                      <w:color w:val="000000"/>
                    </w:rPr>
                    <w:t>烟花爆竹收发货统计：</w:t>
                  </w:r>
                </w:p>
                <w:p>
                  <w:pPr>
                    <w:pStyle w:val="null3"/>
                    <w:jc w:val="left"/>
                  </w:pPr>
                  <w:r>
                    <w:rPr>
                      <w:rFonts w:ascii="仿宋_GB2312" w:hAnsi="仿宋_GB2312" w:cs="仿宋_GB2312" w:eastAsia="仿宋_GB2312"/>
                      <w:sz w:val="20"/>
                      <w:color w:val="000000"/>
                    </w:rPr>
                    <w:t>系统对烟花爆竹的收发货情况进行统计，确保这些高风险物品的运输安全。</w:t>
                  </w:r>
                </w:p>
                <w:p>
                  <w:pPr>
                    <w:pStyle w:val="null3"/>
                    <w:jc w:val="left"/>
                  </w:pPr>
                  <w:r>
                    <w:rPr>
                      <w:rFonts w:ascii="仿宋_GB2312" w:hAnsi="仿宋_GB2312" w:cs="仿宋_GB2312" w:eastAsia="仿宋_GB2312"/>
                      <w:sz w:val="20"/>
                      <w:color w:val="000000"/>
                    </w:rPr>
                    <w:t>系统应能按货物种类、地市区域、运输企业等多维度进行筛选和排名。</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化学品统计</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系统应实时统计并展示当前本省辖区内所有在途运输的化学品总类数、总运量（吨），并能展示运量排名前</w:t>
                  </w:r>
                  <w:r>
                    <w:rPr>
                      <w:rFonts w:ascii="仿宋_GB2312" w:hAnsi="仿宋_GB2312" w:cs="仿宋_GB2312" w:eastAsia="仿宋_GB2312"/>
                      <w:sz w:val="20"/>
                      <w:color w:val="000000"/>
                    </w:rPr>
                    <w:t>10的化学品品类及其占比。支持查看任一品类的明细列表，信息包括化学品名称、运输车辆、所属企业、当前状态、运量、起运地与目的地。</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共享信息统计</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系统需准确统计从部级系统成功接收的发货预告、入省预告及预警信息的数量。对于预警信息，需分别统计总数、已推送至协办部门数、已处置反馈数。所有统计结果应支持图形化展示。</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处置措施反馈统计</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系统需统计各部门对预警信息的处置反馈情况，记录包括处置单位、处置措施、处置时间、处置结果等关键字段，形成完整的处置闭环台账。</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今日预告信息</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统计今日所有预告的信息情况，汇总至看板，点击可查看详情。</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今日预警信息</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统计今日所有预警的信息情况，汇总至看板，点击可查看详情。</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地图</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地图接入：</w:t>
                  </w:r>
                </w:p>
                <w:p>
                  <w:pPr>
                    <w:pStyle w:val="null3"/>
                    <w:jc w:val="left"/>
                  </w:pPr>
                  <w:r>
                    <w:rPr>
                      <w:rFonts w:ascii="仿宋_GB2312" w:hAnsi="仿宋_GB2312" w:cs="仿宋_GB2312" w:eastAsia="仿宋_GB2312"/>
                      <w:sz w:val="20"/>
                      <w:b/>
                      <w:color w:val="000000"/>
                    </w:rPr>
                    <w:t>系统应集成符合国家测绘法规、具有合法商用资质的电子地图服务，实现以下功能：</w:t>
                  </w:r>
                  <w:r>
                    <w:rPr>
                      <w:rFonts w:ascii="仿宋_GB2312" w:hAnsi="仿宋_GB2312" w:cs="仿宋_GB2312" w:eastAsia="仿宋_GB2312"/>
                      <w:sz w:val="20"/>
                      <w:b/>
                      <w:color w:val="000000"/>
                    </w:rPr>
                    <w:t>1.实时定位：</w:t>
                  </w:r>
                  <w:r>
                    <w:rPr>
                      <w:rFonts w:ascii="仿宋_GB2312" w:hAnsi="仿宋_GB2312" w:cs="仿宋_GB2312" w:eastAsia="仿宋_GB2312"/>
                      <w:sz w:val="20"/>
                      <w:color w:val="000000"/>
                    </w:rPr>
                    <w:t>能实时（延迟</w:t>
                  </w:r>
                  <w:r>
                    <w:rPr>
                      <w:rFonts w:ascii="仿宋_GB2312" w:hAnsi="仿宋_GB2312" w:cs="仿宋_GB2312" w:eastAsia="仿宋_GB2312"/>
                      <w:sz w:val="20"/>
                      <w:color w:val="000000"/>
                    </w:rPr>
                    <w:t>≤30秒）接收并在地图上可视化展示车辆的当前位置、方向及状态。</w:t>
                  </w:r>
                </w:p>
                <w:p>
                  <w:pPr>
                    <w:pStyle w:val="null3"/>
                    <w:jc w:val="left"/>
                  </w:pPr>
                  <w:r>
                    <w:rPr>
                      <w:rFonts w:ascii="仿宋_GB2312" w:hAnsi="仿宋_GB2312" w:cs="仿宋_GB2312" w:eastAsia="仿宋_GB2312"/>
                      <w:sz w:val="20"/>
                      <w:b/>
                      <w:color w:val="000000"/>
                    </w:rPr>
                    <w:t>2.轨迹回放：</w:t>
                  </w:r>
                  <w:r>
                    <w:rPr>
                      <w:rFonts w:ascii="仿宋_GB2312" w:hAnsi="仿宋_GB2312" w:cs="仿宋_GB2312" w:eastAsia="仿宋_GB2312"/>
                      <w:sz w:val="20"/>
                      <w:color w:val="000000"/>
                    </w:rPr>
                    <w:t>能查询并流畅回放指定车辆在任意时间段内的历史运行轨迹。</w:t>
                  </w:r>
                </w:p>
                <w:p>
                  <w:pPr>
                    <w:pStyle w:val="null3"/>
                    <w:jc w:val="left"/>
                  </w:pPr>
                  <w:r>
                    <w:rPr>
                      <w:rFonts w:ascii="仿宋_GB2312" w:hAnsi="仿宋_GB2312" w:cs="仿宋_GB2312" w:eastAsia="仿宋_GB2312"/>
                      <w:sz w:val="20"/>
                      <w:b/>
                      <w:color w:val="000000"/>
                    </w:rPr>
                    <w:t>技术实现要求：</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可自主选用任何技术方案，但须承诺其方案稳定、合法，相关费用已包含在总报价中。</w:t>
                  </w:r>
                </w:p>
                <w:p>
                  <w:pPr>
                    <w:pStyle w:val="null3"/>
                    <w:jc w:val="left"/>
                  </w:pPr>
                  <w:r>
                    <w:rPr>
                      <w:rFonts w:ascii="仿宋_GB2312" w:hAnsi="仿宋_GB2312" w:cs="仿宋_GB2312" w:eastAsia="仿宋_GB2312"/>
                      <w:sz w:val="20"/>
                      <w:color w:val="000000"/>
                    </w:rPr>
                    <w:t>车辆实时位置：</w:t>
                  </w:r>
                </w:p>
                <w:p>
                  <w:pPr>
                    <w:pStyle w:val="null3"/>
                    <w:jc w:val="left"/>
                  </w:pPr>
                  <w:r>
                    <w:rPr>
                      <w:rFonts w:ascii="仿宋_GB2312" w:hAnsi="仿宋_GB2312" w:cs="仿宋_GB2312" w:eastAsia="仿宋_GB2312"/>
                      <w:sz w:val="20"/>
                      <w:color w:val="000000"/>
                    </w:rPr>
                    <w:t>系统能够实时</w:t>
                  </w:r>
                  <w:r>
                    <w:rPr>
                      <w:rFonts w:ascii="仿宋_GB2312" w:hAnsi="仿宋_GB2312" w:cs="仿宋_GB2312" w:eastAsia="仿宋_GB2312"/>
                      <w:sz w:val="20"/>
                      <w:color w:val="000000"/>
                    </w:rPr>
                    <w:t>从部系统</w:t>
                  </w:r>
                  <w:r>
                    <w:rPr>
                      <w:rFonts w:ascii="仿宋_GB2312" w:hAnsi="仿宋_GB2312" w:cs="仿宋_GB2312" w:eastAsia="仿宋_GB2312"/>
                      <w:sz w:val="20"/>
                      <w:color w:val="000000"/>
                    </w:rPr>
                    <w:t>获取并展示危险物品运输车辆的当前位置信息</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车辆历史轨迹：</w:t>
                  </w:r>
                </w:p>
                <w:p>
                  <w:pPr>
                    <w:pStyle w:val="null3"/>
                    <w:jc w:val="left"/>
                  </w:pPr>
                  <w:r>
                    <w:rPr>
                      <w:rFonts w:ascii="仿宋_GB2312" w:hAnsi="仿宋_GB2312" w:cs="仿宋_GB2312" w:eastAsia="仿宋_GB2312"/>
                      <w:sz w:val="20"/>
                      <w:color w:val="000000"/>
                    </w:rPr>
                    <w:t>系统记录并展示危险物品运输车辆的历史运行轨迹，便于追溯和分析。</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车辆轨迹监测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实时车辆统计</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为用户提供当前时刻的全省运输车辆概览。该功能默认统计在途车辆的数量和状态，用户可以通过不同条件，来查看不同状态下的车辆信息。这有助于实时掌握货物运输的进展情况，合理安排后续计划。</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0</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车辆列表</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车辆列表应包含但不限于以下信息字段：车牌号、所属企业、当前位置、运输货物名称、当前运量、起运地、目的地、预计到达时间、最新更新时间。列表需支持按任一字段排序、筛选等功能。</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车辆信息查询</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支持通过点击或输入条件（如车辆编号、发货地等）查询车辆，查看其运输轨迹（实时或历史）、发货信息详情，确保可追溯。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信息预告</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危险化学品</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通过部级系统标准接口，接收并展示危险化学品的发车预告与入省预告信息。预告信息清单需包含预告日期、物品类型（精确至品名）、数量、运输起讫点、预计到达时间等核心字段。用户可按日期范围、物品类型等条件进行综合查询，并支持将查询结果导出为标准格式（如</w:t>
                  </w:r>
                  <w:r>
                    <w:rPr>
                      <w:rFonts w:ascii="仿宋_GB2312" w:hAnsi="仿宋_GB2312" w:cs="仿宋_GB2312" w:eastAsia="仿宋_GB2312"/>
                      <w:sz w:val="20"/>
                      <w:color w:val="000000"/>
                    </w:rPr>
                    <w:t>xlsx或csv）文件。点击单条记录可查看详情，包括运输车辆车牌号、所属企业、驾驶员及押运员信息、货物详情等。</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烟花爆竹</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系统应通过部级系统标准接口，接收并展示烟花爆竹的发车预告与入省预告信息。预告信息清单需包含预告日期、物品类别（如烟花、爆竹）、级别、数量（箱</w:t>
                  </w:r>
                  <w:r>
                    <w:rPr>
                      <w:rFonts w:ascii="仿宋_GB2312" w:hAnsi="仿宋_GB2312" w:cs="仿宋_GB2312" w:eastAsia="仿宋_GB2312"/>
                      <w:sz w:val="20"/>
                      <w:color w:val="000000"/>
                    </w:rPr>
                    <w:t>/吨）、运输起讫点、预计到达时间等核心字段。用户可按日期范围、物品类别等条件进行综合查询，并支持将查询结果导出为标准格式（如xlsx或csv）文件。点击单条记录可查看详情，包括运输车辆车牌号、所属企业、驾驶员及押运员信息、货物详情等</w:t>
                  </w:r>
                  <w:r>
                    <w:rPr>
                      <w:rFonts w:ascii="仿宋_GB2312" w:hAnsi="仿宋_GB2312" w:cs="仿宋_GB2312" w:eastAsia="仿宋_GB2312"/>
                      <w:sz w:val="20"/>
                      <w:color w:val="000000"/>
                    </w:rPr>
                    <w:t>。</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预警信息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预警信息列表</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实时接收并展示部级系统推送的预警信息。列表需清晰展示每一条预警的核心字段，至少包括：预警唯一编号、触发规则类型、生成时间、涉及的主要行政区划、关联车辆车牌号、处置状态等。用户可按时间、行政区划、预警类型、处置状态等多维度进行筛选和排序。预警信息从接收成功至前端列表更新的延迟应不超过</w:t>
                  </w:r>
                  <w:r>
                    <w:rPr>
                      <w:rFonts w:ascii="仿宋_GB2312" w:hAnsi="仿宋_GB2312" w:cs="仿宋_GB2312" w:eastAsia="仿宋_GB2312"/>
                      <w:sz w:val="20"/>
                      <w:color w:val="000000"/>
                    </w:rPr>
                    <w:t>30秒。</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预警信息导出</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系统应支持将查询结果的预警信息批量导出为标准格式的电子表格文件，如</w:t>
                  </w:r>
                  <w:r>
                    <w:rPr>
                      <w:rFonts w:ascii="仿宋_GB2312" w:hAnsi="仿宋_GB2312" w:cs="仿宋_GB2312" w:eastAsia="仿宋_GB2312"/>
                      <w:sz w:val="20"/>
                      <w:color w:val="000000"/>
                    </w:rPr>
                    <w:t>xlsx或csv格式。导出的文件应包含列表显示的所有字段信息。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预警信息查询</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系统应提供综合查询功能，支持用户通过车辆牌照、预警生成时间区间、预警类型等多个条件进行任意组合检索，快速定位目标预警信息。</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17</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预警信息详情</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点击任一预警信息，应弹出详情页面对话框或跳转至详情页面，完整展示该预警的所有信息，包括：预警基础信息、触发该预警的原始数据快照、触发的规则逻辑说明。</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预警信息处置反馈</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推送清单</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w:t>
                  </w:r>
                  <w:r>
                    <w:rPr>
                      <w:rFonts w:ascii="仿宋_GB2312" w:hAnsi="仿宋_GB2312" w:cs="仿宋_GB2312" w:eastAsia="仿宋_GB2312"/>
                      <w:sz w:val="20"/>
                      <w:color w:val="000000"/>
                    </w:rPr>
                    <w:t>统应自动记录所有向省级协同部门（应急管理、交通运输、公安等）推送预警信息的完整日志。日志明细需至少包含：预警信息编号、推送目标部门、推送方式、推送时间、推送状态（成功</w:t>
                  </w:r>
                  <w:r>
                    <w:rPr>
                      <w:rFonts w:ascii="仿宋_GB2312" w:hAnsi="仿宋_GB2312" w:cs="仿宋_GB2312" w:eastAsia="仿宋_GB2312"/>
                      <w:sz w:val="20"/>
                      <w:color w:val="000000"/>
                    </w:rPr>
                    <w:t>/失败）、失败原因（如推送失败）</w:t>
                  </w:r>
                  <w:r>
                    <w:rPr>
                      <w:rFonts w:ascii="仿宋_GB2312" w:hAnsi="仿宋_GB2312" w:cs="仿宋_GB2312" w:eastAsia="仿宋_GB2312"/>
                      <w:sz w:val="20"/>
                      <w:color w:val="000000"/>
                    </w:rPr>
                    <w:t>。</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19</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推送与处置反馈详情</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提供功能，用于查看各部门对预警信息的处置反馈详情。详情页应展示：处置部门、处置人、处置时间、处置措施的文字描述及相关凭证信息。同时，系统应提供独立的处置反馈查询功能。系统应提供标准数据接口，用于接收和集成来自不同部门的结构化处置反馈数据。</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（六）</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视频信息管理</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20</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车辆列表</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系统应具备对接整合不同来源车载视频资源的能力。需支持通过标准协议（如</w:t>
                  </w:r>
                  <w:r>
                    <w:rPr>
                      <w:rFonts w:ascii="仿宋_GB2312" w:hAnsi="仿宋_GB2312" w:cs="仿宋_GB2312" w:eastAsia="仿宋_GB2312"/>
                      <w:sz w:val="20"/>
                      <w:color w:val="000000"/>
                    </w:rPr>
                    <w:t>GB/T28181、RTSP、RTMP等）接入省级相关部门已建设的车载视频监控资源，同时支持接收和对接部级系统下发共享的视频资源数据。</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需在方案中详细阐述其视频集成技术路线和可行性。</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视频调阅</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系统应提供统一的视频调阅功能界面。用户可在查看车辆实时位置、历史轨迹或预警信息时，联动调阅该车辆对应的实时视频画面。视频调阅应支持多画面预览。视频流加载延迟应尽可能低，确保监控效率。</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（七）</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预警信息管理</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预警信息推送</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建立预警信息分级分类管理机制，支持根据预设规则自动或由授权管理员手动审慎判断，将部系统推送的预警信息分发给本省相应的应急管理、交通运输、公安等协同监管部门。系统需提供便捷的手动推送功能界面，并详细记录每一次推送的操作日志（包括操作人、时间、推送部门及推送信息详情）。</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预警信息处置反馈</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系统应严格按照部定《数据交换规范》的要求，构建处置反馈数据治理体系。为从本省各协同部门（应急管理、交通运输、公安等）收集处置反馈信息，系统应支持以下两种实施方式，</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须在投标方案中详细阐述其对两种方式的技术实现路径：</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1）系统对接：</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需承诺，具备通过标准</w:t>
                  </w:r>
                  <w:r>
                    <w:rPr>
                      <w:rFonts w:ascii="仿宋_GB2312" w:hAnsi="仿宋_GB2312" w:cs="仿宋_GB2312" w:eastAsia="仿宋_GB2312"/>
                      <w:sz w:val="20"/>
                      <w:color w:val="000000"/>
                    </w:rPr>
                    <w:t>API接口（如RESTful API）、遵循部定规范与各省厅现有系统进行数据对接的能力。</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2）本系统填报：系统需为各协同部门提供专用的账号权限和功能界面，支持其在线填报处置措施与反馈结果。</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（八）</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系统管理</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24</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用户管理</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可给省公安、交通、应急部门添加账号，用于登录本系统。</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角色管理</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通过角色管理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给</w:t>
                  </w:r>
                  <w:r>
                    <w:rPr>
                      <w:rFonts w:ascii="仿宋_GB2312" w:hAnsi="仿宋_GB2312" w:cs="仿宋_GB2312" w:eastAsia="仿宋_GB2312"/>
                      <w:sz w:val="20"/>
                      <w:color w:val="000000"/>
                    </w:rPr>
                    <w:t>相关单位</w:t>
                  </w:r>
                  <w:r>
                    <w:rPr>
                      <w:rFonts w:ascii="仿宋_GB2312" w:hAnsi="仿宋_GB2312" w:cs="仿宋_GB2312" w:eastAsia="仿宋_GB2312"/>
                      <w:sz w:val="20"/>
                      <w:color w:val="000000"/>
                    </w:rPr>
                    <w:t>的账号分配不同的角色，</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最终用户权限控制。各角色只能查看分配了权限的功能或数据。</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26</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权限管理</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进行数据权限的分配，配合角色管理实现权限控制。</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（九）</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服务总线接口对接</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27</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危险化学品预告</w:t>
                  </w:r>
                </w:p>
              </w:tc>
              <w:tc>
                <w:tcPr>
                  <w:tcW w:type="dxa" w:w="17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20"/>
                      <w:color w:val="000000"/>
                    </w:rPr>
                    <w:t>按照数据规范与服务总线省级节点对接，完成数据接收，并在系统中展示。</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28</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烟花爆竹预告</w:t>
                  </w:r>
                </w:p>
              </w:tc>
              <w:tc>
                <w:tcPr>
                  <w:tcW w:type="dxa" w:w="1703"/>
                  <w:vMerge/>
                  <w:tcBorders>
                    <w:top w:val="single" w:color="000000" w:sz="4"/>
                    <w:left w:val="single" w:color="000000" w:sz="4"/>
                    <w:bottom w:val="single" w:color="000000" w:sz="4"/>
                    <w:right w:val="single" w:color="000000" w:sz="4"/>
                  </w:tcBorders>
                </w:tcP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29</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车辆轨迹</w:t>
                  </w:r>
                </w:p>
              </w:tc>
              <w:tc>
                <w:tcPr>
                  <w:tcW w:type="dxa" w:w="1703"/>
                  <w:vMerge/>
                  <w:tcBorders>
                    <w:top w:val="single" w:color="000000" w:sz="4"/>
                    <w:left w:val="single" w:color="000000" w:sz="4"/>
                    <w:bottom w:val="single" w:color="000000" w:sz="4"/>
                    <w:right w:val="single" w:color="000000" w:sz="4"/>
                  </w:tcBorders>
                </w:tcP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预警信息接收</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根据部系统提供的《共享数据接收操作指南》，进行省系统与服务总线省级节点的数据对接，在服务总线省级节点申请资源，通过比对订阅方式，完成部级系统共享的预警信息的接收工作。</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处置反馈信息上报</w:t>
                  </w:r>
                </w:p>
              </w:tc>
              <w:tc>
                <w:tcPr>
                  <w:tcW w:type="dxa" w:w="1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按照《全国危险物品车辆运行安全风险监测系统预警处置反馈信息数据交换规范》要求，完成接口开发并与服务总线对接，将接收到本省应急、公安、交通部门对预警信息的处置反馈措施，通过服务总线上传至部系统。</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（十）</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第三方系统接口对接</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开发政务平台、公安、交通部门数据推送与反馈交换接口</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系统应具备与省级政务平台、公安、交通运输等部门的其他信息系统进行数据交换与共享的能力。需提供标准、开放的数据接口（如</w:t>
                  </w:r>
                  <w:r>
                    <w:rPr>
                      <w:rFonts w:ascii="仿宋_GB2312" w:hAnsi="仿宋_GB2312" w:cs="仿宋_GB2312" w:eastAsia="仿宋_GB2312"/>
                      <w:sz w:val="20"/>
                      <w:color w:val="000000"/>
                    </w:rPr>
                    <w:t>RESTful API、WebService），支持按约定的数据格式和协议，向上述部门推送预警、预告等信息，并可接收其返回的处置反馈等数据。</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需在方案中阐述其接口技术实现方式。</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十一）</w:t>
                  </w:r>
                </w:p>
              </w:tc>
              <w:tc>
                <w:tcPr>
                  <w:tcW w:type="dxa" w:w="22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视频平台接口对接</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视频平台接口对接</w:t>
                  </w:r>
                </w:p>
              </w:tc>
              <w:tc>
                <w:tcPr>
                  <w:tcW w:type="dxa" w:w="1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系统需具备集成现有视频资源的能力，应支持通过国家标准协议（如</w:t>
                  </w:r>
                  <w:r>
                    <w:rPr>
                      <w:rFonts w:ascii="仿宋_GB2312" w:hAnsi="仿宋_GB2312" w:cs="仿宋_GB2312" w:eastAsia="仿宋_GB2312"/>
                      <w:sz w:val="20"/>
                      <w:color w:val="000000"/>
                    </w:rPr>
                    <w:t>GB/T 28181）或主流视频接口与省级相关部门已建视频监控平台进行对接，实现已接入车辆视频数据的调阅功能。</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需在方案中详细阐述其视频集成技术路线、协议支持情况及可行性。</w:t>
                  </w:r>
                </w:p>
              </w:tc>
            </w:tr>
          </w:tbl>
          <w:p>
            <w:pPr>
              <w:pStyle w:val="null3"/>
              <w:jc w:val="left"/>
            </w:pPr>
            <w:r>
              <w:rPr>
                <w:rFonts w:ascii="仿宋_GB2312" w:hAnsi="仿宋_GB2312" w:cs="仿宋_GB2312" w:eastAsia="仿宋_GB2312"/>
                <w:b/>
              </w:rPr>
              <w:t>三、其他要求</w:t>
            </w:r>
          </w:p>
          <w:p>
            <w:pPr>
              <w:pStyle w:val="null3"/>
              <w:ind w:firstLine="400"/>
              <w:jc w:val="left"/>
            </w:pPr>
            <w:r>
              <w:rPr>
                <w:rFonts w:ascii="仿宋_GB2312" w:hAnsi="仿宋_GB2312" w:cs="仿宋_GB2312" w:eastAsia="仿宋_GB2312"/>
                <w:b/>
              </w:rPr>
              <w:t>1.总体要求</w:t>
            </w:r>
          </w:p>
          <w:p>
            <w:pPr>
              <w:pStyle w:val="null3"/>
              <w:ind w:firstLine="400"/>
              <w:jc w:val="left"/>
            </w:pPr>
            <w:r>
              <w:rPr>
                <w:rFonts w:ascii="仿宋_GB2312" w:hAnsi="仿宋_GB2312" w:cs="仿宋_GB2312" w:eastAsia="仿宋_GB2312"/>
              </w:rPr>
              <w:t>技术方案中应包含不限于总体架构、技术路线、系统安全设计等内容，确保符合本项目的建设目标、技术要求、《信息安全技术网络安全等级保护基本要求》（</w:t>
            </w:r>
            <w:r>
              <w:rPr>
                <w:rFonts w:ascii="仿宋_GB2312" w:hAnsi="仿宋_GB2312" w:cs="仿宋_GB2312" w:eastAsia="仿宋_GB2312"/>
              </w:rPr>
              <w:t>GB/T22239-2019）及《信息安全技术信息系统密码应用基本要求》（GBT39786-2021）标准要求。本项目按照等保二级标准建设。</w:t>
            </w:r>
          </w:p>
          <w:p>
            <w:pPr>
              <w:pStyle w:val="null3"/>
              <w:ind w:firstLine="400"/>
              <w:jc w:val="left"/>
            </w:pPr>
            <w:r>
              <w:rPr>
                <w:rFonts w:ascii="仿宋_GB2312" w:hAnsi="仿宋_GB2312" w:cs="仿宋_GB2312" w:eastAsia="仿宋_GB2312"/>
                <w:b/>
              </w:rPr>
              <w:t>2.系统性能指标</w:t>
            </w:r>
          </w:p>
          <w:p>
            <w:pPr>
              <w:pStyle w:val="null3"/>
              <w:ind w:firstLine="400"/>
              <w:jc w:val="left"/>
            </w:pPr>
            <w:r>
              <w:rPr>
                <w:rFonts w:ascii="仿宋_GB2312" w:hAnsi="仿宋_GB2312" w:cs="仿宋_GB2312" w:eastAsia="仿宋_GB2312"/>
              </w:rPr>
              <w:t>在</w:t>
            </w:r>
            <w:r>
              <w:rPr>
                <w:rFonts w:ascii="仿宋_GB2312" w:hAnsi="仿宋_GB2312" w:cs="仿宋_GB2312" w:eastAsia="仿宋_GB2312"/>
              </w:rPr>
              <w:t>95％的情况下，系统登录响应时间在2-5秒内，刷新栏目响应时间在2-5秒内，刷新条目分页列表响应时间2-5秒内，打开信息条目响应时间2-5秒内；在非高峰时间根据特定条件进行搜索，可以在2-5秒内得到搜索结果。</w:t>
            </w:r>
          </w:p>
          <w:p>
            <w:pPr>
              <w:pStyle w:val="null3"/>
              <w:ind w:firstLine="400"/>
              <w:jc w:val="left"/>
            </w:pPr>
            <w:r>
              <w:rPr>
                <w:rFonts w:ascii="仿宋_GB2312" w:hAnsi="仿宋_GB2312" w:cs="仿宋_GB2312" w:eastAsia="仿宋_GB2312"/>
                <w:b/>
              </w:rPr>
              <w:t>3.可靠性指标</w:t>
            </w:r>
          </w:p>
          <w:p>
            <w:pPr>
              <w:pStyle w:val="null3"/>
              <w:ind w:firstLine="400"/>
              <w:jc w:val="left"/>
            </w:pPr>
            <w:r>
              <w:rPr>
                <w:rFonts w:ascii="仿宋_GB2312" w:hAnsi="仿宋_GB2312" w:cs="仿宋_GB2312" w:eastAsia="仿宋_GB2312"/>
              </w:rPr>
              <w:t>本项目要求管控系统</w:t>
            </w:r>
            <w:r>
              <w:rPr>
                <w:rFonts w:ascii="仿宋_GB2312" w:hAnsi="仿宋_GB2312" w:cs="仿宋_GB2312" w:eastAsia="仿宋_GB2312"/>
              </w:rPr>
              <w:t>7×24小时连续运行；系统的可用性（A=MTBF（平均无故障工作时间）/MTBF+MTTR（平均维修时间））至少为99.5%。</w:t>
            </w:r>
          </w:p>
          <w:p>
            <w:pPr>
              <w:pStyle w:val="null3"/>
              <w:ind w:firstLine="400"/>
              <w:jc w:val="left"/>
            </w:pPr>
            <w:r>
              <w:rPr>
                <w:rFonts w:ascii="仿宋_GB2312" w:hAnsi="仿宋_GB2312" w:cs="仿宋_GB2312" w:eastAsia="仿宋_GB2312"/>
                <w:b/>
              </w:rPr>
              <w:t>4.可扩展性指标</w:t>
            </w:r>
          </w:p>
          <w:p>
            <w:pPr>
              <w:pStyle w:val="null3"/>
              <w:ind w:firstLine="400"/>
              <w:jc w:val="left"/>
            </w:pPr>
            <w:r>
              <w:rPr>
                <w:rFonts w:ascii="仿宋_GB2312" w:hAnsi="仿宋_GB2312" w:cs="仿宋_GB2312" w:eastAsia="仿宋_GB2312"/>
              </w:rPr>
              <w:t>在系统设计和建设上充分考虑危险物品车辆运行安全风险监测系统信息化建设在今后一段时期内进一步丰富和完善的需要，满足系统软硬件扩展需求。</w:t>
            </w:r>
          </w:p>
          <w:p>
            <w:pPr>
              <w:pStyle w:val="null3"/>
              <w:jc w:val="left"/>
            </w:pPr>
            <w:r>
              <w:rPr>
                <w:rFonts w:ascii="仿宋_GB2312" w:hAnsi="仿宋_GB2312" w:cs="仿宋_GB2312" w:eastAsia="仿宋_GB2312"/>
                <w:b/>
              </w:rPr>
              <w:t>四、运维要求</w:t>
            </w:r>
          </w:p>
          <w:p>
            <w:pPr>
              <w:pStyle w:val="null3"/>
              <w:ind w:firstLine="400"/>
              <w:jc w:val="left"/>
            </w:pPr>
            <w:r>
              <w:rPr>
                <w:rFonts w:ascii="仿宋_GB2312" w:hAnsi="仿宋_GB2312" w:cs="仿宋_GB2312" w:eastAsia="仿宋_GB2312"/>
                <w:b/>
              </w:rPr>
              <w:t>1.系统运维要求</w:t>
            </w:r>
          </w:p>
          <w:p>
            <w:pPr>
              <w:pStyle w:val="null3"/>
              <w:ind w:firstLine="400"/>
              <w:jc w:val="left"/>
            </w:pPr>
            <w:r>
              <w:rPr>
                <w:rFonts w:ascii="仿宋_GB2312" w:hAnsi="仿宋_GB2312" w:cs="仿宋_GB2312" w:eastAsia="仿宋_GB2312"/>
              </w:rPr>
              <w:t>本平台自验收</w:t>
            </w:r>
            <w:r>
              <w:rPr>
                <w:rFonts w:ascii="仿宋_GB2312" w:hAnsi="仿宋_GB2312" w:cs="仿宋_GB2312" w:eastAsia="仿宋_GB2312"/>
              </w:rPr>
              <w:t>合格</w:t>
            </w:r>
            <w:r>
              <w:rPr>
                <w:rFonts w:ascii="仿宋_GB2312" w:hAnsi="仿宋_GB2312" w:cs="仿宋_GB2312" w:eastAsia="仿宋_GB2312"/>
              </w:rPr>
              <w:t>之日起，两年内负责平台的运维工作。同时，要具备完善的售后服务承诺及售后运维服务方案。</w:t>
            </w:r>
          </w:p>
          <w:p>
            <w:pPr>
              <w:pStyle w:val="null3"/>
              <w:ind w:firstLine="400"/>
              <w:jc w:val="left"/>
            </w:pPr>
            <w:r>
              <w:rPr>
                <w:rFonts w:ascii="仿宋_GB2312" w:hAnsi="仿宋_GB2312" w:cs="仿宋_GB2312" w:eastAsia="仿宋_GB2312"/>
                <w:b/>
              </w:rPr>
              <w:t>2.应急响应要求</w:t>
            </w:r>
          </w:p>
          <w:p>
            <w:pPr>
              <w:pStyle w:val="null3"/>
              <w:ind w:firstLine="400"/>
              <w:jc w:val="left"/>
            </w:pPr>
            <w:r>
              <w:rPr>
                <w:rFonts w:ascii="仿宋_GB2312" w:hAnsi="仿宋_GB2312" w:cs="仿宋_GB2312" w:eastAsia="仿宋_GB2312"/>
              </w:rPr>
              <w:t>提供</w:t>
            </w:r>
            <w:r>
              <w:rPr>
                <w:rFonts w:ascii="仿宋_GB2312" w:hAnsi="仿宋_GB2312" w:cs="仿宋_GB2312" w:eastAsia="仿宋_GB2312"/>
              </w:rPr>
              <w:t>7*24远程值守服务，通过电话、网络等渠道解答用户的问题、指导用户解决一般性故障。</w:t>
            </w:r>
          </w:p>
          <w:tbl>
            <w:tblPr>
              <w:tblBorders>
                <w:top w:val="none" w:color="000000" w:sz="4"/>
                <w:left w:val="none" w:color="000000" w:sz="4"/>
                <w:bottom w:val="none" w:color="000000" w:sz="4"/>
                <w:right w:val="none" w:color="000000" w:sz="4"/>
                <w:insideH w:val="none"/>
                <w:insideV w:val="none"/>
              </w:tblBorders>
            </w:tblPr>
            <w:tblGrid>
              <w:gridCol w:w="735"/>
              <w:gridCol w:w="431"/>
              <w:gridCol w:w="412"/>
              <w:gridCol w:w="268"/>
              <w:gridCol w:w="707"/>
            </w:tblGrid>
            <w:tr>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范围</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响应时间</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处理方式</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恢复时间</w:t>
                  </w:r>
                </w:p>
              </w:tc>
              <w:tc>
                <w:tcPr>
                  <w:tcW w:type="dxa" w:w="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措施</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一级故障</w:t>
                  </w:r>
                  <w:r>
                    <w:br/>
                  </w:r>
                  <w:r>
                    <w:rPr>
                      <w:rFonts w:ascii="仿宋_GB2312" w:hAnsi="仿宋_GB2312" w:cs="仿宋_GB2312" w:eastAsia="仿宋_GB2312"/>
                      <w:sz w:val="20"/>
                      <w:color w:val="000000"/>
                    </w:rPr>
                    <w:t>如：系统崩溃、主要功能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如</w:t>
                  </w:r>
                  <w:r>
                    <w:rPr>
                      <w:rFonts w:ascii="仿宋_GB2312" w:hAnsi="仿宋_GB2312" w:cs="仿宋_GB2312" w:eastAsia="仿宋_GB2312"/>
                      <w:sz w:val="20"/>
                      <w:color w:val="000000"/>
                    </w:rPr>
                    <w:t>车辆轨迹监测</w:t>
                  </w:r>
                  <w:r>
                    <w:rPr>
                      <w:rFonts w:ascii="仿宋_GB2312" w:hAnsi="仿宋_GB2312" w:cs="仿宋_GB2312" w:eastAsia="仿宋_GB2312"/>
                      <w:sz w:val="20"/>
                      <w:color w:val="000000"/>
                    </w:rPr>
                    <w:t>、</w:t>
                  </w:r>
                  <w:r>
                    <w:rPr>
                      <w:rFonts w:ascii="仿宋_GB2312" w:hAnsi="仿宋_GB2312" w:cs="仿宋_GB2312" w:eastAsia="仿宋_GB2312"/>
                      <w:sz w:val="20"/>
                      <w:color w:val="000000"/>
                    </w:rPr>
                    <w:t>预警信息推送、处置反馈上报</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完全不能正常使用。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15min内</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远程处理</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1h</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立即处理，第一时间确定故障原因，现场解决，做好记录；若有必要，乙方技术工程师依双方拟定时间前往甲方提供现场服务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做好记录。</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二级故障</w:t>
                  </w:r>
                  <w:r>
                    <w:br/>
                  </w:r>
                  <w:r>
                    <w:rPr>
                      <w:rFonts w:ascii="仿宋_GB2312" w:hAnsi="仿宋_GB2312" w:cs="仿宋_GB2312" w:eastAsia="仿宋_GB2312"/>
                      <w:sz w:val="20"/>
                      <w:color w:val="000000"/>
                    </w:rPr>
                    <w:t>如：出现严重的错误提示</w:t>
                  </w:r>
                  <w:r>
                    <w:rPr>
                      <w:rFonts w:ascii="仿宋_GB2312" w:hAnsi="仿宋_GB2312" w:cs="仿宋_GB2312" w:eastAsia="仿宋_GB2312"/>
                      <w:sz w:val="20"/>
                      <w:color w:val="000000"/>
                    </w:rPr>
                    <w:t>（</w:t>
                  </w:r>
                  <w:r>
                    <w:rPr>
                      <w:rFonts w:ascii="仿宋_GB2312" w:hAnsi="仿宋_GB2312" w:cs="仿宋_GB2312" w:eastAsia="仿宋_GB2312"/>
                      <w:sz w:val="20"/>
                      <w:color w:val="000000"/>
                    </w:rPr>
                    <w:t>如系统异常、接口异常等</w:t>
                  </w:r>
                  <w:r>
                    <w:rPr>
                      <w:rFonts w:ascii="仿宋_GB2312" w:hAnsi="仿宋_GB2312" w:cs="仿宋_GB2312" w:eastAsia="仿宋_GB2312"/>
                      <w:sz w:val="20"/>
                      <w:color w:val="000000"/>
                    </w:rPr>
                    <w:t>）</w:t>
                  </w:r>
                  <w:r>
                    <w:rPr>
                      <w:rFonts w:ascii="仿宋_GB2312" w:hAnsi="仿宋_GB2312" w:cs="仿宋_GB2312" w:eastAsia="仿宋_GB2312"/>
                      <w:sz w:val="20"/>
                      <w:color w:val="000000"/>
                    </w:rPr>
                    <w:t>、主要功能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如</w:t>
                  </w:r>
                  <w:r>
                    <w:rPr>
                      <w:rFonts w:ascii="仿宋_GB2312" w:hAnsi="仿宋_GB2312" w:cs="仿宋_GB2312" w:eastAsia="仿宋_GB2312"/>
                      <w:sz w:val="20"/>
                      <w:color w:val="000000"/>
                    </w:rPr>
                    <w:t>车辆轨迹监测</w:t>
                  </w:r>
                  <w:r>
                    <w:rPr>
                      <w:rFonts w:ascii="仿宋_GB2312" w:hAnsi="仿宋_GB2312" w:cs="仿宋_GB2312" w:eastAsia="仿宋_GB2312"/>
                      <w:sz w:val="20"/>
                      <w:color w:val="000000"/>
                    </w:rPr>
                    <w:t>、</w:t>
                  </w:r>
                  <w:r>
                    <w:rPr>
                      <w:rFonts w:ascii="仿宋_GB2312" w:hAnsi="仿宋_GB2312" w:cs="仿宋_GB2312" w:eastAsia="仿宋_GB2312"/>
                      <w:sz w:val="20"/>
                      <w:color w:val="000000"/>
                    </w:rPr>
                    <w:t>预警信息推送、处置反馈上报</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r>
                    <w:rPr>
                      <w:rFonts w:ascii="仿宋_GB2312" w:hAnsi="仿宋_GB2312" w:cs="仿宋_GB2312" w:eastAsia="仿宋_GB2312"/>
                      <w:sz w:val="20"/>
                      <w:color w:val="000000"/>
                    </w:rPr>
                    <w:t>部分不能正常使用、次要功能不能正常使用；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15min内</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远程处理</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5h</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向售后服务中心申报，如不能电话解决，将采用远程支持方式，第一时间确定故障原因，尽量现场解决，做好记录</w:t>
                  </w:r>
                  <w:r>
                    <w:rPr>
                      <w:rFonts w:ascii="仿宋_GB2312" w:hAnsi="仿宋_GB2312" w:cs="仿宋_GB2312" w:eastAsia="仿宋_GB2312"/>
                      <w:sz w:val="20"/>
                      <w:color w:val="000000"/>
                    </w:rPr>
                    <w:t>。</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三级故障</w:t>
                  </w:r>
                  <w:r>
                    <w:br/>
                  </w:r>
                  <w:r>
                    <w:rPr>
                      <w:rFonts w:ascii="仿宋_GB2312" w:hAnsi="仿宋_GB2312" w:cs="仿宋_GB2312" w:eastAsia="仿宋_GB2312"/>
                      <w:sz w:val="20"/>
                      <w:color w:val="000000"/>
                    </w:rPr>
                    <w:t>如：出现一般的措施提示</w:t>
                  </w:r>
                  <w:r>
                    <w:rPr>
                      <w:rFonts w:ascii="仿宋_GB2312" w:hAnsi="仿宋_GB2312" w:cs="仿宋_GB2312" w:eastAsia="仿宋_GB2312"/>
                      <w:sz w:val="20"/>
                      <w:color w:val="000000"/>
                    </w:rPr>
                    <w:t>（</w:t>
                  </w:r>
                  <w:r>
                    <w:rPr>
                      <w:rFonts w:ascii="仿宋_GB2312" w:hAnsi="仿宋_GB2312" w:cs="仿宋_GB2312" w:eastAsia="仿宋_GB2312"/>
                      <w:sz w:val="20"/>
                      <w:color w:val="000000"/>
                    </w:rPr>
                    <w:t>如：系统登录失败等</w:t>
                  </w:r>
                  <w:r>
                    <w:rPr>
                      <w:rFonts w:ascii="仿宋_GB2312" w:hAnsi="仿宋_GB2312" w:cs="仿宋_GB2312" w:eastAsia="仿宋_GB2312"/>
                      <w:sz w:val="20"/>
                      <w:color w:val="000000"/>
                    </w:rPr>
                    <w:t>）</w:t>
                  </w:r>
                  <w:r>
                    <w:rPr>
                      <w:rFonts w:ascii="仿宋_GB2312" w:hAnsi="仿宋_GB2312" w:cs="仿宋_GB2312" w:eastAsia="仿宋_GB2312"/>
                      <w:sz w:val="20"/>
                      <w:color w:val="000000"/>
                    </w:rPr>
                    <w:t>、次要功能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如禁限行功能等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出现错误不能正常使用等；</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15min内</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远程处理</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8h</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进行电话指导</w:t>
                  </w:r>
                  <w:r>
                    <w:rPr>
                      <w:rFonts w:ascii="仿宋_GB2312" w:hAnsi="仿宋_GB2312" w:cs="仿宋_GB2312" w:eastAsia="仿宋_GB2312"/>
                      <w:sz w:val="20"/>
                      <w:color w:val="000000"/>
                    </w:rPr>
                    <w:t>。</w:t>
                  </w:r>
                </w:p>
              </w:tc>
            </w:tr>
          </w:tbl>
          <w:p>
            <w:pPr>
              <w:pStyle w:val="null3"/>
              <w:ind w:firstLine="400"/>
              <w:jc w:val="left"/>
            </w:pPr>
            <w:r>
              <w:rPr>
                <w:rFonts w:ascii="仿宋_GB2312" w:hAnsi="仿宋_GB2312" w:cs="仿宋_GB2312" w:eastAsia="仿宋_GB2312"/>
              </w:rPr>
              <w:t>对于突发的系统故障，如果情况紧急，运维单位需指派具有丰富经验的技术人员赶赴现场，进行现场技术支持服务。</w:t>
            </w:r>
          </w:p>
          <w:p>
            <w:pPr>
              <w:pStyle w:val="null3"/>
              <w:ind w:firstLine="400"/>
              <w:jc w:val="left"/>
            </w:pPr>
            <w:r>
              <w:rPr>
                <w:rFonts w:ascii="仿宋_GB2312" w:hAnsi="仿宋_GB2312" w:cs="仿宋_GB2312" w:eastAsia="仿宋_GB2312"/>
                <w:b/>
              </w:rPr>
              <w:t>3.培训要求</w:t>
            </w:r>
          </w:p>
          <w:p>
            <w:pPr>
              <w:pStyle w:val="null3"/>
              <w:ind w:firstLine="400"/>
              <w:jc w:val="left"/>
            </w:pPr>
            <w:r>
              <w:rPr>
                <w:rFonts w:ascii="仿宋_GB2312" w:hAnsi="仿宋_GB2312" w:cs="仿宋_GB2312" w:eastAsia="仿宋_GB2312"/>
              </w:rPr>
              <w:t>平台应具备完善的培训方案，确保项目范围内的相关人员能够熟练的使用该平台。主要采用远程培训和实地培训相结合的方式进行。</w:t>
            </w:r>
          </w:p>
          <w:p>
            <w:pPr>
              <w:pStyle w:val="null3"/>
              <w:jc w:val="left"/>
            </w:pPr>
            <w:r>
              <w:rPr>
                <w:rFonts w:ascii="仿宋_GB2312" w:hAnsi="仿宋_GB2312" w:cs="仿宋_GB2312" w:eastAsia="仿宋_GB2312"/>
                <w:b/>
              </w:rPr>
              <w:t>五、团队要求</w:t>
            </w:r>
          </w:p>
          <w:p>
            <w:pPr>
              <w:pStyle w:val="null3"/>
              <w:ind w:firstLine="400"/>
              <w:jc w:val="left"/>
            </w:pPr>
            <w:r>
              <w:rPr>
                <w:rFonts w:ascii="仿宋_GB2312" w:hAnsi="仿宋_GB2312" w:cs="仿宋_GB2312" w:eastAsia="仿宋_GB2312"/>
              </w:rPr>
              <w:t>供应商为本项目配备的人员须包含项目经理、技术负责人、运维负责人、项目需求分析师、系统分析员及主要软件开发人员。原则上不允许更换，如需更换开发人员，必须经采购人同意。</w:t>
            </w:r>
          </w:p>
          <w:p>
            <w:pPr>
              <w:pStyle w:val="null3"/>
              <w:jc w:val="left"/>
            </w:pPr>
            <w:r>
              <w:rPr>
                <w:rFonts w:ascii="仿宋_GB2312" w:hAnsi="仿宋_GB2312" w:cs="仿宋_GB2312" w:eastAsia="仿宋_GB2312"/>
                <w:b/>
              </w:rPr>
              <w:t>六、等保测评及密码测评</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rPr>
              <w:t>配合采购人完成等保测评及密码测评工作，支付等保测评及密码测评费用。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供应商为本项目配备的人员须包含项目经理、技术负责人、运维负责人、项目需求分析师、系统分析员及主要软件开发人员。原则上不允许更换，如需更换开发人员，必须经采购人同意。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供应商根据服务需求和竞争性磋商文件要求自行响应。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签订合同之日起180天内建设完成，验收合格后提供2年的运维期（特殊情况以合同为准）。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该项目完成后，乙方向甲方申请验收，甲方组织相关人员(必要时邀请第三方专家)组成的验收小组对项目进行最终验收。验收依据为签订的合同文本、磋商文件、响应文件和国内相应的标准、规范。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（1）报价要求：1）投标报价以人民币填列；2）供应商的报价应包括：开发费、培训费、维护费、管理费、验收、税金、接口协议开放及数据结构对接等为完成磋商文件规定全部工作所需的一切费用。 （2）服务要求：1）详见项目需求书，供应商提供详细的服务方案；2）供应商须在响应文件中承诺，本次服务内容包含采购人已有或将来的各业务系统对接工作开放接口协议、数据结构等与对接相关的所有资料。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供应商需在项目电子化交易系统中按要求填写《投标函》完成承诺并进行电子签章。并在响应文件中附相关证明材料。</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供应商应授权合法的人员参加磋商全过程，法定代表人（负责人）委托代理人参加磋商时，应提供法定代表人委托授权书及被授权人的参保缴费证明；法定代表人（负责人）亲自参加磋商时，应提供法定代表人（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响应文件封面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标的清单 陕西省政府采购供应商拒绝政府采购领域商业贿赂承诺书 服务内容及服务要求应答表 报价表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标的清单 陕西省政府采购供应商拒绝政府采购领域商业贿赂承诺书 服务内容及服务要求应答表 报价表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响应文件中技术、服务内容达不到采购要求，出现重大负偏差</w:t>
            </w:r>
          </w:p>
        </w:tc>
        <w:tc>
          <w:tcPr>
            <w:tcW w:type="dxa" w:w="3322"/>
          </w:tcPr>
          <w:p>
            <w:pPr>
              <w:pStyle w:val="null3"/>
            </w:pPr>
            <w:r>
              <w:rPr>
                <w:rFonts w:ascii="仿宋_GB2312" w:hAnsi="仿宋_GB2312" w:cs="仿宋_GB2312" w:eastAsia="仿宋_GB2312"/>
              </w:rPr>
              <w:t>技术、服务内容达到采购要求，未出现重大负偏差</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 根据磋商文件内容及要求,提出适用于本项目的需求理解，方案包含：①项目建设背景；②目标需求分析（包括数据需求、功能需求、业务需求、对接需求）；③现状情况的理解和分析。二、评审标准 1、完整性：方案必须全面，对评审内容中的各项要求有详细描述； 2、可实施性：切合本项目实际情况，提出步骤清晰、合理的方案； 3、针对性：方案能够紧扣项目实际情况，内容科学合理。 三、赋分标准 (满分9分)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一、评审内容 根据磋商文件内容及要求,提出适用于本项目的总体设计方案，方案包含：①整体架构设计（含总体框架、网络数据框架及主要业务流程框架）；②功能组成；③信息编码规范；④各功能模块的实现方法；⑤数据对接与保障方案。二、评审标准 1、完整性：方案必须全面，对评审内容中的各项要求有详细描述； 2、可实施性：切合本项目实际情况，提出步骤清晰、合理的方案；3、针对性：方案能够紧扣项目实际情况， 内容科学合理。 三、赋分标准 (满分15分)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一、评审内容 根据磋商文件内容及要求,提出适用于本项目的组织实施方案，方案包含：①项目实施进度安排；②各任务阶段计划及目标；③本地化服务方案。二、评审标准 1、完整性：方案必须全面，对评审内容中的各项要求有详细描述； 2、可实施性：切合本项目实际情况，提出步骤清晰、合理的方案； 3、针对性：方案能够紧扣项目实际情况， 内容科学合理。 三、赋分标准 (满分9分)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重点把握突出、难点分析</w:t>
            </w:r>
          </w:p>
        </w:tc>
        <w:tc>
          <w:tcPr>
            <w:tcW w:type="dxa" w:w="2492"/>
          </w:tcPr>
          <w:p>
            <w:pPr>
              <w:pStyle w:val="null3"/>
            </w:pPr>
            <w:r>
              <w:rPr>
                <w:rFonts w:ascii="仿宋_GB2312" w:hAnsi="仿宋_GB2312" w:cs="仿宋_GB2312" w:eastAsia="仿宋_GB2312"/>
              </w:rPr>
              <w:t>一、评审内容 对本项目的重点把握突出、难点分析到位、提出针对性解决方案，方案包含：①重点、难点分析；②重难点应对措施。 二、评审标准 1、完整性：方案必须全面，对评审内容中的各项要求有详细描述； 2、可实施性：切合本项目实际情况，提出步骤清晰、合理的方案；3、针对性：方案能够紧扣项目实际情况， 内容科学合理。 三、赋分标准 (满分6分)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项目开发</w:t>
            </w:r>
          </w:p>
        </w:tc>
        <w:tc>
          <w:tcPr>
            <w:tcW w:type="dxa" w:w="2492"/>
          </w:tcPr>
          <w:p>
            <w:pPr>
              <w:pStyle w:val="null3"/>
            </w:pPr>
            <w:r>
              <w:rPr>
                <w:rFonts w:ascii="仿宋_GB2312" w:hAnsi="仿宋_GB2312" w:cs="仿宋_GB2312" w:eastAsia="仿宋_GB2312"/>
              </w:rPr>
              <w:t>一、评审内容 根据磋商文件内容及要求,对项目开发进行描述，方案包含：①开发方法、开发环境和开发技术；②系统运行的硬件、软件和网络环境。二、评审标准 1、完整性：方案必须全面，对评审内容中的各项要求有详细描述； 2、可实施性：切合本项目实际情况，提出步骤清晰、合理的方案； 3、针对性：方案能够紧扣项目实际情况， 内容科学合理。 三、赋分标准 (满分6分)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1、项目经理 ①具有信息系统项目管理师证书（软考）的得1分；②自2022年1月以来担任过类似项目的项目经理，得1分。（需提供证书的扫描件或电子证照；类似项目的合同（需体现项目经理姓名）） 2、项目团队其他成员（包含技术负责人、运维负责人、项目需求分析师、系统分析员及主要软件开发人员等）：①各专业岗位人员配备齐全，经验丰富，人员职责明确、分工科学合理，可高效支撑项目各阶段工作有序推进得9分； ②各专业岗位人员配备基本齐全，经验较丰富，人员职责基本明确、分工较科学，整体可保障项目正常开展得6分；③各专业岗位人员配备不齐全，经验欠缺，人员职责不明确、分工不科学，对项目推进效率存在一定影响得3分；④不能满足采购人需求或未提供得0分。（需提供上述人员名单、身份证、相关证书扫描件或电子证照以及供应商为上述人员缴纳的社保证明材料扫描件，并加盖公章。）</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售后及运维服务方案</w:t>
            </w:r>
          </w:p>
        </w:tc>
        <w:tc>
          <w:tcPr>
            <w:tcW w:type="dxa" w:w="2492"/>
          </w:tcPr>
          <w:p>
            <w:pPr>
              <w:pStyle w:val="null3"/>
            </w:pPr>
            <w:r>
              <w:rPr>
                <w:rFonts w:ascii="仿宋_GB2312" w:hAnsi="仿宋_GB2312" w:cs="仿宋_GB2312" w:eastAsia="仿宋_GB2312"/>
              </w:rPr>
              <w:t>一、评审内容 根据磋商文件内容及要求,提出适用于本项目的售后及运维服务方案，方案包含：①售后与运维管理服务人员资质；②运维能力及运维经验；③运维流程及响应时间。 二、评审标准 1、完整性：方案必须全面，对评审内容中的各项要求有详细描述； 2、可实施性：切合本项目实际情况，提出步骤清晰、合理的方案；3、针对性：方案能够紧扣项目实际情况， 内容科学合理。 三、赋分标准 (满分9分)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根据磋商文件内容及要求,提出适用于本项目的培训方案，方案包含：①培训计划（时长、地点、方式等）；②培训教师情况。 二、评审标准 1、完整性：方案必须全面，对评审内容中的各项要求有详细描述； 2、可实施性：切合本项目实际情况，提出步骤清晰、合理的方案；3、针对性：方案能够紧扣项目实际情况， 内容科学合理。 三、赋分标准 (满分6分)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系统安全、可靠性及可维护性</w:t>
            </w:r>
          </w:p>
        </w:tc>
        <w:tc>
          <w:tcPr>
            <w:tcW w:type="dxa" w:w="2492"/>
          </w:tcPr>
          <w:p>
            <w:pPr>
              <w:pStyle w:val="null3"/>
            </w:pPr>
            <w:r>
              <w:rPr>
                <w:rFonts w:ascii="仿宋_GB2312" w:hAnsi="仿宋_GB2312" w:cs="仿宋_GB2312" w:eastAsia="仿宋_GB2312"/>
              </w:rPr>
              <w:t>一、评审内容 根据磋商文件内容及要求,提供本系统的安全、可靠性及可维护性方案，方案包含：①如何发现和识别安全威胁及如何发现安全漏洞；②系统安全措施；③系统维护方式及扩展性能。 二、评审标准 1、完整性：措施必须全面，对评审内容中的各项要求有详细描述； 2、可实施性：切合本项目实际情况，提出步骤清晰、合理的措施； 3、针对性：措施能够紧扣项目实际情况， 内容科学合理。 三、赋分标准 (满分9分)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供应商自2022年1月1日以来(以合同签订时间为准)具有类似项目业绩的，每提供一个业绩得2.5分，最高得10分。未提供得0分。 注：响应文件中提供合同扫描件。合同须体现（服务内容、合同签订时间、供应商名称等）。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