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版本号：ZX2025-09-0120251011001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智能微纳器件操作与分析系统采购项目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ZX2025-09-01</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智能微纳器件操作与分析系统采购项目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ZX2025-09-01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智能微纳器件操作与分析系统采购项目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智能微纳器件操作与分析系统采购项目，1项。具体内容详见招标文件第3章。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张浥清 王宇轩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采购包1保证金金额：29,901.00元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说明：签订合同前，乙方应缴纳合同金额5%的履约保证金。项目验收合格后，甲方一次性无息退还5%的履约保证金。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代理服务费收费标准：参照国家计委计价格[2002]1980号文件收费标准下浮35%收取，由中标人支付代理服务费。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按照采购文件、中标人投标文件以及合同要求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联系电话：029-88110800转8033（649455437@qq.com）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陕西科技大学智能微纳器件操作与分析系统采购项目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智能微纳器件操作与分析系统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标的名称：智能微纳器件操作与分析系统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9"/>
              <w:gridCol w:w="324"/>
              <w:gridCol w:w="1584"/>
              <w:gridCol w:w="176"/>
              <w:gridCol w:w="259"/>
            </w:tblGrid>
            <w:tr>
              <w:tc>
                <w:tcPr>
                  <w:tcW w:type="dxa" w:w="209"/>
                  <w:tcBorders>
                    <w:top w:val="singl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序号</w:t>
                  </w:r>
                </w:p>
              </w:tc>
              <w:tc>
                <w:tcPr>
                  <w:tcW w:type="dxa" w:w="324"/>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名称</w:t>
                  </w:r>
                </w:p>
              </w:tc>
              <w:tc>
                <w:tcPr>
                  <w:tcW w:type="dxa" w:w="1584"/>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技术参数</w:t>
                  </w:r>
                </w:p>
              </w:tc>
              <w:tc>
                <w:tcPr>
                  <w:tcW w:type="dxa" w:w="176"/>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数量</w:t>
                  </w:r>
                </w:p>
              </w:tc>
              <w:tc>
                <w:tcPr>
                  <w:tcW w:type="dxa" w:w="259"/>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b/>
                      <w:color w:val="000000"/>
                    </w:rPr>
                    <w:t>备注</w:t>
                  </w:r>
                </w:p>
              </w:tc>
            </w:tr>
            <w:tr>
              <w:tc>
                <w:tcPr>
                  <w:tcW w:type="dxa" w:w="209"/>
                  <w:tcBorders>
                    <w:top w:val="non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1</w:t>
                  </w:r>
                </w:p>
              </w:tc>
              <w:tc>
                <w:tcPr>
                  <w:tcW w:type="dxa" w:w="324"/>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智能微纳器件操作与分析系统</w:t>
                  </w:r>
                </w:p>
              </w:tc>
              <w:tc>
                <w:tcPr>
                  <w:tcW w:type="dxa" w:w="1584"/>
                  <w:tcBorders>
                    <w:top w:val="none" w:color="000000" w:sz="4"/>
                    <w:left w:val="none" w:color="000000" w:sz="4"/>
                    <w:bottom w:val="single" w:color="000000" w:sz="4"/>
                    <w:right w:val="single" w:color="000000" w:sz="4"/>
                  </w:tcBorders>
                  <w:shd w:fill="FFFFFF"/>
                  <w:tcMar>
                    <w:top w:type="dxa" w:w="0"/>
                    <w:left w:type="dxa" w:w="75"/>
                    <w:bottom w:type="dxa" w:w="0"/>
                    <w:right w:type="dxa" w:w="0"/>
                  </w:tcMar>
                  <w:vAlign w:val="top"/>
                </w:tcPr>
                <w:p>
                  <w:pPr>
                    <w:pStyle w:val="null3"/>
                    <w:jc w:val="left"/>
                  </w:pPr>
                  <w:r>
                    <w:rPr>
                      <w:rFonts w:ascii="仿宋_GB2312" w:hAnsi="仿宋_GB2312" w:cs="仿宋_GB2312" w:eastAsia="仿宋_GB2312"/>
                      <w:sz w:val="21"/>
                      <w:color w:val="000000"/>
                    </w:rPr>
                    <w:t>技术参数及规格</w:t>
                  </w:r>
                </w:p>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、激光诱导击穿光谱测量系统</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1、中阶梯门控光谱仪：光谱范围200</w:t>
                  </w:r>
                  <w:r>
                    <w:rPr>
                      <w:rFonts w:ascii="仿宋_GB2312" w:hAnsi="仿宋_GB2312" w:cs="仿宋_GB2312" w:eastAsia="仿宋_GB2312"/>
                      <w:sz w:val="21"/>
                      <w:color w:val="000000"/>
                    </w:rPr>
                    <w:t>～</w:t>
                  </w:r>
                  <w:r>
                    <w:rPr>
                      <w:rFonts w:ascii="仿宋_GB2312" w:hAnsi="仿宋_GB2312" w:cs="仿宋_GB2312" w:eastAsia="仿宋_GB2312"/>
                      <w:sz w:val="21"/>
                      <w:color w:val="000000"/>
                    </w:rPr>
                    <w:t>900nm，波长分辨率≤0.08nm，波长精度≤0.5nm，最短光学快门优于500ps/3ns，光学增益 ≥1000，</w:t>
                  </w:r>
                  <w:r>
                    <w:rPr>
                      <w:rFonts w:ascii="仿宋_GB2312" w:hAnsi="仿宋_GB2312" w:cs="仿宋_GB2312" w:eastAsia="仿宋_GB2312"/>
                      <w:sz w:val="21"/>
                    </w:rPr>
                    <w:t>内置双通道同步时序控制器</w:t>
                  </w:r>
                  <w:r>
                    <w:rPr>
                      <w:rFonts w:ascii="仿宋_GB2312" w:hAnsi="仿宋_GB2312" w:cs="仿宋_GB2312" w:eastAsia="仿宋_GB2312"/>
                      <w:sz w:val="21"/>
                    </w:rPr>
                    <w:t>，</w:t>
                  </w:r>
                  <w:r>
                    <w:rPr>
                      <w:rFonts w:ascii="仿宋_GB2312" w:hAnsi="仿宋_GB2312" w:cs="仿宋_GB2312" w:eastAsia="仿宋_GB2312"/>
                      <w:sz w:val="21"/>
                    </w:rPr>
                    <w:t>同步精度</w:t>
                  </w:r>
                  <w:r>
                    <w:rPr>
                      <w:rFonts w:ascii="仿宋_GB2312" w:hAnsi="仿宋_GB2312" w:cs="仿宋_GB2312" w:eastAsia="仿宋_GB2312"/>
                      <w:sz w:val="21"/>
                    </w:rPr>
                    <w:t>≤</w:t>
                  </w:r>
                  <w:r>
                    <w:rPr>
                      <w:rFonts w:ascii="仿宋_GB2312" w:hAnsi="仿宋_GB2312" w:cs="仿宋_GB2312" w:eastAsia="仿宋_GB2312"/>
                      <w:sz w:val="21"/>
                    </w:rPr>
                    <w:t>2.5ns的双通道独立同步和延时输出</w:t>
                  </w:r>
                  <w:r>
                    <w:rPr>
                      <w:rFonts w:ascii="仿宋_GB2312" w:hAnsi="仿宋_GB2312" w:cs="仿宋_GB2312" w:eastAsia="仿宋_GB2312"/>
                      <w:sz w:val="21"/>
                    </w:rPr>
                    <w:t>，</w:t>
                  </w:r>
                  <w:r>
                    <w:rPr>
                      <w:rFonts w:ascii="仿宋_GB2312" w:hAnsi="仿宋_GB2312" w:cs="仿宋_GB2312" w:eastAsia="仿宋_GB2312"/>
                      <w:sz w:val="21"/>
                    </w:rPr>
                    <w:t>支持全功能二次开发</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2、</w:t>
                  </w:r>
                  <w:r>
                    <w:rPr>
                      <w:rFonts w:ascii="仿宋_GB2312" w:hAnsi="仿宋_GB2312" w:cs="仿宋_GB2312" w:eastAsia="仿宋_GB2312"/>
                      <w:sz w:val="21"/>
                      <w:color w:val="000000"/>
                    </w:rPr>
                    <w:t>高脉冲能量纳秒激光器：单脉冲能量</w:t>
                  </w:r>
                  <w:r>
                    <w:rPr>
                      <w:rFonts w:ascii="仿宋_GB2312" w:hAnsi="仿宋_GB2312" w:cs="仿宋_GB2312" w:eastAsia="仿宋_GB2312"/>
                      <w:sz w:val="21"/>
                      <w:color w:val="000000"/>
                    </w:rPr>
                    <w:t>≥300mJ@1064nm，重复频率范围不小于1</w:t>
                  </w:r>
                  <w:r>
                    <w:rPr>
                      <w:rFonts w:ascii="仿宋_GB2312" w:hAnsi="仿宋_GB2312" w:cs="仿宋_GB2312" w:eastAsia="仿宋_GB2312"/>
                      <w:sz w:val="21"/>
                      <w:color w:val="000000"/>
                    </w:rPr>
                    <w:t>～</w:t>
                  </w:r>
                  <w:r>
                    <w:rPr>
                      <w:rFonts w:ascii="仿宋_GB2312" w:hAnsi="仿宋_GB2312" w:cs="仿宋_GB2312" w:eastAsia="仿宋_GB2312"/>
                      <w:sz w:val="21"/>
                      <w:color w:val="000000"/>
                    </w:rPr>
                    <w:t>10Hz、脉冲宽度优于4</w:t>
                  </w:r>
                  <w:r>
                    <w:rPr>
                      <w:rFonts w:ascii="仿宋_GB2312" w:hAnsi="仿宋_GB2312" w:cs="仿宋_GB2312" w:eastAsia="仿宋_GB2312"/>
                      <w:sz w:val="21"/>
                      <w:color w:val="000000"/>
                    </w:rPr>
                    <w:t>～</w:t>
                  </w:r>
                  <w:r>
                    <w:rPr>
                      <w:rFonts w:ascii="仿宋_GB2312" w:hAnsi="仿宋_GB2312" w:cs="仿宋_GB2312" w:eastAsia="仿宋_GB2312"/>
                      <w:sz w:val="21"/>
                      <w:color w:val="000000"/>
                    </w:rPr>
                    <w:t>5ns，发散角</w:t>
                  </w:r>
                  <w:r>
                    <w:rPr>
                      <w:rFonts w:ascii="仿宋_GB2312" w:hAnsi="仿宋_GB2312" w:cs="仿宋_GB2312" w:eastAsia="仿宋_GB2312"/>
                      <w:sz w:val="21"/>
                    </w:rPr>
                    <w:t>≤</w:t>
                  </w:r>
                  <w:r>
                    <w:rPr>
                      <w:rFonts w:ascii="仿宋_GB2312" w:hAnsi="仿宋_GB2312" w:cs="仿宋_GB2312" w:eastAsia="仿宋_GB2312"/>
                      <w:sz w:val="21"/>
                      <w:color w:val="000000"/>
                    </w:rPr>
                    <w:t>1mrad，光束指向性</w:t>
                  </w:r>
                  <w:r>
                    <w:rPr>
                      <w:rFonts w:ascii="仿宋_GB2312" w:hAnsi="仿宋_GB2312" w:cs="仿宋_GB2312" w:eastAsia="仿宋_GB2312"/>
                      <w:sz w:val="21"/>
                    </w:rPr>
                    <w:t>≤</w:t>
                  </w:r>
                  <w:r>
                    <w:rPr>
                      <w:rFonts w:ascii="仿宋_GB2312" w:hAnsi="仿宋_GB2312" w:cs="仿宋_GB2312" w:eastAsia="仿宋_GB2312"/>
                      <w:sz w:val="21"/>
                      <w:color w:val="000000"/>
                    </w:rPr>
                    <w:t>20urad，灯泵寿命≥5×10</w:t>
                  </w:r>
                  <w:r>
                    <w:rPr>
                      <w:rFonts w:ascii="仿宋_GB2312" w:hAnsi="仿宋_GB2312" w:cs="仿宋_GB2312" w:eastAsia="仿宋_GB2312"/>
                      <w:sz w:val="21"/>
                      <w:color w:val="000000"/>
                      <w:vertAlign w:val="superscript"/>
                    </w:rPr>
                    <w:t>7</w:t>
                  </w:r>
                  <w:r>
                    <w:rPr>
                      <w:rFonts w:ascii="仿宋_GB2312" w:hAnsi="仿宋_GB2312" w:cs="仿宋_GB2312" w:eastAsia="仿宋_GB2312"/>
                      <w:sz w:val="21"/>
                      <w:color w:val="000000"/>
                    </w:rPr>
                    <w:t>次；</w:t>
                  </w:r>
                </w:p>
                <w:p>
                  <w:pPr>
                    <w:pStyle w:val="null3"/>
                    <w:jc w:val="left"/>
                  </w:pPr>
                  <w:r>
                    <w:rPr>
                      <w:rFonts w:ascii="仿宋_GB2312" w:hAnsi="仿宋_GB2312" w:cs="仿宋_GB2312" w:eastAsia="仿宋_GB2312"/>
                      <w:sz w:val="21"/>
                      <w:color w:val="000000"/>
                    </w:rPr>
                    <w:t>3、数字延时脉冲发生器：≥2个通道，脉宽分辨率</w:t>
                  </w:r>
                  <w:r>
                    <w:rPr>
                      <w:rFonts w:ascii="仿宋_GB2312" w:hAnsi="仿宋_GB2312" w:cs="仿宋_GB2312" w:eastAsia="仿宋_GB2312"/>
                      <w:sz w:val="21"/>
                    </w:rPr>
                    <w:t>≤</w:t>
                  </w:r>
                  <w:r>
                    <w:rPr>
                      <w:rFonts w:ascii="仿宋_GB2312" w:hAnsi="仿宋_GB2312" w:cs="仿宋_GB2312" w:eastAsia="仿宋_GB2312"/>
                      <w:sz w:val="21"/>
                      <w:color w:val="000000"/>
                    </w:rPr>
                    <w:t>8ns,最小脉宽</w:t>
                  </w:r>
                  <w:r>
                    <w:rPr>
                      <w:rFonts w:ascii="仿宋_GB2312" w:hAnsi="仿宋_GB2312" w:cs="仿宋_GB2312" w:eastAsia="仿宋_GB2312"/>
                      <w:sz w:val="21"/>
                    </w:rPr>
                    <w:t>≤</w:t>
                  </w:r>
                  <w:r>
                    <w:rPr>
                      <w:rFonts w:ascii="仿宋_GB2312" w:hAnsi="仿宋_GB2312" w:cs="仿宋_GB2312" w:eastAsia="仿宋_GB2312"/>
                      <w:sz w:val="21"/>
                      <w:color w:val="000000"/>
                    </w:rPr>
                    <w:t>100ns；</w:t>
                  </w:r>
                </w:p>
                <w:p>
                  <w:pPr>
                    <w:pStyle w:val="null3"/>
                    <w:jc w:val="left"/>
                  </w:pPr>
                  <w:r>
                    <w:rPr>
                      <w:rFonts w:ascii="仿宋_GB2312" w:hAnsi="仿宋_GB2312" w:cs="仿宋_GB2312" w:eastAsia="仿宋_GB2312"/>
                      <w:sz w:val="21"/>
                      <w:color w:val="000000"/>
                    </w:rPr>
                    <w:t>4、阻尼隔振光学平台：台面尺寸约2400 mm×1200 mm× 200 mm，高度 800 mm，固态橡胶阻尼隔振；</w:t>
                  </w:r>
                </w:p>
                <w:p>
                  <w:pPr>
                    <w:pStyle w:val="null3"/>
                    <w:jc w:val="left"/>
                  </w:pPr>
                  <w:r>
                    <w:rPr>
                      <w:rFonts w:ascii="仿宋_GB2312" w:hAnsi="仿宋_GB2312" w:cs="仿宋_GB2312" w:eastAsia="仿宋_GB2312"/>
                      <w:sz w:val="21"/>
                      <w:color w:val="000000"/>
                    </w:rPr>
                    <w:t>5、光学元件：40倍平场半复消色差干物镜，凸透镜（焦距F=50mm,100mm, 150mm, 200mm, 500mm），1/4玻片，半玻片各1个，1英寸银反射镜5个；</w:t>
                  </w:r>
                </w:p>
                <w:p>
                  <w:pPr>
                    <w:pStyle w:val="null3"/>
                    <w:jc w:val="left"/>
                  </w:pPr>
                  <w:r>
                    <w:rPr>
                      <w:rFonts w:ascii="仿宋_GB2312" w:hAnsi="仿宋_GB2312" w:cs="仿宋_GB2312" w:eastAsia="仿宋_GB2312"/>
                      <w:sz w:val="21"/>
                      <w:color w:val="000000"/>
                    </w:rPr>
                    <w:t>6、操作终端：CPU主频不低于3.2GH，六核，内存容量≥16GB，硬盘容量≥1TB，液晶显示器尺寸≥21.5英寸QHD显示器2个。</w:t>
                  </w:r>
                </w:p>
                <w:p>
                  <w:pPr>
                    <w:pStyle w:val="null3"/>
                    <w:jc w:val="left"/>
                  </w:pPr>
                  <w:r>
                    <w:rPr>
                      <w:rFonts w:ascii="仿宋_GB2312" w:hAnsi="仿宋_GB2312" w:cs="仿宋_GB2312" w:eastAsia="仿宋_GB2312"/>
                      <w:sz w:val="21"/>
                      <w:b/>
                      <w:color w:val="000000"/>
                    </w:rPr>
                    <w:t>二、光纤传感测试平台</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1、光谱分析仪：光谱范围600nm</w:t>
                  </w:r>
                  <w:r>
                    <w:rPr>
                      <w:rFonts w:ascii="仿宋_GB2312" w:hAnsi="仿宋_GB2312" w:cs="仿宋_GB2312" w:eastAsia="仿宋_GB2312"/>
                      <w:sz w:val="21"/>
                      <w:color w:val="000000"/>
                    </w:rPr>
                    <w:t>～</w:t>
                  </w:r>
                  <w:r>
                    <w:rPr>
                      <w:rFonts w:ascii="仿宋_GB2312" w:hAnsi="仿宋_GB2312" w:cs="仿宋_GB2312" w:eastAsia="仿宋_GB2312"/>
                      <w:sz w:val="21"/>
                      <w:color w:val="000000"/>
                    </w:rPr>
                    <w:t>1700nm，波长精度≤</w:t>
                  </w:r>
                  <w:r>
                    <w:rPr>
                      <w:rFonts w:ascii="仿宋_GB2312" w:hAnsi="仿宋_GB2312" w:cs="仿宋_GB2312" w:eastAsia="仿宋_GB2312"/>
                      <w:sz w:val="21"/>
                    </w:rPr>
                    <w:t>0.02nm（1520～1620nm）</w:t>
                  </w:r>
                  <w:r>
                    <w:rPr>
                      <w:rFonts w:ascii="仿宋_GB2312" w:hAnsi="仿宋_GB2312" w:cs="仿宋_GB2312" w:eastAsia="仿宋_GB2312"/>
                      <w:sz w:val="21"/>
                    </w:rPr>
                    <w:t>和</w:t>
                  </w:r>
                  <w:r>
                    <w:rPr>
                      <w:rFonts w:ascii="仿宋_GB2312" w:hAnsi="仿宋_GB2312" w:cs="仿宋_GB2312" w:eastAsia="仿宋_GB2312"/>
                      <w:sz w:val="21"/>
                    </w:rPr>
                    <w:t>±0.10nm（全波长范围）</w:t>
                  </w:r>
                  <w:r>
                    <w:rPr>
                      <w:rFonts w:ascii="仿宋_GB2312" w:hAnsi="仿宋_GB2312" w:cs="仿宋_GB2312" w:eastAsia="仿宋_GB2312"/>
                      <w:sz w:val="21"/>
                      <w:color w:val="000000"/>
                    </w:rPr>
                    <w:t>，最小采样分辨率</w:t>
                  </w:r>
                  <w:r>
                    <w:rPr>
                      <w:rFonts w:ascii="仿宋_GB2312" w:hAnsi="仿宋_GB2312" w:cs="仿宋_GB2312" w:eastAsia="仿宋_GB2312"/>
                      <w:sz w:val="21"/>
                      <w:color w:val="000000"/>
                    </w:rPr>
                    <w:t>≤0.001nm，功率精度≤0.4dB，杂散光抑制率至少78dB，采样点数≥50000，</w:t>
                  </w:r>
                  <w:r>
                    <w:rPr>
                      <w:rFonts w:ascii="仿宋_GB2312" w:hAnsi="仿宋_GB2312" w:cs="仿宋_GB2312" w:eastAsia="仿宋_GB2312"/>
                      <w:sz w:val="21"/>
                    </w:rPr>
                    <w:t>灵敏度</w:t>
                  </w:r>
                  <w:r>
                    <w:rPr>
                      <w:rFonts w:ascii="仿宋_GB2312" w:hAnsi="仿宋_GB2312" w:cs="仿宋_GB2312" w:eastAsia="仿宋_GB2312"/>
                      <w:sz w:val="21"/>
                    </w:rPr>
                    <w:t>优于</w:t>
                  </w:r>
                  <w:r>
                    <w:rPr>
                      <w:rFonts w:ascii="仿宋_GB2312" w:hAnsi="仿宋_GB2312" w:cs="仿宋_GB2312" w:eastAsia="仿宋_GB2312"/>
                      <w:sz w:val="21"/>
                    </w:rPr>
                    <w:t>-90dBm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2、ASE宽带光源：光源带宽范围1528</w:t>
                  </w:r>
                  <w:r>
                    <w:rPr>
                      <w:rFonts w:ascii="仿宋_GB2312" w:hAnsi="仿宋_GB2312" w:cs="仿宋_GB2312" w:eastAsia="仿宋_GB2312"/>
                      <w:sz w:val="21"/>
                      <w:color w:val="000000"/>
                    </w:rPr>
                    <w:t>～</w:t>
                  </w:r>
                  <w:r>
                    <w:rPr>
                      <w:rFonts w:ascii="仿宋_GB2312" w:hAnsi="仿宋_GB2312" w:cs="仿宋_GB2312" w:eastAsia="仿宋_GB2312"/>
                      <w:sz w:val="21"/>
                      <w:color w:val="000000"/>
                    </w:rPr>
                    <w:t>1603nm，输出功率≥20mW，C波段输出光谱平坦度优于1dB，光源功率输出短期稳定性≤0.02dB（15分钟）。</w:t>
                  </w:r>
                </w:p>
                <w:p>
                  <w:pPr>
                    <w:pStyle w:val="null3"/>
                    <w:jc w:val="left"/>
                  </w:pPr>
                  <w:r>
                    <w:rPr>
                      <w:rFonts w:ascii="仿宋_GB2312" w:hAnsi="仿宋_GB2312" w:cs="仿宋_GB2312" w:eastAsia="仿宋_GB2312"/>
                      <w:sz w:val="21"/>
                      <w:color w:val="000000"/>
                    </w:rPr>
                    <w:t>3、光纤熔接机：六马达干线光纤熔接机，适用光纤 G651/G652/G653/G654/G655/G657 等，包层直径80～150µm，操作模式手动和自动，5 英寸彩色显示器，按键+触摸双操作，智能化操作系统，电弧自动校准，光纤位置实时纠正，三合一夹具适用于多种光纤类型，工业化设计，防水、防尘、防震；</w:t>
                  </w:r>
                </w:p>
                <w:p>
                  <w:pPr>
                    <w:pStyle w:val="null3"/>
                    <w:jc w:val="left"/>
                  </w:pPr>
                  <w:r>
                    <w:rPr>
                      <w:rFonts w:ascii="仿宋_GB2312" w:hAnsi="仿宋_GB2312" w:cs="仿宋_GB2312" w:eastAsia="仿宋_GB2312"/>
                      <w:sz w:val="21"/>
                      <w:color w:val="000000"/>
                    </w:rPr>
                    <w:t>4、阻尼隔振光学平台：台面尺寸约2400 mm×1200 mm× 200 mm，高度 800 mm，固态橡胶阻尼隔振；</w:t>
                  </w:r>
                </w:p>
                <w:p>
                  <w:pPr>
                    <w:pStyle w:val="null3"/>
                    <w:jc w:val="left"/>
                  </w:pPr>
                  <w:r>
                    <w:rPr>
                      <w:rFonts w:ascii="仿宋_GB2312" w:hAnsi="仿宋_GB2312" w:cs="仿宋_GB2312" w:eastAsia="仿宋_GB2312"/>
                      <w:sz w:val="21"/>
                      <w:color w:val="000000"/>
                    </w:rPr>
                    <w:t>5、超声波铝丝焊线机：铝丝直径</w:t>
                  </w:r>
                  <w:r>
                    <w:rPr>
                      <w:rFonts w:ascii="仿宋_GB2312" w:hAnsi="仿宋_GB2312" w:cs="仿宋_GB2312" w:eastAsia="仿宋_GB2312"/>
                      <w:sz w:val="21"/>
                      <w:color w:val="000000"/>
                    </w:rPr>
                    <w:t>18</w:t>
                  </w:r>
                  <w:r>
                    <w:rPr>
                      <w:rFonts w:ascii="仿宋_GB2312" w:hAnsi="仿宋_GB2312" w:cs="仿宋_GB2312" w:eastAsia="仿宋_GB2312"/>
                      <w:sz w:val="21"/>
                      <w:color w:val="000000"/>
                    </w:rPr>
                    <w:t>µ</w:t>
                  </w:r>
                  <w:r>
                    <w:rPr>
                      <w:rFonts w:ascii="仿宋_GB2312" w:hAnsi="仿宋_GB2312" w:cs="仿宋_GB2312" w:eastAsia="仿宋_GB2312"/>
                      <w:sz w:val="21"/>
                      <w:color w:val="000000"/>
                    </w:rPr>
                    <w:t>m</w:t>
                  </w:r>
                  <w:r>
                    <w:rPr>
                      <w:rFonts w:ascii="仿宋_GB2312" w:hAnsi="仿宋_GB2312" w:cs="仿宋_GB2312" w:eastAsia="仿宋_GB2312"/>
                      <w:sz w:val="21"/>
                      <w:color w:val="000000"/>
                    </w:rPr>
                    <w:t>～</w:t>
                  </w:r>
                  <w:r>
                    <w:rPr>
                      <w:rFonts w:ascii="仿宋_GB2312" w:hAnsi="仿宋_GB2312" w:cs="仿宋_GB2312" w:eastAsia="仿宋_GB2312"/>
                      <w:sz w:val="21"/>
                      <w:color w:val="000000"/>
                    </w:rPr>
                    <w:t>75</w:t>
                  </w:r>
                  <w:r>
                    <w:rPr>
                      <w:rFonts w:ascii="仿宋_GB2312" w:hAnsi="仿宋_GB2312" w:cs="仿宋_GB2312" w:eastAsia="仿宋_GB2312"/>
                      <w:sz w:val="21"/>
                      <w:color w:val="000000"/>
                    </w:rPr>
                    <w:t>µ</w:t>
                  </w:r>
                  <w:r>
                    <w:rPr>
                      <w:rFonts w:ascii="仿宋_GB2312" w:hAnsi="仿宋_GB2312" w:cs="仿宋_GB2312" w:eastAsia="仿宋_GB2312"/>
                      <w:sz w:val="21"/>
                      <w:color w:val="000000"/>
                    </w:rPr>
                    <w:t>m</w:t>
                  </w:r>
                  <w:r>
                    <w:rPr>
                      <w:rFonts w:ascii="仿宋_GB2312" w:hAnsi="仿宋_GB2312" w:cs="仿宋_GB2312" w:eastAsia="仿宋_GB2312"/>
                      <w:sz w:val="21"/>
                      <w:color w:val="000000"/>
                    </w:rPr>
                    <w:t>，焊线跨度</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10mm(步进电机,数控调整)，焊接弧度0</w:t>
                  </w:r>
                  <w:r>
                    <w:rPr>
                      <w:rFonts w:ascii="仿宋_GB2312" w:hAnsi="仿宋_GB2312" w:cs="仿宋_GB2312" w:eastAsia="仿宋_GB2312"/>
                      <w:sz w:val="21"/>
                      <w:color w:val="000000"/>
                    </w:rPr>
                    <w:t>～</w:t>
                  </w:r>
                  <w:r>
                    <w:rPr>
                      <w:rFonts w:ascii="仿宋_GB2312" w:hAnsi="仿宋_GB2312" w:cs="仿宋_GB2312" w:eastAsia="仿宋_GB2312"/>
                      <w:sz w:val="21"/>
                      <w:color w:val="000000"/>
                    </w:rPr>
                    <w:t>6mm(数控调整，2通道超声波功率0</w:t>
                  </w:r>
                  <w:r>
                    <w:rPr>
                      <w:rFonts w:ascii="仿宋_GB2312" w:hAnsi="仿宋_GB2312" w:cs="仿宋_GB2312" w:eastAsia="仿宋_GB2312"/>
                      <w:sz w:val="21"/>
                      <w:color w:val="000000"/>
                    </w:rPr>
                    <w:t>～</w:t>
                  </w:r>
                  <w:r>
                    <w:rPr>
                      <w:rFonts w:ascii="仿宋_GB2312" w:hAnsi="仿宋_GB2312" w:cs="仿宋_GB2312" w:eastAsia="仿宋_GB2312"/>
                      <w:sz w:val="21"/>
                      <w:color w:val="000000"/>
                    </w:rPr>
                    <w:t>5w(连续可调)，圆盘工作台直径≥125mm,</w:t>
                  </w:r>
                  <w:r>
                    <w:rPr>
                      <w:rFonts w:ascii="仿宋_GB2312" w:hAnsi="仿宋_GB2312" w:cs="仿宋_GB2312" w:eastAsia="仿宋_GB2312"/>
                      <w:sz w:val="21"/>
                    </w:rPr>
                    <w:t xml:space="preserve"> </w:t>
                  </w:r>
                  <w:r>
                    <w:rPr>
                      <w:rFonts w:ascii="仿宋_GB2312" w:hAnsi="仿宋_GB2312" w:cs="仿宋_GB2312" w:eastAsia="仿宋_GB2312"/>
                      <w:sz w:val="21"/>
                      <w:color w:val="000000"/>
                    </w:rPr>
                    <w:t>最小位移优于</w:t>
                  </w:r>
                  <w:r>
                    <w:rPr>
                      <w:rFonts w:ascii="仿宋_GB2312" w:hAnsi="仿宋_GB2312" w:cs="仿宋_GB2312" w:eastAsia="仿宋_GB2312"/>
                      <w:sz w:val="21"/>
                      <w:color w:val="000000"/>
                    </w:rPr>
                    <w:t>0.1mil,</w:t>
                  </w:r>
                  <w:r>
                    <w:rPr>
                      <w:rFonts w:ascii="仿宋_GB2312" w:hAnsi="仿宋_GB2312" w:cs="仿宋_GB2312" w:eastAsia="仿宋_GB2312"/>
                      <w:sz w:val="21"/>
                    </w:rPr>
                    <w:t xml:space="preserve"> </w:t>
                  </w:r>
                  <w:r>
                    <w:rPr>
                      <w:rFonts w:ascii="仿宋_GB2312" w:hAnsi="仿宋_GB2312" w:cs="仿宋_GB2312" w:eastAsia="仿宋_GB2312"/>
                      <w:sz w:val="21"/>
                      <w:color w:val="000000"/>
                    </w:rPr>
                    <w:t>显微镜放大倍数两档变倍</w:t>
                  </w:r>
                  <w:r>
                    <w:rPr>
                      <w:rFonts w:ascii="仿宋_GB2312" w:hAnsi="仿宋_GB2312" w:cs="仿宋_GB2312" w:eastAsia="仿宋_GB2312"/>
                      <w:sz w:val="21"/>
                      <w:color w:val="000000"/>
                    </w:rPr>
                    <w:t>15和 30 倍；</w:t>
                  </w:r>
                </w:p>
                <w:p>
                  <w:pPr>
                    <w:pStyle w:val="null3"/>
                    <w:jc w:val="left"/>
                  </w:pPr>
                  <w:r>
                    <w:rPr>
                      <w:rFonts w:ascii="仿宋_GB2312" w:hAnsi="仿宋_GB2312" w:cs="仿宋_GB2312" w:eastAsia="仿宋_GB2312"/>
                      <w:sz w:val="21"/>
                      <w:color w:val="000000"/>
                    </w:rPr>
                    <w:t>6、二氧化碳激光打标机：激光波长10.6µm,</w:t>
                  </w:r>
                  <w:r>
                    <w:rPr>
                      <w:rFonts w:ascii="仿宋_GB2312" w:hAnsi="仿宋_GB2312" w:cs="仿宋_GB2312" w:eastAsia="仿宋_GB2312"/>
                      <w:sz w:val="21"/>
                    </w:rPr>
                    <w:t xml:space="preserve"> </w:t>
                  </w:r>
                  <w:r>
                    <w:rPr>
                      <w:rFonts w:ascii="仿宋_GB2312" w:hAnsi="仿宋_GB2312" w:cs="仿宋_GB2312" w:eastAsia="仿宋_GB2312"/>
                      <w:sz w:val="21"/>
                      <w:color w:val="000000"/>
                    </w:rPr>
                    <w:t>激光功率</w:t>
                  </w:r>
                  <w:r>
                    <w:rPr>
                      <w:rFonts w:ascii="仿宋_GB2312" w:hAnsi="仿宋_GB2312" w:cs="仿宋_GB2312" w:eastAsia="仿宋_GB2312"/>
                      <w:sz w:val="21"/>
                      <w:color w:val="000000"/>
                    </w:rPr>
                    <w:t>≥40W,</w:t>
                  </w:r>
                  <w:r>
                    <w:rPr>
                      <w:rFonts w:ascii="仿宋_GB2312" w:hAnsi="仿宋_GB2312" w:cs="仿宋_GB2312" w:eastAsia="仿宋_GB2312"/>
                      <w:sz w:val="21"/>
                    </w:rPr>
                    <w:t xml:space="preserve"> </w:t>
                  </w:r>
                  <w:r>
                    <w:rPr>
                      <w:rFonts w:ascii="仿宋_GB2312" w:hAnsi="仿宋_GB2312" w:cs="仿宋_GB2312" w:eastAsia="仿宋_GB2312"/>
                      <w:sz w:val="21"/>
                      <w:color w:val="000000"/>
                    </w:rPr>
                    <w:t>标记范围不小于</w:t>
                  </w:r>
                  <w:r>
                    <w:rPr>
                      <w:rFonts w:ascii="仿宋_GB2312" w:hAnsi="仿宋_GB2312" w:cs="仿宋_GB2312" w:eastAsia="仿宋_GB2312"/>
                      <w:sz w:val="21"/>
                      <w:color w:val="000000"/>
                    </w:rPr>
                    <w:t>110mmx110mm,</w:t>
                  </w:r>
                  <w:r>
                    <w:rPr>
                      <w:rFonts w:ascii="仿宋_GB2312" w:hAnsi="仿宋_GB2312" w:cs="仿宋_GB2312" w:eastAsia="仿宋_GB2312"/>
                      <w:sz w:val="21"/>
                    </w:rPr>
                    <w:t xml:space="preserve"> </w:t>
                  </w:r>
                  <w:r>
                    <w:rPr>
                      <w:rFonts w:ascii="仿宋_GB2312" w:hAnsi="仿宋_GB2312" w:cs="仿宋_GB2312" w:eastAsia="仿宋_GB2312"/>
                      <w:sz w:val="21"/>
                      <w:color w:val="000000"/>
                    </w:rPr>
                    <w:t>打标速度</w:t>
                  </w:r>
                  <w:r>
                    <w:rPr>
                      <w:rFonts w:ascii="仿宋_GB2312" w:hAnsi="仿宋_GB2312" w:cs="仿宋_GB2312" w:eastAsia="仿宋_GB2312"/>
                      <w:sz w:val="21"/>
                      <w:color w:val="000000"/>
                    </w:rPr>
                    <w:t>≤15000mm/s,风冷；</w:t>
                  </w:r>
                </w:p>
                <w:p>
                  <w:pPr>
                    <w:pStyle w:val="null3"/>
                    <w:jc w:val="left"/>
                  </w:pPr>
                  <w:r>
                    <w:rPr>
                      <w:rFonts w:ascii="仿宋_GB2312" w:hAnsi="仿宋_GB2312" w:cs="仿宋_GB2312" w:eastAsia="仿宋_GB2312"/>
                      <w:sz w:val="21"/>
                      <w:color w:val="000000"/>
                    </w:rPr>
                    <w:t>7、波长可调谐光源：波长范围1529</w:t>
                  </w:r>
                  <w:r>
                    <w:rPr>
                      <w:rFonts w:ascii="仿宋_GB2312" w:hAnsi="仿宋_GB2312" w:cs="仿宋_GB2312" w:eastAsia="仿宋_GB2312"/>
                      <w:sz w:val="21"/>
                      <w:color w:val="000000"/>
                    </w:rPr>
                    <w:t>～</w:t>
                  </w:r>
                  <w:r>
                    <w:rPr>
                      <w:rFonts w:ascii="仿宋_GB2312" w:hAnsi="仿宋_GB2312" w:cs="仿宋_GB2312" w:eastAsia="仿宋_GB2312"/>
                      <w:sz w:val="21"/>
                      <w:color w:val="000000"/>
                    </w:rPr>
                    <w:t>1567 nm，波长分辨率≤10pm，输出功率≥15.5dBm，波长精度≤10pm；</w:t>
                  </w:r>
                </w:p>
                <w:p>
                  <w:pPr>
                    <w:pStyle w:val="null3"/>
                    <w:jc w:val="left"/>
                  </w:pPr>
                  <w:r>
                    <w:rPr>
                      <w:rFonts w:ascii="仿宋_GB2312" w:hAnsi="仿宋_GB2312" w:cs="仿宋_GB2312" w:eastAsia="仿宋_GB2312"/>
                      <w:sz w:val="21"/>
                      <w:color w:val="000000"/>
                    </w:rPr>
                    <w:t>8、配备多功能光时域反射仪一台：中心波长1310nm、1550nm、1610nm ±20nm（可选），光功率计测量范围-70dBm至+6dBm或-50dBm至+26dBm（可选），VFL输出功率&gt;10mW，稳定光源输出波长及功率1310nm、1550nm、1610nm（可选），输出功率≥-7dBm；</w:t>
                  </w:r>
                </w:p>
                <w:p>
                  <w:pPr>
                    <w:pStyle w:val="null3"/>
                    <w:jc w:val="left"/>
                  </w:pPr>
                  <w:r>
                    <w:rPr>
                      <w:rFonts w:ascii="仿宋_GB2312" w:hAnsi="仿宋_GB2312" w:cs="仿宋_GB2312" w:eastAsia="仿宋_GB2312"/>
                      <w:sz w:val="21"/>
                      <w:color w:val="000000"/>
                    </w:rPr>
                    <w:t>9、光纤偏振控制器：工作波长</w:t>
                  </w:r>
                  <w:r>
                    <w:rPr>
                      <w:rFonts w:ascii="仿宋_GB2312" w:hAnsi="仿宋_GB2312" w:cs="仿宋_GB2312" w:eastAsia="仿宋_GB2312"/>
                      <w:sz w:val="21"/>
                      <w:color w:val="000000"/>
                    </w:rPr>
                    <w:t>1550</w:t>
                  </w:r>
                  <w:r>
                    <w:rPr>
                      <w:rFonts w:ascii="仿宋_GB2312" w:hAnsi="仿宋_GB2312" w:cs="仿宋_GB2312" w:eastAsia="仿宋_GB2312"/>
                      <w:sz w:val="21"/>
                      <w:color w:val="000000"/>
                    </w:rPr>
                    <w:t>nm，插入损耗≤</w:t>
                  </w:r>
                  <w:r>
                    <w:rPr>
                      <w:rFonts w:ascii="仿宋_GB2312" w:hAnsi="仿宋_GB2312" w:cs="仿宋_GB2312" w:eastAsia="仿宋_GB2312"/>
                      <w:sz w:val="21"/>
                      <w:color w:val="000000"/>
                    </w:rPr>
                    <w:t>0.5</w:t>
                  </w:r>
                  <w:r>
                    <w:rPr>
                      <w:rFonts w:ascii="仿宋_GB2312" w:hAnsi="仿宋_GB2312" w:cs="仿宋_GB2312" w:eastAsia="仿宋_GB2312"/>
                      <w:sz w:val="21"/>
                      <w:color w:val="000000"/>
                    </w:rPr>
                    <w:t>dB，回损≤50dB；</w:t>
                  </w:r>
                </w:p>
                <w:p>
                  <w:pPr>
                    <w:pStyle w:val="null3"/>
                    <w:jc w:val="left"/>
                  </w:pPr>
                  <w:r>
                    <w:rPr>
                      <w:rFonts w:ascii="仿宋_GB2312" w:hAnsi="仿宋_GB2312" w:cs="仿宋_GB2312" w:eastAsia="仿宋_GB2312"/>
                      <w:sz w:val="21"/>
                      <w:color w:val="000000"/>
                    </w:rPr>
                    <w:t>10、机械式光衰减器：工作波长范围1250</w:t>
                  </w:r>
                  <w:r>
                    <w:rPr>
                      <w:rFonts w:ascii="仿宋_GB2312" w:hAnsi="仿宋_GB2312" w:cs="仿宋_GB2312" w:eastAsia="仿宋_GB2312"/>
                      <w:sz w:val="21"/>
                      <w:color w:val="000000"/>
                    </w:rPr>
                    <w:t>～</w:t>
                  </w:r>
                  <w:r>
                    <w:rPr>
                      <w:rFonts w:ascii="仿宋_GB2312" w:hAnsi="仿宋_GB2312" w:cs="仿宋_GB2312" w:eastAsia="仿宋_GB2312"/>
                      <w:sz w:val="21"/>
                      <w:color w:val="000000"/>
                    </w:rPr>
                    <w:t>1650 nm，插损≤0.6dB，衰减量≤60dB，最大功率≥500mW；</w:t>
                  </w:r>
                </w:p>
                <w:p>
                  <w:pPr>
                    <w:pStyle w:val="null3"/>
                    <w:jc w:val="left"/>
                  </w:pPr>
                  <w:r>
                    <w:rPr>
                      <w:rFonts w:ascii="仿宋_GB2312" w:hAnsi="仿宋_GB2312" w:cs="仿宋_GB2312" w:eastAsia="仿宋_GB2312"/>
                      <w:sz w:val="21"/>
                      <w:color w:val="000000"/>
                    </w:rPr>
                    <w:t>11、近红外光谱测量仪器附件：通用积分球，标准漫反射标准白板，反射探头2个，四通比色皿池；</w:t>
                  </w:r>
                </w:p>
                <w:p>
                  <w:pPr>
                    <w:pStyle w:val="null3"/>
                    <w:jc w:val="left"/>
                  </w:pPr>
                  <w:r>
                    <w:rPr>
                      <w:rFonts w:ascii="仿宋_GB2312" w:hAnsi="仿宋_GB2312" w:cs="仿宋_GB2312" w:eastAsia="仿宋_GB2312"/>
                      <w:sz w:val="21"/>
                      <w:color w:val="000000"/>
                    </w:rPr>
                    <w:t>12、实验室洁净间改造：面积≥16m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，洁净等级千级，室内温度可控，温度控制精度</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b/>
                      <w:color w:val="000000"/>
                    </w:rPr>
                    <w:t>三、压电器件测试平台</w:t>
                  </w:r>
                </w:p>
                <w:p>
                  <w:pPr>
                    <w:pStyle w:val="null3"/>
                    <w:jc w:val="left"/>
                  </w:pPr>
                  <w:r>
                    <w:rPr>
                      <w:rFonts w:ascii="仿宋_GB2312" w:hAnsi="仿宋_GB2312" w:cs="仿宋_GB2312" w:eastAsia="仿宋_GB2312"/>
                      <w:sz w:val="21"/>
                      <w:color w:val="000000"/>
                    </w:rPr>
                    <w:t>阻抗分析仪：</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20Hz-120MHz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2.宽带自动调零自动平衡电桥，四端对测试配置。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基本精度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4.信号源电压≥1Vrms，电流≥20mArms。</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5.直流偏置电压-40V - +40V，直流偏置电流-100mA - +100mA。</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根据测试需求具有升级扩展至不低于</w:t>
                  </w:r>
                  <w:r>
                    <w:rPr>
                      <w:rFonts w:ascii="仿宋_GB2312" w:hAnsi="仿宋_GB2312" w:cs="仿宋_GB2312" w:eastAsia="仿宋_GB2312"/>
                      <w:sz w:val="21"/>
                      <w:color w:val="000000"/>
                    </w:rPr>
                    <w:t>900V</w:t>
                  </w:r>
                  <w:r>
                    <w:rPr>
                      <w:rFonts w:ascii="仿宋_GB2312" w:hAnsi="仿宋_GB2312" w:cs="仿宋_GB2312" w:eastAsia="仿宋_GB2312"/>
                      <w:sz w:val="21"/>
                      <w:color w:val="000000"/>
                    </w:rPr>
                    <w:t>测试能力，解决传感器测试问题。</w:t>
                  </w:r>
                </w:p>
                <w:p>
                  <w:pPr>
                    <w:pStyle w:val="null3"/>
                    <w:jc w:val="left"/>
                  </w:pPr>
                  <w:r>
                    <w:rPr>
                      <w:rFonts w:ascii="仿宋_GB2312" w:hAnsi="仿宋_GB2312" w:cs="仿宋_GB2312" w:eastAsia="仿宋_GB2312"/>
                      <w:sz w:val="21"/>
                      <w:color w:val="000000"/>
                    </w:rPr>
                    <w:t>7.触摸屏。</w:t>
                  </w:r>
                </w:p>
                <w:p>
                  <w:pPr>
                    <w:pStyle w:val="null3"/>
                    <w:jc w:val="left"/>
                  </w:pPr>
                  <w:r>
                    <w:rPr>
                      <w:rFonts w:ascii="仿宋_GB2312" w:hAnsi="仿宋_GB2312" w:cs="仿宋_GB2312" w:eastAsia="仿宋_GB2312"/>
                      <w:sz w:val="21"/>
                      <w:color w:val="000000"/>
                    </w:rPr>
                    <w:t>8.四参数点测、列表扫描、图形扫描三种方式。</w:t>
                  </w:r>
                </w:p>
                <w:p>
                  <w:pPr>
                    <w:pStyle w:val="null3"/>
                    <w:jc w:val="left"/>
                  </w:pPr>
                  <w:r>
                    <w:rPr>
                      <w:rFonts w:ascii="仿宋_GB2312" w:hAnsi="仿宋_GB2312" w:cs="仿宋_GB2312" w:eastAsia="仿宋_GB2312"/>
                      <w:sz w:val="21"/>
                      <w:color w:val="000000"/>
                    </w:rPr>
                    <w:t>9. 1600点多参数列表扫描功能。</w:t>
                  </w:r>
                </w:p>
                <w:p>
                  <w:pPr>
                    <w:pStyle w:val="null3"/>
                    <w:jc w:val="left"/>
                  </w:pPr>
                  <w:r>
                    <w:rPr>
                      <w:rFonts w:ascii="仿宋_GB2312" w:hAnsi="仿宋_GB2312" w:cs="仿宋_GB2312" w:eastAsia="仿宋_GB2312"/>
                      <w:sz w:val="21"/>
                      <w:color w:val="000000"/>
                    </w:rPr>
                    <w:t>10.具有等效电路仿真、晶振分析、分段扫描、曲线分选。</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11.配备激光位移传感器3套，位移测量范围：0～2mm，重复测量精度≤20nm。</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12.配备线性位移台3台，输出行程≥3mm，位移分辨率≤15µm。</w:t>
                  </w:r>
                </w:p>
                <w:p>
                  <w:pPr>
                    <w:pStyle w:val="null3"/>
                    <w:jc w:val="left"/>
                  </w:pPr>
                  <w:r>
                    <w:rPr>
                      <w:rFonts w:ascii="仿宋_GB2312" w:hAnsi="仿宋_GB2312" w:cs="仿宋_GB2312" w:eastAsia="仿宋_GB2312"/>
                      <w:sz w:val="21"/>
                      <w:color w:val="000000"/>
                    </w:rPr>
                    <w:t>13.隔振平台1台，隔振方式：气浮，平台振幅≤1.5µm，台面钢构，哑光处理，工作台面：三层夹心式蜂窝结构，平台尺寸不低于1200＊800＊800mm。</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数据采集系统</w:t>
                  </w:r>
                  <w:r>
                    <w:rPr>
                      <w:rFonts w:ascii="仿宋_GB2312" w:hAnsi="仿宋_GB2312" w:cs="仿宋_GB2312" w:eastAsia="仿宋_GB2312"/>
                      <w:sz w:val="21"/>
                      <w:color w:val="000000"/>
                    </w:rPr>
                    <w:t>1台，通道数≥6通道，标配通信接口：USB Device、USB Host、GPIB、 LAN (LXI Core 2011 Device)、RS232，电压采样频率≥200KHz/s。</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便携式高压电源</w:t>
                  </w:r>
                  <w:r>
                    <w:rPr>
                      <w:rFonts w:ascii="仿宋_GB2312" w:hAnsi="仿宋_GB2312" w:cs="仿宋_GB2312" w:eastAsia="仿宋_GB2312"/>
                      <w:sz w:val="21"/>
                      <w:color w:val="000000"/>
                    </w:rPr>
                    <w:t>1台，输出电压范围不小于0</w:t>
                  </w:r>
                  <w:r>
                    <w:rPr>
                      <w:rFonts w:ascii="仿宋_GB2312" w:hAnsi="仿宋_GB2312" w:cs="仿宋_GB2312" w:eastAsia="仿宋_GB2312"/>
                      <w:sz w:val="21"/>
                      <w:color w:val="000000"/>
                    </w:rPr>
                    <w:t>～</w:t>
                  </w:r>
                  <w:r>
                    <w:rPr>
                      <w:rFonts w:ascii="仿宋_GB2312" w:hAnsi="仿宋_GB2312" w:cs="仿宋_GB2312" w:eastAsia="仿宋_GB2312"/>
                      <w:sz w:val="21"/>
                      <w:color w:val="000000"/>
                    </w:rPr>
                    <w:t>30KV，电压调整率≤0.1%；负载调整率≤0.5%；输出功率≤100W。</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静电计配套转接卡</w:t>
                  </w:r>
                  <w:r>
                    <w:rPr>
                      <w:rFonts w:ascii="仿宋_GB2312" w:hAnsi="仿宋_GB2312" w:cs="仿宋_GB2312" w:eastAsia="仿宋_GB2312"/>
                      <w:sz w:val="21"/>
                      <w:color w:val="000000"/>
                    </w:rPr>
                    <w:t>1张，采样率≥5000次/秒， 信号量程不小于+/-12V，精度≥16位ADC。配备数据采集卡1张，分辨率不小于24 bit，通道数≥4，采样率范围不小于8 H</w:t>
                  </w:r>
                  <w:r>
                    <w:rPr>
                      <w:rFonts w:ascii="仿宋_GB2312" w:hAnsi="仿宋_GB2312" w:cs="仿宋_GB2312" w:eastAsia="仿宋_GB2312"/>
                      <w:sz w:val="21"/>
                      <w:color w:val="000000"/>
                    </w:rPr>
                    <w:t>z</w:t>
                  </w:r>
                  <w:r>
                    <w:rPr>
                      <w:rFonts w:ascii="仿宋_GB2312" w:hAnsi="仿宋_GB2312" w:cs="仿宋_GB2312" w:eastAsia="仿宋_GB2312"/>
                      <w:sz w:val="21"/>
                      <w:color w:val="000000"/>
                    </w:rPr>
                    <w:t>～</w:t>
                  </w:r>
                  <w:r>
                    <w:rPr>
                      <w:rFonts w:ascii="仿宋_GB2312" w:hAnsi="仿宋_GB2312" w:cs="仿宋_GB2312" w:eastAsia="仿宋_GB2312"/>
                      <w:sz w:val="21"/>
                      <w:color w:val="000000"/>
                    </w:rPr>
                    <w:t>210 KHz，最高工作电压范围±10V。</w:t>
                  </w:r>
                </w:p>
              </w:tc>
              <w:tc>
                <w:tcPr>
                  <w:tcW w:type="dxa" w:w="176"/>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color w:val="000000"/>
                    </w:rPr>
                    <w:t>1套</w:t>
                  </w:r>
                </w:p>
              </w:tc>
              <w:tc>
                <w:tcPr>
                  <w:tcW w:type="dxa" w:w="259"/>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发票在货到验收合格后由中标人开具给采购人。采购人收到中标人开具的全额增值税专用发票（电子、纸质发票均可，纸质发票须包含发票联、抵扣联）后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（1）按照《中华人民共和国民法典》和《中华人民共和国政府采购法》中的相关条款执行。（2）未按合同要求的提供产品或质量不能满足技术要求，甲方有权终止合同，甚至对供方违约行为进行追究。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 投标人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投标人名称（机打或手写均可），逐页标注页码），在封口处加盖投标人公章；纸质投标文件递交截止时间与线上开评标时间一致；纸质投标文件可邮寄递交，应于递交投标文件截止时间前邮寄到代理机构。 3.5.2 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3.5.3 本项目主要标的：核心产品。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10月1日以来至少一个月的纳税证明或完税证明，纳税证明或完税证明上应有代收机构或税务机关的公章或业务专用章；其他组织和自然人提供自2024年10月1日以来至少一个月缴纳税收的凭据；依法免税的或者依法不需缴税的投标人应提供相关文件证明； ③社会保障资金缴纳证明：提供自2024年10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审计报告（成立时间至提交投标文件截止时间不足一年的可提供成立后任意时段的资产负债表），或提交自2025年4月1日以来银行出具的资信证明，或信用担保机构出具的投标担保函（以上三种形式的资料提供任何一种即可）；其他组织和自然人提供银行出具的资信证明或财务报表。 注：此项资格提供“陕西省政府采购供应商信用承诺书”的，可不再提供其他证明文件。投标人需在项目电子化交易系统中按要求上传相应证明文件并进行电子签章。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开标一览表 1.技术响应与偏离表、佐证材料.docx 中小企业声明函 8业绩.docx 商务部分偏离表.docx 承诺函、其他资料.docx 分项价格表.docx 9节能环保.docx 投标函 残疾人福利性单位声明函 标的清单 投标人资格证明文件.docx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开标一览表 标的清单 投标文件封面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投标文件封面 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投标文件封面 承诺函、其他资料.docx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投标人完全响应技术要求无偏离计25分，标注“▲”号参数为重要技术指标，每负偏离一项扣1.5分；未标注“▲”号参数每负偏离一项扣0.42分。 备注： 1.所投产品完全复制招标文件技术指标要求的，给予10分扣分，文字描述、国标、定制尺寸的技术指标除外。 2.标注“▲”号参数需提供佐证材料，包括但不限于功能截图或检测报告或官网截图或产品说明书等证明材料。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1.技术响应与偏离表、佐证材料.docx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投标人提供针对本项目的实施方案，包括但不限于①供货组织安排，包括仓储、运输、派送措施等方面；②安装调试方案；③实施步骤、进度计划和保证措施等。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投标人针对本项目所投产品性能进行阐述，包括①产品选型配置的说明、各系统模块的兼容性；②仪器设备使用性能及技术成熟度；③实验应用效果；④保障维护及维护成本分析等方面。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投标人针对本项目提供质量保证方案，方案应至少包括但不限于①具体详细的质量保障措施；②明确质量保证承诺；③产品使用过程中的合理化建议等。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投标人针对本项目提供培训方案，方案应至少包括但不限于①培训时间计划及培训人员安排；②培训内容设计安排（设备原理和技术性能、仪器操作、仪器维护、故障排除等）；③培训效果。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①售后服务范围及保障措施；②响应时间、响应方式及故障处理机制；③本地化服务能力说明；④定期回访计划安排等。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提供投标人2022年1月1日至今同类项目合同（以合同签订日期为准），每提供1个得1分，最高得5分。 备注：投标文件中提供合同复印件加盖公章。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详见附件：1.技术响应与偏离表、佐证材料.docx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详见附件：3产品性能.docx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ind w:firstLine="960"/>
      </w:pPr>
      <w:r>
        <w:rPr>
          <w:rFonts w:ascii="仿宋_GB2312" w:hAnsi="仿宋_GB2312" w:cs="仿宋_GB2312" w:eastAsia="仿宋_GB2312"/>
        </w:rPr>
        <w:t>详见附件：承诺函、其他资料.docx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