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版本号：DQA-2025134-CS20251011001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2025年省市县卫星应用技术体系建设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DQA-2025134-CS</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2025年省市县卫星应用技术体系建设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DQA-2025134-CS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2025年省市县卫星应用技术体系建设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进一步巩固和深化部、省、市、县（乡）卫星应用技术体系建设成果，持续提升卫星数据获取、处理、共享和服务能力。通过完善市级节点卫星数据产品更新机制，推进县级卫星应用节点建设，加强业务培训和技术交流，强化省市县工作协调，全面提升卫星遥感技术在自然资源管理和相关行业中的应用水平，为自然资源事业和卫星遥感行业高质量发展提供坚实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029-84333126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银行账号：52880188000141013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代理服务费收费标准：按照国家计委颁布的《招标代理服务收费管理暂行办法》（计价格[2002]1980号）文件为依据计取代理服务费。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进一步巩固和深化部、省、市、县（乡）卫星应用技术体系建设成果，持续提升卫星数据获取、处理、共享和服务能力。通过完善市级节点卫星数据产品更新机制，推进县级卫星应用节点建设，加强业务培训和技术交流，强化省市县工作协调，全面提升卫星遥感技术在自然资源管理和相关行业中的应用水平，为自然资源事业和卫星遥感行业高质量发展提供坚实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2025年省市县卫星应用技术体系建设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标的名称：2025年省市县卫星应用技术体系建设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进一步巩固和深化部、省、市、县（乡）卫星应用技术体系建设成果，持续提升卫星数据获取、处理、共享和服务能力。通过完善市级节点卫星数据产品更新机制，推进县级卫星</w:t>
            </w:r>
            <w:r>
              <w:rPr>
                <w:rFonts w:ascii="仿宋_GB2312" w:hAnsi="仿宋_GB2312" w:cs="仿宋_GB2312" w:eastAsia="仿宋_GB2312"/>
                <w:sz w:val="24"/>
              </w:rPr>
              <w:t>应用</w:t>
            </w:r>
            <w:r>
              <w:rPr>
                <w:rFonts w:ascii="仿宋_GB2312" w:hAnsi="仿宋_GB2312" w:cs="仿宋_GB2312" w:eastAsia="仿宋_GB2312"/>
                <w:sz w:val="24"/>
              </w:rPr>
              <w:t>节点建设，</w:t>
            </w:r>
            <w:r>
              <w:rPr>
                <w:rFonts w:ascii="仿宋_GB2312" w:hAnsi="仿宋_GB2312" w:cs="仿宋_GB2312" w:eastAsia="仿宋_GB2312"/>
                <w:sz w:val="24"/>
              </w:rPr>
              <w:t>加强</w:t>
            </w:r>
            <w:r>
              <w:rPr>
                <w:rFonts w:ascii="仿宋_GB2312" w:hAnsi="仿宋_GB2312" w:cs="仿宋_GB2312" w:eastAsia="仿宋_GB2312"/>
                <w:sz w:val="24"/>
              </w:rPr>
              <w:t>业务培训和技术交流，强化省市县工作</w:t>
            </w:r>
            <w:r>
              <w:rPr>
                <w:rFonts w:ascii="仿宋_GB2312" w:hAnsi="仿宋_GB2312" w:cs="仿宋_GB2312" w:eastAsia="仿宋_GB2312"/>
                <w:sz w:val="24"/>
              </w:rPr>
              <w:t>协调</w:t>
            </w:r>
            <w:r>
              <w:rPr>
                <w:rFonts w:ascii="仿宋_GB2312" w:hAnsi="仿宋_GB2312" w:cs="仿宋_GB2312" w:eastAsia="仿宋_GB2312"/>
                <w:sz w:val="24"/>
              </w:rPr>
              <w:t>，全面提升卫星遥感技术在自然资源管理和相关行业中的应用水平，为自然资源事业和卫星遥感行业高质量发展提供坚实保障。</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、技术要求</w:t>
            </w:r>
          </w:p>
          <w:p>
            <w:pPr>
              <w:pStyle w:val="null3"/>
              <w:ind w:firstLine="482"/>
              <w:jc w:val="both"/>
            </w:pPr>
            <w:r>
              <w:rPr>
                <w:rFonts w:ascii="仿宋_GB2312" w:hAnsi="仿宋_GB2312" w:cs="仿宋_GB2312" w:eastAsia="仿宋_GB2312"/>
                <w:sz w:val="24"/>
                <w:b/>
              </w:rPr>
              <w:t>1、市级卫星中心建设评估</w:t>
            </w:r>
          </w:p>
          <w:p>
            <w:pPr>
              <w:pStyle w:val="null3"/>
              <w:ind w:firstLine="480"/>
              <w:jc w:val="both"/>
            </w:pPr>
            <w:r>
              <w:rPr>
                <w:rFonts w:ascii="仿宋_GB2312" w:hAnsi="仿宋_GB2312" w:cs="仿宋_GB2312" w:eastAsia="仿宋_GB2312"/>
                <w:sz w:val="24"/>
              </w:rPr>
              <w:t>对咸阳、铜川、延安、汉中等</w:t>
            </w:r>
            <w:r>
              <w:rPr>
                <w:rFonts w:ascii="仿宋_GB2312" w:hAnsi="仿宋_GB2312" w:cs="仿宋_GB2312" w:eastAsia="仿宋_GB2312"/>
                <w:sz w:val="24"/>
              </w:rPr>
              <w:t>4个市级卫星中心的建设情况进行评估，重点评估各市级卫星中心服务能力及应用成效，形成评估报告。</w:t>
            </w:r>
          </w:p>
          <w:p>
            <w:pPr>
              <w:pStyle w:val="null3"/>
              <w:ind w:firstLine="482"/>
              <w:jc w:val="both"/>
            </w:pPr>
            <w:r>
              <w:rPr>
                <w:rFonts w:ascii="仿宋_GB2312" w:hAnsi="仿宋_GB2312" w:cs="仿宋_GB2312" w:eastAsia="仿宋_GB2312"/>
                <w:sz w:val="24"/>
                <w:b/>
              </w:rPr>
              <w:t>2、数据产品更新</w:t>
            </w:r>
          </w:p>
          <w:p>
            <w:pPr>
              <w:pStyle w:val="null3"/>
              <w:ind w:firstLine="480"/>
              <w:jc w:val="both"/>
            </w:pPr>
            <w:r>
              <w:rPr>
                <w:rFonts w:ascii="仿宋_GB2312" w:hAnsi="仿宋_GB2312" w:cs="仿宋_GB2312" w:eastAsia="仿宋_GB2312"/>
                <w:sz w:val="24"/>
              </w:rPr>
              <w:t>向市级卫星中心及共建单位常态化推送国产公益卫星原始数据不少于</w:t>
            </w:r>
            <w:r>
              <w:rPr>
                <w:rFonts w:ascii="仿宋_GB2312" w:hAnsi="仿宋_GB2312" w:cs="仿宋_GB2312" w:eastAsia="仿宋_GB2312"/>
                <w:sz w:val="24"/>
              </w:rPr>
              <w:t>8TB，以国产公益卫星数据为主、商业卫星数据进行补充，更新全省季度2米数字正射影像4期、半年度优于1米数字正射影像2期，为支撑服务自然资源主责主业提供基础数据。</w:t>
            </w:r>
          </w:p>
          <w:p>
            <w:pPr>
              <w:pStyle w:val="null3"/>
              <w:ind w:firstLine="482"/>
              <w:jc w:val="both"/>
            </w:pPr>
            <w:r>
              <w:rPr>
                <w:rFonts w:ascii="仿宋_GB2312" w:hAnsi="仿宋_GB2312" w:cs="仿宋_GB2312" w:eastAsia="仿宋_GB2312"/>
                <w:sz w:val="24"/>
                <w:b/>
              </w:rPr>
              <w:t>3、县级节点建设</w:t>
            </w:r>
          </w:p>
          <w:p>
            <w:pPr>
              <w:pStyle w:val="null3"/>
              <w:ind w:firstLine="480"/>
              <w:jc w:val="both"/>
            </w:pPr>
            <w:r>
              <w:rPr>
                <w:rFonts w:ascii="仿宋_GB2312" w:hAnsi="仿宋_GB2312" w:cs="仿宋_GB2312" w:eastAsia="仿宋_GB2312"/>
                <w:sz w:val="24"/>
              </w:rPr>
              <w:t>结合县（区）基础条件和应用需求，指导建设县级节点</w:t>
            </w:r>
            <w:r>
              <w:rPr>
                <w:rFonts w:ascii="仿宋_GB2312" w:hAnsi="仿宋_GB2312" w:cs="仿宋_GB2312" w:eastAsia="仿宋_GB2312"/>
                <w:sz w:val="24"/>
              </w:rPr>
              <w:t>10个，提供卫星应用产品包括2米分辨率、优于1米分辨率卫星影像图及相关行业应用专题图件等不少于30幅。</w:t>
            </w:r>
          </w:p>
          <w:p>
            <w:pPr>
              <w:pStyle w:val="null3"/>
              <w:ind w:firstLine="482"/>
              <w:jc w:val="both"/>
            </w:pPr>
            <w:r>
              <w:rPr>
                <w:rFonts w:ascii="仿宋_GB2312" w:hAnsi="仿宋_GB2312" w:cs="仿宋_GB2312" w:eastAsia="仿宋_GB2312"/>
                <w:sz w:val="24"/>
                <w:b/>
              </w:rPr>
              <w:t>4、业务培训与技术交流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1）业务培训：</w:t>
            </w:r>
            <w:r>
              <w:rPr>
                <w:rFonts w:ascii="仿宋_GB2312" w:hAnsi="仿宋_GB2312" w:cs="仿宋_GB2312" w:eastAsia="仿宋_GB2312"/>
                <w:sz w:val="24"/>
              </w:rPr>
              <w:t>针对市县卫星中心在新技术应用、数据处理与分析等方面存在的问题，</w:t>
            </w:r>
            <w:r>
              <w:rPr>
                <w:rFonts w:ascii="仿宋_GB2312" w:hAnsi="仿宋_GB2312" w:cs="仿宋_GB2312" w:eastAsia="仿宋_GB2312"/>
                <w:sz w:val="24"/>
              </w:rPr>
              <w:t>举办业务培训会</w:t>
            </w:r>
            <w:r>
              <w:rPr>
                <w:rFonts w:ascii="仿宋_GB2312" w:hAnsi="仿宋_GB2312" w:cs="仿宋_GB2312" w:eastAsia="仿宋_GB2312"/>
                <w:sz w:val="24"/>
              </w:rPr>
              <w:t>2次，增强技术人员卫星应用实践与创新能力。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2）技术交流：召开全省卫星遥感应用创新技术交流会1次，</w:t>
            </w:r>
            <w:r>
              <w:rPr>
                <w:rFonts w:ascii="仿宋_GB2312" w:hAnsi="仿宋_GB2312" w:cs="仿宋_GB2312" w:eastAsia="仿宋_GB2312"/>
                <w:sz w:val="24"/>
              </w:rPr>
              <w:t>深化知识共享，交流应用新成果，推动卫星应用技术的持续创新与协同发展</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5、业务协同与工作互动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）业务</w:t>
            </w:r>
            <w:r>
              <w:rPr>
                <w:rFonts w:ascii="仿宋_GB2312" w:hAnsi="仿宋_GB2312" w:cs="仿宋_GB2312" w:eastAsia="仿宋_GB2312"/>
                <w:sz w:val="24"/>
              </w:rPr>
              <w:t>协同</w:t>
            </w:r>
            <w:r>
              <w:rPr>
                <w:rFonts w:ascii="仿宋_GB2312" w:hAnsi="仿宋_GB2312" w:cs="仿宋_GB2312" w:eastAsia="仿宋_GB2312"/>
                <w:sz w:val="24"/>
              </w:rPr>
              <w:t>：省市联合</w:t>
            </w:r>
            <w:r>
              <w:rPr>
                <w:rFonts w:ascii="仿宋_GB2312" w:hAnsi="仿宋_GB2312" w:cs="仿宋_GB2312" w:eastAsia="仿宋_GB2312"/>
                <w:sz w:val="24"/>
              </w:rPr>
              <w:t>围绕</w:t>
            </w:r>
            <w:r>
              <w:rPr>
                <w:rFonts w:ascii="仿宋_GB2312" w:hAnsi="仿宋_GB2312" w:cs="仿宋_GB2312" w:eastAsia="仿宋_GB2312"/>
                <w:sz w:val="24"/>
              </w:rPr>
              <w:t>土地矿产卫片执法、耕地保护、地质灾害隐患识别等自然资源业务</w:t>
            </w:r>
            <w:r>
              <w:rPr>
                <w:rFonts w:ascii="仿宋_GB2312" w:hAnsi="仿宋_GB2312" w:cs="仿宋_GB2312" w:eastAsia="仿宋_GB2312"/>
                <w:sz w:val="24"/>
              </w:rPr>
              <w:t>技术支撑工作，指导市级卫星中心开展专项</w:t>
            </w:r>
            <w:r>
              <w:rPr>
                <w:rFonts w:ascii="仿宋_GB2312" w:hAnsi="仿宋_GB2312" w:cs="仿宋_GB2312" w:eastAsia="仿宋_GB2312"/>
                <w:sz w:val="24"/>
              </w:rPr>
              <w:t>工作</w:t>
            </w:r>
            <w:r>
              <w:rPr>
                <w:rFonts w:ascii="仿宋_GB2312" w:hAnsi="仿宋_GB2312" w:cs="仿宋_GB2312" w:eastAsia="仿宋_GB2312"/>
                <w:sz w:val="24"/>
              </w:rPr>
              <w:t>不少于</w:t>
            </w:r>
            <w:r>
              <w:rPr>
                <w:rFonts w:ascii="仿宋_GB2312" w:hAnsi="仿宋_GB2312" w:cs="仿宋_GB2312" w:eastAsia="仿宋_GB2312"/>
                <w:sz w:val="24"/>
              </w:rPr>
              <w:t>3项。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2）工作互动：收集、整理省市县在卫星应用技术建设、自然资源业务支撑与应用拓展等方面的工作进展和应用案例，编制卫星应用专题简报4期，促进卫星遥感技术推广应用。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项目通过验收后,供应商承诺在采购人办理以上付款的支付手续前，为采购人出具等额的符合国家规定的发票；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1.纸质文件要求 （1）供应商需要在线提交所有通过电子化交易平台实施的政府采购项目的响应文件，同时，线下提交纸质响应文件正本壹份、副本壹份。若电子响应文件与纸质响应文件不一致的，以电子响应文件为准。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2、磋商保证金注意事项 （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deqinjxm@126.com（邮件命名：项目编号）；供应商应在响应文件中附保函扫描件。保函必须由具有开具投标保函资格的单位开具；若成交人违约，开具保函单位承担连带责任；（2）磋商保证金的提交金额、时间不满足磋商文件要求的，响应无效；（3）未按指定账户提交的，我公司将退回，供应商须在响应文件递交截止时间前按照指定账户再次提交。 3、因文件关于合同签订时间无法修改，特在此处说明，成交人应当在成交通知书发出之日起25日内与采购人签订政府采购合同。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法定代表人授权委托书 保证金汇款声明函 分项报价表 中小企业声明函 商务应答表 供应商应提交的相关资格证明材料 报价表 控股管理关系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法定代表人授权委托书 保证金汇款声明函 分项报价表 中小企业声明函 商务应答表 供应商应提交的相关资格证明材料 报价表 控股管理关系 响应文件封面 非联合体不分包磋商声明 近三年无重大违法、违纪书面声明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根据供应商的工作流程、服务机制、服务保障以及服务措施等是否完善、是否能够充分保证达到项目实施目的进行评定。 方案科学合理、高效，能够保障项目实施得[20-13)分； 方案合理完善，具有可实施性得[13-7)分； 有方案框架，可实施性较差得[7-1]分； 未提供的不计分。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组织管理体系</w:t>
            </w:r>
          </w:p>
        </w:tc>
        <w:tc>
          <w:tcPr>
            <w:tcW w:type="dxa" w:w="2492"/>
          </w:tcPr>
          <w:p>
            <w:pPr>
              <w:pStyle w:val="null3"/>
            </w:pPr>
            <w:r>
              <w:rPr>
                <w:rFonts w:ascii="仿宋_GB2312" w:hAnsi="仿宋_GB2312" w:cs="仿宋_GB2312" w:eastAsia="仿宋_GB2312"/>
              </w:rPr>
              <w:t>根据供应商的内部管理体系是否完善、是否能够项目顺利实施进行评定。 管理体系科学合理、高效，能够保障项目实施得[20-13)分； 管理体系合理完善，具有可实施性得[13-7)分； 管理体系简略，可实施性较差得[7-1]分； 未提供的不计分。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根据供应商人员团队配备数量及安排是否满足磋商文件要求、是否有有效的人员安排方案进行评定。 人员团队配置经验丰富，可以保证服务工作的高质高效进行，有科学高效的人员安排方案，得(7-10]分； 人员团队配置基本充足，有详细的人员安排方案，得(3-7]分； 人员团队配置不够完备，方案安排不够合理，得[3-1]分；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根据供应商的应急方案进行评定。 应急方案覆盖范围广，解决办法科学高效得[20-13)分； 应急方案合理完善，解决办法具有可实施性得[13-7)分； 有简要的应急方案，解决办法可实施性较差得[7-1]分； 未提供的不计分。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供应商提供近5年的（以签订合同时间为准）同类业绩合同，每个业绩计3分，最高得15分。以上业绩不得重复计分，提供相关证明材料。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依据供应商所提供的针对本项目的相关服务承诺（包含人员到位承诺、服务响应时间及其他实质性承诺），从其承诺内容及承诺是否可行等方面进行评分，最高得5分，未提供不得分。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