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版本号：SCZA2025-CS-2652-00120251011001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全省城市排水防涝体系建设课题研究项目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SCZA2025-CS-2652-001</w:t>
      </w:r>
      <w:r>
        <w:br/>
      </w:r>
      <w:r>
        <w:br/>
      </w:r>
      <w:r>
        <w:br/>
      </w:r>
    </w:p>
    <w:p>
      <w:pPr>
        <w:pStyle w:val="null3"/>
        <w:jc w:val="center"/>
        <w:outlineLvl w:val="2"/>
      </w:pPr>
      <w:r>
        <w:rPr>
          <w:rFonts w:ascii="仿宋_GB2312" w:hAnsi="仿宋_GB2312" w:cs="仿宋_GB2312" w:eastAsia="仿宋_GB2312"/>
          <w:sz w:val="28"/>
          <w:b/>
        </w:rPr>
        <w:t>陕西省住房和城乡建设厅机关</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2025年10月11日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陕西省住房和城乡建设厅机关</w:t>
      </w:r>
      <w:r>
        <w:rPr>
          <w:rFonts w:ascii="仿宋_GB2312" w:hAnsi="仿宋_GB2312" w:cs="仿宋_GB2312" w:eastAsia="仿宋_GB2312"/>
        </w:rPr>
        <w:t>委托，拟对</w:t>
      </w:r>
      <w:r>
        <w:rPr>
          <w:rFonts w:ascii="仿宋_GB2312" w:hAnsi="仿宋_GB2312" w:cs="仿宋_GB2312" w:eastAsia="仿宋_GB2312"/>
        </w:rPr>
        <w:t>全省城市排水防涝体系建设课题研究项目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SCZA2025-CS-2652-001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全省城市排水防涝体系建设课题研究项目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全省城市排水防涝体系建设课题研究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特定资格条件：供应商在递交投标文件截止时间前被“信用中国”网站（www.creditchina.gov.cn）和中国政府采购网（www.ccgp.gov.cn）上被列入失信被执行人、重大税收违法失信主体、政府采购严重违法失信行为记录名单的，不得参加投标；</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陕西省住房和城乡建设厅机关</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西安市新城广场陕西省人民政府院内前大楼9楼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于老师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029-63918650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李盼盼、白国锋</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029-85266644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60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代理服务费收费标准：1.参照原《国家计委关于印发〈招标代理服务收费管理暂行办法〉的通知》（计价格〔2002〕1980号）规定标准（按标段）收取，不足6000元按6000元收取。2. 招标代理服务费交纳信息 银行户名：陕西省采购招标有限责任公司 开户银行：中国光大银行西安友谊路支行 账 号：78560188000095264 联 系 人：财务部 联系电话：029-85263975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陕西省住房和城乡建设厅机关</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陕西省住房和城乡建设厅机关</w:t>
      </w:r>
      <w:r>
        <w:rPr>
          <w:rFonts w:ascii="仿宋_GB2312" w:hAnsi="仿宋_GB2312" w:cs="仿宋_GB2312" w:eastAsia="仿宋_GB2312"/>
        </w:rPr>
        <w:t>负责解释。除上述磋商文件内容，其他内容由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陕西省住房和城乡建设厅机关</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地址：陕西省西安市雁塔区锦业路1号都市之门C座9层</w:t>
      </w:r>
    </w:p>
    <w:p>
      <w:pPr>
        <w:pStyle w:val="null3"/>
      </w:pPr>
      <w:r>
        <w:rPr>
          <w:rFonts w:ascii="仿宋_GB2312" w:hAnsi="仿宋_GB2312" w:cs="仿宋_GB2312" w:eastAsia="仿宋_GB2312"/>
        </w:rPr>
        <w:t>邮编：/</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 xml:space="preserve"> 全省城市排水防涝体系建设课题研究项目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w:t>
      </w:r>
    </w:p>
    <w:p>
      <w:pPr>
        <w:pStyle w:val="null3"/>
      </w:pPr>
      <w:r>
        <w:rPr>
          <w:rFonts w:ascii="仿宋_GB2312" w:hAnsi="仿宋_GB2312" w:cs="仿宋_GB2312" w:eastAsia="仿宋_GB2312"/>
        </w:rPr>
        <w:t>采购包最高限价（元）: 100,000.00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开展城市排水防涝体系建设课题研究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标的名称：开展城市排水防涝体系建设课题研究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1.采购内容：全省城市排水防涝体系建设课题研究。</w:t>
            </w:r>
          </w:p>
          <w:p>
            <w:pPr>
              <w:pStyle w:val="null3"/>
            </w:pPr>
            <w:r>
              <w:rPr>
                <w:rFonts w:ascii="仿宋_GB2312" w:hAnsi="仿宋_GB2312" w:cs="仿宋_GB2312" w:eastAsia="仿宋_GB2312"/>
              </w:rPr>
              <w:t>2.主要功能或目标：按照国务院办公厅《关于加强城市内涝治理的实施意见》、省住建厅《陕西省“十四五”城市排水防涝体系建设行动计划实施方案》等要求，拟开展全省城市排水防涝体系建设课题研究，形成研究报告供省住建厅及各地主管部门参考使用，指导各地在全面排查评估本地区城市排水防涝设施能力等情况的基础上，加快建立“源头减排、管网排放、蓄排并举、超标应急”的城市排水防涝工程体系，为我省进一步健全城市排水防涝工程体系，加快形成城市内涝治理新格局提出下步工作意见和具体措施。</w:t>
            </w:r>
          </w:p>
          <w:p>
            <w:pPr>
              <w:pStyle w:val="null3"/>
            </w:pPr>
            <w:r>
              <w:rPr>
                <w:rFonts w:ascii="仿宋_GB2312" w:hAnsi="仿宋_GB2312" w:cs="仿宋_GB2312" w:eastAsia="仿宋_GB2312"/>
              </w:rPr>
              <w:t>3.需满足的要求：对全省城市排水防涝体系建设课题研究，重点针对市、县规划编制实施,现存城市易涝积水点治理和排水管网老化更新改造任务等方面开展调研，分析梳理全省各地城市内涝治理痛点难点，形成课题研究报告。</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自合同签订之日起至2025年12月底</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自签订合同后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方案编制完成，获得陕西省住房和城乡建设厅审定后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1、主体证明文件：（1）供应商是企业（包括合伙企业）的，应提供其在市场监督管理部门注册的有效“营业执照 ”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2、提供可满足履行合同所需设备和专业技术能力的证明材料或承诺 3、提供磋商截止时间前近六个月中至少一个月的纳税证明或完税证明，依法免税的单位应提供相关证明材料；时间以税款所属时期为准 4、提供磋商截止时间前近六个月中至少一个月的社会保障资金缴存单据或社保机构开具的社会保险参保缴费情况证明，依法不需要缴纳社会保障资金的单位应提供相关证明材料。 5、提供有效的参加政府采购活动前3年内在经营活动中没有重大违法记录的书面声明。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1）或提供（2）：（1）提供递交响应文件截止之日前两年内任意一个年度经审计的财务报告，应满足以下要求：①供应商是企业的，财务报告是指经会计师事务所审计的上述指定年度整个会计年度财务报表（须提供会计师事务所出具的审计报告复印件）,复印件至少须包括报告正文、资产负债表、现金流量表、利润表、附注和会计师事务所营业执照，报告正文应当有会计师事务所公章和2名注册会计师的签字及盖章。且2022年10月1日后出具的审计报告应当经过注册会计师行业统一监管平台备案赋码。②供应商适用《事业单位会计准则》的，财务报告是指上述指定年度整个会计年度财务报表（不要求必须是经审计的），复印件至少须包括资产负债表、收入支出表（或收入费用表）、财政补助收入支出表。③供应商适用《政府会计准则》的，财务报告是指上述指定年度整个会计年度财务报表（不要求必须是经审计的），复印件至少须包括资产负债表、收入费用表。④供应商适用《民间非营利组织会计制度》的，财务报告是指上述指定年度整个会计年度财务报表（不要求必须是经审计的），复印件至少须包括资产负债表、业务活动表、现金流量表。 ⑤供应商是上述四种情况以外情况的，按照其依法适用的会计制度、财务规则或会计准则提供财务报表复印件（不要求必须是经审计的）。 （2）提供资信证明原件扫描件或复印件，应满足以下要求：①资信证明须为递交响应文件截止时间前三个月内由供应商开户银行出具。②无论开具银行是否标明“复印无效”，供应商提供的复印件在本次磋商中予以认可（即不因“复印无效”字样而认定资信证明复印件无效）。③银行出具的存款证明不能替代银行资信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供应商特定资格条件</w:t>
            </w:r>
          </w:p>
        </w:tc>
        <w:tc>
          <w:tcPr>
            <w:tcW w:type="dxa" w:w="3322"/>
          </w:tcPr>
          <w:p>
            <w:pPr>
              <w:pStyle w:val="null3"/>
            </w:pPr>
            <w:r>
              <w:rPr>
                <w:rFonts w:ascii="仿宋_GB2312" w:hAnsi="仿宋_GB2312" w:cs="仿宋_GB2312" w:eastAsia="仿宋_GB2312"/>
              </w:rPr>
              <w:t>供应商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按磋商文件格式要求加盖了供应商公章和有法定代表人/企业负责人或其授权代表签字或加盖人名章。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供应商报价是固定价且未超过预算金额（磋商文件有最高限价的，报价未超过最高限价）；</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附加条件</w:t>
            </w:r>
          </w:p>
        </w:tc>
        <w:tc>
          <w:tcPr>
            <w:tcW w:type="dxa" w:w="3322"/>
          </w:tcPr>
          <w:p>
            <w:pPr>
              <w:pStyle w:val="null3"/>
            </w:pPr>
            <w:r>
              <w:rPr>
                <w:rFonts w:ascii="仿宋_GB2312" w:hAnsi="仿宋_GB2312" w:cs="仿宋_GB2312" w:eastAsia="仿宋_GB2312"/>
              </w:rPr>
              <w:t>响应文件不含有采购人不能接受的附加条件；</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公平竞争</w:t>
            </w:r>
          </w:p>
        </w:tc>
        <w:tc>
          <w:tcPr>
            <w:tcW w:type="dxa" w:w="3322"/>
          </w:tcPr>
          <w:p>
            <w:pPr>
              <w:pStyle w:val="null3"/>
            </w:pPr>
            <w:r>
              <w:rPr>
                <w:rFonts w:ascii="仿宋_GB2312" w:hAnsi="仿宋_GB2312" w:cs="仿宋_GB2312" w:eastAsia="仿宋_GB2312"/>
              </w:rPr>
              <w:t>遵循公平竞争的原则，没有弄虚作假、恶意串通或妨碍其他供应商的竞争行为，损害采购人或者其他供应商的合法权益； 弄虚作假、相互串通的情形见附注</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无法律、法规和磋商文件规定的其他无效情形；</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有效期满足磋商文件要求的；</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响应文件按规定的格式填写，内容完整且关键字迹清晰；</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备选方案</w:t>
            </w:r>
          </w:p>
        </w:tc>
        <w:tc>
          <w:tcPr>
            <w:tcW w:type="dxa" w:w="3322"/>
          </w:tcPr>
          <w:p>
            <w:pPr>
              <w:pStyle w:val="null3"/>
            </w:pPr>
            <w:r>
              <w:rPr>
                <w:rFonts w:ascii="仿宋_GB2312" w:hAnsi="仿宋_GB2312" w:cs="仿宋_GB2312" w:eastAsia="仿宋_GB2312"/>
              </w:rPr>
              <w:t>供应商不得提交两份或者多份内容不同的响应文件，或者在同一份响应文件中对同一磋商项目有两个或者多个报价；</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响应文件内容</w:t>
            </w:r>
          </w:p>
        </w:tc>
        <w:tc>
          <w:tcPr>
            <w:tcW w:type="dxa" w:w="3322"/>
          </w:tcPr>
          <w:p>
            <w:pPr>
              <w:pStyle w:val="null3"/>
            </w:pPr>
            <w:r>
              <w:rPr>
                <w:rFonts w:ascii="仿宋_GB2312" w:hAnsi="仿宋_GB2312" w:cs="仿宋_GB2312" w:eastAsia="仿宋_GB2312"/>
              </w:rPr>
              <w:t>供应商提供的服务无实质性遗漏</w:t>
            </w:r>
          </w:p>
        </w:tc>
        <w:tc>
          <w:tcPr>
            <w:tcW w:type="dxa" w:w="1661"/>
          </w:tcPr>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技术响应</w:t>
            </w:r>
          </w:p>
        </w:tc>
        <w:tc>
          <w:tcPr>
            <w:tcW w:type="dxa" w:w="3322"/>
          </w:tcPr>
          <w:p>
            <w:pPr>
              <w:pStyle w:val="null3"/>
            </w:pPr>
            <w:r>
              <w:rPr>
                <w:rFonts w:ascii="仿宋_GB2312" w:hAnsi="仿宋_GB2312" w:cs="仿宋_GB2312" w:eastAsia="仿宋_GB2312"/>
              </w:rPr>
              <w:t>符合“采购需求”要求，无重大偏差</w:t>
            </w:r>
          </w:p>
        </w:tc>
        <w:tc>
          <w:tcPr>
            <w:tcW w:type="dxa" w:w="1661"/>
          </w:tcPr>
          <w:p>
            <w:pPr>
              <w:pStyle w:val="null3"/>
            </w:pPr>
            <w:r>
              <w:rPr>
                <w:rFonts w:ascii="仿宋_GB2312" w:hAnsi="仿宋_GB2312" w:cs="仿宋_GB2312" w:eastAsia="仿宋_GB2312"/>
              </w:rPr>
              <w:t>服务内容及服务邀请应答表</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服务期和服务地点</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服务内容及服务邀请应答表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对本项目背景、政策解读与理解的深度、全面性、针对性及准确性；对现状情况收集与分析的全面性及准确性：（1）项目认知层次清晰、针对性强、与采购内容的吻合程度高的，得10分；（2）项目认知逻辑层次较清晰、针对性较强、与采购内容的吻合程度一般，内容较简单的，得6分；（3）项目认知层次不清晰、不全面，得3分；（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方案的完整性、严谨性、合理性、规范性：（1）方案逻辑层次清晰、针对性强、与采购内容的吻合程度高的，得10分；（2）方案逻辑层次较清晰、针对性较强、与采购内容的吻合程度一般，内容较简单的，得6分；（3）方案逻辑层次不清晰、不全面，得3分；（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供应商对本项目提出的合理化意见与建议全面、具体、合理，可操作性强：（1）合理化建议层次清晰、针对性强、与采购内容的吻合程度高的，得10分；（2）合理化建议层次较清晰、针对性较强、与采购内容的吻合程度一般，内容较简单的，得6分；（3）合理化建议层次不清晰、不全面、得3分；（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根据供应商的团队人员配备情况进行评审： （1）团队组织架构、人员构成及分工合理，岗位设置明确得10分； （2）团队组织架构、人员构成及分工较为合理，岗位设置比较明确得6分； （3）团队组织架构、人员构成及分工基本合理，岗位设置基本明确得3分； （4）未提供的不得分。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工作组织管理及重点、难点论述</w:t>
            </w:r>
          </w:p>
        </w:tc>
        <w:tc>
          <w:tcPr>
            <w:tcW w:type="dxa" w:w="2492"/>
          </w:tcPr>
          <w:p>
            <w:pPr>
              <w:pStyle w:val="null3"/>
            </w:pPr>
            <w:r>
              <w:rPr>
                <w:rFonts w:ascii="仿宋_GB2312" w:hAnsi="仿宋_GB2312" w:cs="仿宋_GB2312" w:eastAsia="仿宋_GB2312"/>
              </w:rPr>
              <w:t>1.根据方案的工作流程、进度计划、各阶段工作成果的完成时间计划的合理性、科学性综合比较：（1）对本次实施进度安排合理、详细具体，得10分；（2）对本次实施进度安排较合理、较详细计，得6分；（3）对本次实施进度安排不合理、不详细，得3分；（4）未提供的不得分。2. 针对本项目采购需求重点、难点进行论述：（1）项目需求重点、难点论述层次清晰、针对性强、与采购内容的吻合程度高的，得10分；（2）项目需求重点、难点论述层次较清晰、针对性较强、与采购内容的吻合程度一般，内容较简单的，得6分；（3）项目需求重点、难点论述层次不清晰、不全面，得3分；（4）未提供的不得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保密方案</w:t>
            </w:r>
          </w:p>
        </w:tc>
        <w:tc>
          <w:tcPr>
            <w:tcW w:type="dxa" w:w="2492"/>
          </w:tcPr>
          <w:p>
            <w:pPr>
              <w:pStyle w:val="null3"/>
            </w:pPr>
            <w:r>
              <w:rPr>
                <w:rFonts w:ascii="仿宋_GB2312" w:hAnsi="仿宋_GB2312" w:cs="仿宋_GB2312" w:eastAsia="仿宋_GB2312"/>
              </w:rPr>
              <w:t>供应商针对项目安全保密职责提供具体的保密措施，由磋商小组进行综合评审： （1）保密措施内容详细完整，且利于项目实施的得 10分；（2）保密措施内容满足本项目需求合理且不影响项目实施的得6分； (3)保密措施内容有欠缺，影响到项目实施的得 3分；（4）未提供的不得分。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提供2021年至今类似项目业绩，响应文件中附有合同作为证明文件，每提供一个业绩证明材料计2分，满分 10。（未提供或提供不全不得分）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1.供应商针对本项目的质量要求、进度要求、时限要求等做出承诺：（1）承诺完整详细、描述清晰、内容科学合理、可实施性强的，得5分；（2）承诺较完整但简单、内容合理性及可实施性一般的，得3分；（3）承诺内容有缺失，影响到项目实施的，得1分；（4）未提供的不得分。 2.供应商针对项目后期服务等相关内容做出承诺，内容全面可行：（1）承诺完整详细、描述清晰、内容科学合理、可实施性强的，得5分；（2）承诺较完整但简单、内容合理性及可实施性一般的，得3分；（3）承诺内容有缺失，影响到项目实施的，得1分；（4）未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满足磋商文件要求且最后报价最低的供应商的价格为磋商基准价，其价格分为满分。其他供应商的价格分统一按照下列公式计算：磋商报价得分=（磋商基准价/最后磋商报价）×价格权值；</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详见附件：拟签订的合同文本.docx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