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版本号：ZX2025-10-1120251013001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凝胶渗透色谱仪采购项目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ZX2025-10-11</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凝胶渗透色谱仪采购项目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凝胶渗透色谱仪采购项目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凝胶渗透色谱仪采购项目，具体详见采购文件第三章。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胡怡洁 马演 蔡丹 王宇轩 曹婷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采购包1保证金金额：9,101.10元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 中标供应商在与采购人签订合同前，须缴纳履约保证金。 转账银行：交通银行太白路支行 转账账号：西北大学 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凝胶渗透色谱仪是一种以液体作流动相和以具有特定孔径分布的多孔凝胶或微球作固定相，待测高分子或大分子组分在柱内依据其分子尺寸（流体力学体积）大小进行分离的柱液体色谱方法。样品溶液中的各组分（主要是高分子化合物），因其分子尺寸的差异，当其随流动相进入色谱柱后，较小的分子能渗透进入固定相颗粒内部的更多孔隙，经历更长的路径；而较大的分子则被排除在较大孔隙之外，经历的路径较短。随着流动相的连续淋洗， 这种路径长度的差异导致不同尺寸的分子以不同的速率通过色谱柱，从而实现按分子尺寸从大到小的顺序依次流出色谱柱，达到组分的分离。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凝胶渗透色谱仪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标的名称：凝胶渗透色谱仪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凝胶渗透色谱仪</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已通过财政核准，允许采购进口设备</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（一）主要技术参数</w:t>
            </w:r>
          </w:p>
          <w:p>
            <w:pPr>
              <w:pStyle w:val="null3"/>
            </w:pPr>
            <w:r>
              <w:rPr>
                <w:rFonts w:ascii="仿宋_GB2312" w:hAnsi="仿宋_GB2312" w:cs="仿宋_GB2312" w:eastAsia="仿宋_GB2312"/>
                <w:b/>
              </w:rPr>
              <w:t>1. 技术参数（注：所有技术参数均须满足要求并提供佐证材料（包括但不限于产品彩页、厂家盖章出具的技术白皮书、官网截图等），不满足或未提供佐证材料视为负偏离，按无效文件处理。）</w:t>
            </w:r>
          </w:p>
          <w:p>
            <w:pPr>
              <w:pStyle w:val="null3"/>
            </w:pPr>
            <w:r>
              <w:rPr>
                <w:rFonts w:ascii="仿宋_GB2312" w:hAnsi="仿宋_GB2312" w:cs="仿宋_GB2312" w:eastAsia="仿宋_GB2312"/>
              </w:rPr>
              <w:t>1.1四元色谱泵</w:t>
            </w:r>
          </w:p>
          <w:p>
            <w:pPr>
              <w:pStyle w:val="null3"/>
            </w:pPr>
            <w:r>
              <w:rPr>
                <w:rFonts w:ascii="仿宋_GB2312" w:hAnsi="仿宋_GB2312" w:cs="仿宋_GB2312" w:eastAsia="仿宋_GB2312"/>
              </w:rPr>
              <w:t>1.1.1 一体式独立柱塞，数控直线驱动色谱泵技术，双压力传感器反馈回路，无需混合器和阻尼器，固定冲程</w:t>
            </w:r>
          </w:p>
          <w:p>
            <w:pPr>
              <w:pStyle w:val="null3"/>
            </w:pPr>
            <w:r>
              <w:rPr>
                <w:rFonts w:ascii="仿宋_GB2312" w:hAnsi="仿宋_GB2312" w:cs="仿宋_GB2312" w:eastAsia="仿宋_GB2312"/>
              </w:rPr>
              <w:t>1.1.2 驱动马达数量：≥2</w:t>
            </w:r>
          </w:p>
          <w:p>
            <w:pPr>
              <w:pStyle w:val="null3"/>
            </w:pPr>
            <w:r>
              <w:rPr>
                <w:rFonts w:ascii="仿宋_GB2312" w:hAnsi="仿宋_GB2312" w:cs="仿宋_GB2312" w:eastAsia="仿宋_GB2312"/>
              </w:rPr>
              <w:t>1.1.3 压力传感器数量：≥2</w:t>
            </w:r>
          </w:p>
          <w:p>
            <w:pPr>
              <w:pStyle w:val="null3"/>
            </w:pPr>
            <w:r>
              <w:rPr>
                <w:rFonts w:ascii="仿宋_GB2312" w:hAnsi="仿宋_GB2312" w:cs="仿宋_GB2312" w:eastAsia="仿宋_GB2312"/>
              </w:rPr>
              <w:t>1.1.4延迟体积：≤660µL，且不随反压变化</w:t>
            </w:r>
          </w:p>
          <w:p>
            <w:pPr>
              <w:pStyle w:val="null3"/>
            </w:pPr>
            <w:r>
              <w:rPr>
                <w:rFonts w:ascii="仿宋_GB2312" w:hAnsi="仿宋_GB2312" w:cs="仿宋_GB2312" w:eastAsia="仿宋_GB2312"/>
              </w:rPr>
              <w:t>1.1.5流量范围：0.001-10.000mL/min，以0.001mL/min为增量</w:t>
            </w:r>
          </w:p>
          <w:p>
            <w:pPr>
              <w:pStyle w:val="null3"/>
            </w:pPr>
            <w:r>
              <w:rPr>
                <w:rFonts w:ascii="仿宋_GB2312" w:hAnsi="仿宋_GB2312" w:cs="仿宋_GB2312" w:eastAsia="仿宋_GB2312"/>
              </w:rPr>
              <w:t>1.1.6最大操作压力：≥4900 psi</w:t>
            </w:r>
          </w:p>
          <w:p>
            <w:pPr>
              <w:pStyle w:val="null3"/>
            </w:pPr>
            <w:r>
              <w:rPr>
                <w:rFonts w:ascii="仿宋_GB2312" w:hAnsi="仿宋_GB2312" w:cs="仿宋_GB2312" w:eastAsia="仿宋_GB2312"/>
              </w:rPr>
              <w:t>1.1.7压缩补偿：自动连续</w:t>
            </w:r>
          </w:p>
          <w:p>
            <w:pPr>
              <w:pStyle w:val="null3"/>
            </w:pPr>
            <w:r>
              <w:rPr>
                <w:rFonts w:ascii="仿宋_GB2312" w:hAnsi="仿宋_GB2312" w:cs="仿宋_GB2312" w:eastAsia="仿宋_GB2312"/>
              </w:rPr>
              <w:t>1.1.8柱塞清洗：自动</w:t>
            </w:r>
          </w:p>
          <w:p>
            <w:pPr>
              <w:pStyle w:val="null3"/>
            </w:pPr>
            <w:r>
              <w:rPr>
                <w:rFonts w:ascii="仿宋_GB2312" w:hAnsi="仿宋_GB2312" w:cs="仿宋_GB2312" w:eastAsia="仿宋_GB2312"/>
              </w:rPr>
              <w:t>1.1.9流速精度：≤0.075% RSD</w:t>
            </w:r>
          </w:p>
          <w:p>
            <w:pPr>
              <w:pStyle w:val="null3"/>
            </w:pPr>
            <w:r>
              <w:rPr>
                <w:rFonts w:ascii="仿宋_GB2312" w:hAnsi="仿宋_GB2312" w:cs="仿宋_GB2312" w:eastAsia="仿宋_GB2312"/>
              </w:rPr>
              <w:t xml:space="preserve">1.1.10梯度准确度：±0.5%，不随反压变化  </w:t>
            </w:r>
          </w:p>
          <w:p>
            <w:pPr>
              <w:pStyle w:val="null3"/>
            </w:pPr>
            <w:r>
              <w:rPr>
                <w:rFonts w:ascii="仿宋_GB2312" w:hAnsi="仿宋_GB2312" w:cs="仿宋_GB2312" w:eastAsia="仿宋_GB2312"/>
              </w:rPr>
              <w:t>1.1.11梯度精度：±0.15%RSD，不随反压变化</w:t>
            </w:r>
          </w:p>
          <w:p>
            <w:pPr>
              <w:pStyle w:val="null3"/>
            </w:pPr>
            <w:r>
              <w:rPr>
                <w:rFonts w:ascii="仿宋_GB2312" w:hAnsi="仿宋_GB2312" w:cs="仿宋_GB2312" w:eastAsia="仿宋_GB2312"/>
              </w:rPr>
              <w:t>1.1.12液晶控制面板≥5寸</w:t>
            </w:r>
          </w:p>
          <w:p>
            <w:pPr>
              <w:pStyle w:val="null3"/>
            </w:pPr>
            <w:r>
              <w:rPr>
                <w:rFonts w:ascii="仿宋_GB2312" w:hAnsi="仿宋_GB2312" w:cs="仿宋_GB2312" w:eastAsia="仿宋_GB2312"/>
              </w:rPr>
              <w:t>1.1.13混合波动：≤0.5mAU</w:t>
            </w:r>
          </w:p>
          <w:p>
            <w:pPr>
              <w:pStyle w:val="null3"/>
            </w:pPr>
            <w:r>
              <w:rPr>
                <w:rFonts w:ascii="仿宋_GB2312" w:hAnsi="仿宋_GB2312" w:cs="仿宋_GB2312" w:eastAsia="仿宋_GB2312"/>
              </w:rPr>
              <w:t>1.1.14在线脱气：集成4通道</w:t>
            </w:r>
          </w:p>
          <w:p>
            <w:pPr>
              <w:pStyle w:val="null3"/>
            </w:pPr>
            <w:r>
              <w:rPr>
                <w:rFonts w:ascii="仿宋_GB2312" w:hAnsi="仿宋_GB2312" w:cs="仿宋_GB2312" w:eastAsia="仿宋_GB2312"/>
              </w:rPr>
              <w:t>1.1.15梯度模式：预编不少于10种梯度曲线</w:t>
            </w:r>
          </w:p>
          <w:p>
            <w:pPr>
              <w:pStyle w:val="null3"/>
            </w:pPr>
            <w:r>
              <w:rPr>
                <w:rFonts w:ascii="仿宋_GB2312" w:hAnsi="仿宋_GB2312" w:cs="仿宋_GB2312" w:eastAsia="仿宋_GB2312"/>
              </w:rPr>
              <w:t>1.2自动进样器</w:t>
            </w:r>
          </w:p>
          <w:p>
            <w:pPr>
              <w:pStyle w:val="null3"/>
            </w:pPr>
            <w:r>
              <w:rPr>
                <w:rFonts w:ascii="仿宋_GB2312" w:hAnsi="仿宋_GB2312" w:cs="仿宋_GB2312" w:eastAsia="仿宋_GB2312"/>
              </w:rPr>
              <w:t>1.2.1样品瓶数：≥120位</w:t>
            </w:r>
          </w:p>
          <w:p>
            <w:pPr>
              <w:pStyle w:val="null3"/>
            </w:pPr>
            <w:r>
              <w:rPr>
                <w:rFonts w:ascii="仿宋_GB2312" w:hAnsi="仿宋_GB2312" w:cs="仿宋_GB2312" w:eastAsia="仿宋_GB2312"/>
              </w:rPr>
              <w:t>1.2.2进样次数：每个样品1～99次进样</w:t>
            </w:r>
          </w:p>
          <w:p>
            <w:pPr>
              <w:pStyle w:val="null3"/>
            </w:pPr>
            <w:r>
              <w:rPr>
                <w:rFonts w:ascii="仿宋_GB2312" w:hAnsi="仿宋_GB2312" w:cs="仿宋_GB2312" w:eastAsia="仿宋_GB2312"/>
              </w:rPr>
              <w:t>1.2.3进样精度：≤0.25%RSD</w:t>
            </w:r>
          </w:p>
          <w:p>
            <w:pPr>
              <w:pStyle w:val="null3"/>
            </w:pPr>
            <w:r>
              <w:rPr>
                <w:rFonts w:ascii="仿宋_GB2312" w:hAnsi="仿宋_GB2312" w:cs="仿宋_GB2312" w:eastAsia="仿宋_GB2312"/>
              </w:rPr>
              <w:t>1.2.4进样范围：0.1-100µL</w:t>
            </w:r>
          </w:p>
          <w:p>
            <w:pPr>
              <w:pStyle w:val="null3"/>
            </w:pPr>
            <w:r>
              <w:rPr>
                <w:rFonts w:ascii="仿宋_GB2312" w:hAnsi="仿宋_GB2312" w:cs="仿宋_GB2312" w:eastAsia="仿宋_GB2312"/>
              </w:rPr>
              <w:t>1.2.5交叉污染：≤0.0025%</w:t>
            </w:r>
          </w:p>
          <w:p>
            <w:pPr>
              <w:pStyle w:val="null3"/>
            </w:pPr>
            <w:r>
              <w:rPr>
                <w:rFonts w:ascii="仿宋_GB2312" w:hAnsi="仿宋_GB2312" w:cs="仿宋_GB2312" w:eastAsia="仿宋_GB2312"/>
              </w:rPr>
              <w:t>1.3柱温箱</w:t>
            </w:r>
          </w:p>
          <w:p>
            <w:pPr>
              <w:pStyle w:val="null3"/>
            </w:pPr>
            <w:r>
              <w:rPr>
                <w:rFonts w:ascii="仿宋_GB2312" w:hAnsi="仿宋_GB2312" w:cs="仿宋_GB2312" w:eastAsia="仿宋_GB2312"/>
              </w:rPr>
              <w:t>1.3.1温度范围：室温以上5℃-60℃，增量：1℃</w:t>
            </w:r>
          </w:p>
          <w:p>
            <w:pPr>
              <w:pStyle w:val="null3"/>
            </w:pPr>
            <w:r>
              <w:rPr>
                <w:rFonts w:ascii="仿宋_GB2312" w:hAnsi="仿宋_GB2312" w:cs="仿宋_GB2312" w:eastAsia="仿宋_GB2312"/>
              </w:rPr>
              <w:t>1.3.2容量：2支300 mm 色谱柱</w:t>
            </w:r>
          </w:p>
          <w:p>
            <w:pPr>
              <w:pStyle w:val="null3"/>
            </w:pPr>
            <w:r>
              <w:rPr>
                <w:rFonts w:ascii="仿宋_GB2312" w:hAnsi="仿宋_GB2312" w:cs="仿宋_GB2312" w:eastAsia="仿宋_GB2312"/>
              </w:rPr>
              <w:t>1.4 示差检测器</w:t>
            </w:r>
          </w:p>
          <w:p>
            <w:pPr>
              <w:pStyle w:val="null3"/>
            </w:pPr>
            <w:r>
              <w:rPr>
                <w:rFonts w:ascii="仿宋_GB2312" w:hAnsi="仿宋_GB2312" w:cs="仿宋_GB2312" w:eastAsia="仿宋_GB2312"/>
              </w:rPr>
              <w:t>1.4.1折光率范围：1.00～1.75 RIU</w:t>
            </w:r>
          </w:p>
          <w:p>
            <w:pPr>
              <w:pStyle w:val="null3"/>
            </w:pPr>
            <w:r>
              <w:rPr>
                <w:rFonts w:ascii="仿宋_GB2312" w:hAnsi="仿宋_GB2312" w:cs="仿宋_GB2312" w:eastAsia="仿宋_GB2312"/>
              </w:rPr>
              <w:t>1.4.2噪音：±1.5×10</w:t>
            </w:r>
            <w:r>
              <w:rPr>
                <w:rFonts w:ascii="仿宋_GB2312" w:hAnsi="仿宋_GB2312" w:cs="仿宋_GB2312" w:eastAsia="仿宋_GB2312"/>
                <w:vertAlign w:val="superscript"/>
              </w:rPr>
              <w:t>-9</w:t>
            </w:r>
            <w:r>
              <w:rPr>
                <w:rFonts w:ascii="仿宋_GB2312" w:hAnsi="仿宋_GB2312" w:cs="仿宋_GB2312" w:eastAsia="仿宋_GB2312"/>
              </w:rPr>
              <w:t>RIU</w:t>
            </w:r>
          </w:p>
          <w:p>
            <w:pPr>
              <w:pStyle w:val="null3"/>
            </w:pPr>
            <w:r>
              <w:rPr>
                <w:rFonts w:ascii="仿宋_GB2312" w:hAnsi="仿宋_GB2312" w:cs="仿宋_GB2312" w:eastAsia="仿宋_GB2312"/>
              </w:rPr>
              <w:t>1.4.3漂移：±1.0×10</w:t>
            </w:r>
            <w:r>
              <w:rPr>
                <w:rFonts w:ascii="仿宋_GB2312" w:hAnsi="仿宋_GB2312" w:cs="仿宋_GB2312" w:eastAsia="仿宋_GB2312"/>
                <w:vertAlign w:val="superscript"/>
              </w:rPr>
              <w:t>-7</w:t>
            </w:r>
            <w:r>
              <w:rPr>
                <w:rFonts w:ascii="仿宋_GB2312" w:hAnsi="仿宋_GB2312" w:cs="仿宋_GB2312" w:eastAsia="仿宋_GB2312"/>
              </w:rPr>
              <w:t>RIU/hr</w:t>
            </w:r>
          </w:p>
          <w:p>
            <w:pPr>
              <w:pStyle w:val="null3"/>
            </w:pPr>
            <w:r>
              <w:rPr>
                <w:rFonts w:ascii="仿宋_GB2312" w:hAnsi="仿宋_GB2312" w:cs="仿宋_GB2312" w:eastAsia="仿宋_GB2312"/>
              </w:rPr>
              <w:t>1.4.4测量范围：5.0×10</w:t>
            </w:r>
            <w:r>
              <w:rPr>
                <w:rFonts w:ascii="仿宋_GB2312" w:hAnsi="仿宋_GB2312" w:cs="仿宋_GB2312" w:eastAsia="仿宋_GB2312"/>
                <w:vertAlign w:val="superscript"/>
              </w:rPr>
              <w:t>-4</w:t>
            </w:r>
            <w:r>
              <w:rPr>
                <w:rFonts w:ascii="仿宋_GB2312" w:hAnsi="仿宋_GB2312" w:cs="仿宋_GB2312" w:eastAsia="仿宋_GB2312"/>
              </w:rPr>
              <w:t>～7.0×10</w:t>
            </w:r>
            <w:r>
              <w:rPr>
                <w:rFonts w:ascii="仿宋_GB2312" w:hAnsi="仿宋_GB2312" w:cs="仿宋_GB2312" w:eastAsia="仿宋_GB2312"/>
                <w:vertAlign w:val="superscript"/>
              </w:rPr>
              <w:t>-9</w:t>
            </w:r>
            <w:r>
              <w:rPr>
                <w:rFonts w:ascii="仿宋_GB2312" w:hAnsi="仿宋_GB2312" w:cs="仿宋_GB2312" w:eastAsia="仿宋_GB2312"/>
              </w:rPr>
              <w:t>RIU</w:t>
            </w:r>
          </w:p>
          <w:p>
            <w:pPr>
              <w:pStyle w:val="null3"/>
            </w:pPr>
            <w:r>
              <w:rPr>
                <w:rFonts w:ascii="仿宋_GB2312" w:hAnsi="仿宋_GB2312" w:cs="仿宋_GB2312" w:eastAsia="仿宋_GB2312"/>
              </w:rPr>
              <w:t>1.4.5内部温度控制：30～50℃</w:t>
            </w:r>
          </w:p>
          <w:p>
            <w:pPr>
              <w:pStyle w:val="null3"/>
            </w:pPr>
            <w:r>
              <w:rPr>
                <w:rFonts w:ascii="仿宋_GB2312" w:hAnsi="仿宋_GB2312" w:cs="仿宋_GB2312" w:eastAsia="仿宋_GB2312"/>
              </w:rPr>
              <w:t>1.4.6流通池：池体积≤12uL</w:t>
            </w:r>
          </w:p>
          <w:p>
            <w:pPr>
              <w:pStyle w:val="null3"/>
            </w:pPr>
            <w:r>
              <w:rPr>
                <w:rFonts w:ascii="仿宋_GB2312" w:hAnsi="仿宋_GB2312" w:cs="仿宋_GB2312" w:eastAsia="仿宋_GB2312"/>
              </w:rPr>
              <w:t>1.5 色谱软件</w:t>
            </w:r>
          </w:p>
          <w:p>
            <w:pPr>
              <w:pStyle w:val="null3"/>
            </w:pPr>
            <w:r>
              <w:rPr>
                <w:rFonts w:ascii="仿宋_GB2312" w:hAnsi="仿宋_GB2312" w:cs="仿宋_GB2312" w:eastAsia="仿宋_GB2312"/>
              </w:rPr>
              <w:t>1.5.1配置图文数据库</w:t>
            </w:r>
          </w:p>
          <w:p>
            <w:pPr>
              <w:pStyle w:val="null3"/>
            </w:pPr>
            <w:r>
              <w:rPr>
                <w:rFonts w:ascii="仿宋_GB2312" w:hAnsi="仿宋_GB2312" w:cs="仿宋_GB2312" w:eastAsia="仿宋_GB2312"/>
              </w:rPr>
              <w:t>1.5.2独立的用户名、密码和权限</w:t>
            </w:r>
          </w:p>
          <w:p>
            <w:pPr>
              <w:pStyle w:val="null3"/>
            </w:pPr>
            <w:r>
              <w:rPr>
                <w:rFonts w:ascii="仿宋_GB2312" w:hAnsi="仿宋_GB2312" w:cs="仿宋_GB2312" w:eastAsia="仿宋_GB2312"/>
              </w:rPr>
              <w:t>1.5.3符合cGMP/GLP和21 CFR Part 11法规的要求，具有电子记录，电子签名功能。</w:t>
            </w:r>
          </w:p>
          <w:p>
            <w:pPr>
              <w:pStyle w:val="null3"/>
            </w:pPr>
            <w:r>
              <w:rPr>
                <w:rFonts w:ascii="仿宋_GB2312" w:hAnsi="仿宋_GB2312" w:cs="仿宋_GB2312" w:eastAsia="仿宋_GB2312"/>
              </w:rPr>
              <w:t>1.5.4  ≥15种校正拟合定量计算方式</w:t>
            </w:r>
          </w:p>
          <w:p>
            <w:pPr>
              <w:pStyle w:val="null3"/>
            </w:pPr>
            <w:r>
              <w:rPr>
                <w:rFonts w:ascii="仿宋_GB2312" w:hAnsi="仿宋_GB2312" w:cs="仿宋_GB2312" w:eastAsia="仿宋_GB2312"/>
              </w:rPr>
              <w:t>1.5.5  ≥8种数据检索模式</w:t>
            </w:r>
          </w:p>
          <w:p>
            <w:pPr>
              <w:pStyle w:val="null3"/>
            </w:pPr>
            <w:r>
              <w:rPr>
                <w:rFonts w:ascii="仿宋_GB2312" w:hAnsi="仿宋_GB2312" w:cs="仿宋_GB2312" w:eastAsia="仿宋_GB2312"/>
              </w:rPr>
              <w:t>1.5.6用户可自定义样品信息和编辑计算公式：样品信息类型≥5；数据类型≥5</w:t>
            </w:r>
          </w:p>
          <w:p>
            <w:pPr>
              <w:pStyle w:val="null3"/>
            </w:pPr>
            <w:r>
              <w:rPr>
                <w:rFonts w:ascii="仿宋_GB2312" w:hAnsi="仿宋_GB2312" w:cs="仿宋_GB2312" w:eastAsia="仿宋_GB2312"/>
              </w:rPr>
              <w:t>1.5.7结果可以有单个报告和综合报告</w:t>
            </w:r>
          </w:p>
          <w:p>
            <w:pPr>
              <w:pStyle w:val="null3"/>
            </w:pPr>
            <w:r>
              <w:rPr>
                <w:rFonts w:ascii="仿宋_GB2312" w:hAnsi="仿宋_GB2312" w:cs="仿宋_GB2312" w:eastAsia="仿宋_GB2312"/>
              </w:rPr>
              <w:t>1.5.8原始数据和结果可通过多种方式输出到其它软件中</w:t>
            </w:r>
          </w:p>
          <w:p>
            <w:pPr>
              <w:pStyle w:val="null3"/>
            </w:pPr>
            <w:r>
              <w:rPr>
                <w:rFonts w:ascii="仿宋_GB2312" w:hAnsi="仿宋_GB2312" w:cs="仿宋_GB2312" w:eastAsia="仿宋_GB2312"/>
              </w:rPr>
              <w:t>2.配置清单</w:t>
            </w:r>
          </w:p>
          <w:p>
            <w:pPr>
              <w:pStyle w:val="null3"/>
            </w:pPr>
            <w:r>
              <w:rPr>
                <w:rFonts w:ascii="仿宋_GB2312" w:hAnsi="仿宋_GB2312" w:cs="仿宋_GB2312" w:eastAsia="仿宋_GB2312"/>
              </w:rPr>
              <w:t>2.1 四元色谱泵 1套</w:t>
            </w:r>
          </w:p>
          <w:p>
            <w:pPr>
              <w:pStyle w:val="null3"/>
            </w:pPr>
            <w:r>
              <w:rPr>
                <w:rFonts w:ascii="仿宋_GB2312" w:hAnsi="仿宋_GB2312" w:cs="仿宋_GB2312" w:eastAsia="仿宋_GB2312"/>
              </w:rPr>
              <w:t>2.2 在线脱气机 1套</w:t>
            </w:r>
          </w:p>
          <w:p>
            <w:pPr>
              <w:pStyle w:val="null3"/>
            </w:pPr>
            <w:r>
              <w:rPr>
                <w:rFonts w:ascii="仿宋_GB2312" w:hAnsi="仿宋_GB2312" w:cs="仿宋_GB2312" w:eastAsia="仿宋_GB2312"/>
              </w:rPr>
              <w:t>2.3 自动进样器  1套</w:t>
            </w:r>
          </w:p>
          <w:p>
            <w:pPr>
              <w:pStyle w:val="null3"/>
            </w:pPr>
            <w:r>
              <w:rPr>
                <w:rFonts w:ascii="仿宋_GB2312" w:hAnsi="仿宋_GB2312" w:cs="仿宋_GB2312" w:eastAsia="仿宋_GB2312"/>
              </w:rPr>
              <w:t>2.4 柱温箱 1套</w:t>
            </w:r>
          </w:p>
          <w:p>
            <w:pPr>
              <w:pStyle w:val="null3"/>
            </w:pPr>
            <w:r>
              <w:rPr>
                <w:rFonts w:ascii="仿宋_GB2312" w:hAnsi="仿宋_GB2312" w:cs="仿宋_GB2312" w:eastAsia="仿宋_GB2312"/>
              </w:rPr>
              <w:t>2.5 示差折光检测器 1套</w:t>
            </w:r>
          </w:p>
          <w:p>
            <w:pPr>
              <w:pStyle w:val="null3"/>
            </w:pPr>
            <w:r>
              <w:rPr>
                <w:rFonts w:ascii="仿宋_GB2312" w:hAnsi="仿宋_GB2312" w:cs="仿宋_GB2312" w:eastAsia="仿宋_GB2312"/>
              </w:rPr>
              <w:t>2.6 聚苯乙烯标准品1套（覆盖分子量范围600～110,000，且不少于10个点）</w:t>
            </w:r>
          </w:p>
          <w:p>
            <w:pPr>
              <w:pStyle w:val="null3"/>
            </w:pPr>
            <w:r>
              <w:rPr>
                <w:rFonts w:ascii="仿宋_GB2312" w:hAnsi="仿宋_GB2312" w:cs="仿宋_GB2312" w:eastAsia="仿宋_GB2312"/>
              </w:rPr>
              <w:t>2.7 凝胶色谱柱THF和DMF体系各1根，有效MW范围（50～100,000）</w:t>
            </w:r>
          </w:p>
          <w:p>
            <w:pPr>
              <w:pStyle w:val="null3"/>
            </w:pPr>
            <w:r>
              <w:rPr>
                <w:rFonts w:ascii="仿宋_GB2312" w:hAnsi="仿宋_GB2312" w:cs="仿宋_GB2312" w:eastAsia="仿宋_GB2312"/>
              </w:rPr>
              <w:t>2.8 凝胶色谱柱DMF体系1根，有效MW范围（500～30,000）</w:t>
            </w:r>
          </w:p>
          <w:p>
            <w:pPr>
              <w:pStyle w:val="null3"/>
            </w:pPr>
            <w:r>
              <w:rPr>
                <w:rFonts w:ascii="仿宋_GB2312" w:hAnsi="仿宋_GB2312" w:cs="仿宋_GB2312" w:eastAsia="仿宋_GB2312"/>
              </w:rPr>
              <w:t>2.9 样品瓶（100个/包）5包</w:t>
            </w:r>
          </w:p>
          <w:p>
            <w:pPr>
              <w:pStyle w:val="null3"/>
            </w:pPr>
            <w:r>
              <w:rPr>
                <w:rFonts w:ascii="仿宋_GB2312" w:hAnsi="仿宋_GB2312" w:cs="仿宋_GB2312" w:eastAsia="仿宋_GB2312"/>
              </w:rPr>
              <w:t>2.10 流动相瓶  6个</w:t>
            </w:r>
          </w:p>
          <w:p>
            <w:pPr>
              <w:pStyle w:val="null3"/>
            </w:pPr>
            <w:r>
              <w:rPr>
                <w:rFonts w:ascii="仿宋_GB2312" w:hAnsi="仿宋_GB2312" w:cs="仿宋_GB2312" w:eastAsia="仿宋_GB2312"/>
              </w:rPr>
              <w:t>2.11 PEEK管路 3根</w:t>
            </w:r>
          </w:p>
          <w:p>
            <w:pPr>
              <w:pStyle w:val="null3"/>
            </w:pPr>
            <w:r>
              <w:rPr>
                <w:rFonts w:ascii="仿宋_GB2312" w:hAnsi="仿宋_GB2312" w:cs="仿宋_GB2312" w:eastAsia="仿宋_GB2312"/>
              </w:rPr>
              <w:t>2.12 200uL样品环 1套</w:t>
            </w:r>
          </w:p>
          <w:p>
            <w:pPr>
              <w:pStyle w:val="null3"/>
            </w:pPr>
            <w:r>
              <w:rPr>
                <w:rFonts w:ascii="仿宋_GB2312" w:hAnsi="仿宋_GB2312" w:cs="仿宋_GB2312" w:eastAsia="仿宋_GB2312"/>
              </w:rPr>
              <w:t>2.13图文数据库1套</w:t>
            </w:r>
          </w:p>
          <w:p>
            <w:pPr>
              <w:pStyle w:val="null3"/>
            </w:pPr>
            <w:r>
              <w:rPr>
                <w:rFonts w:ascii="仿宋_GB2312" w:hAnsi="仿宋_GB2312" w:cs="仿宋_GB2312" w:eastAsia="仿宋_GB2312"/>
              </w:rPr>
              <w:t>2.14数据处理单元1套：</w:t>
            </w:r>
          </w:p>
          <w:p>
            <w:pPr>
              <w:pStyle w:val="null3"/>
            </w:pPr>
            <w:r>
              <w:rPr>
                <w:rFonts w:ascii="仿宋_GB2312" w:hAnsi="仿宋_GB2312" w:cs="仿宋_GB2312" w:eastAsia="仿宋_GB2312"/>
              </w:rPr>
              <w:t>i7 CPU，≥16G内存，≥1T硬盘，≥27英寸液晶显示器</w:t>
            </w:r>
          </w:p>
          <w:p>
            <w:pPr>
              <w:pStyle w:val="null3"/>
            </w:pPr>
            <w:r>
              <w:rPr>
                <w:rFonts w:ascii="仿宋_GB2312" w:hAnsi="仿宋_GB2312" w:cs="仿宋_GB2312" w:eastAsia="仿宋_GB2312"/>
              </w:rPr>
              <w:t>2.15 UPS 3KVA，延时大于1小时</w:t>
            </w:r>
          </w:p>
          <w:p>
            <w:pPr>
              <w:pStyle w:val="null3"/>
            </w:pPr>
            <w:r>
              <w:rPr>
                <w:rFonts w:ascii="仿宋_GB2312" w:hAnsi="仿宋_GB2312" w:cs="仿宋_GB2312" w:eastAsia="仿宋_GB2312"/>
              </w:rPr>
              <w:t>2.16 分析天平，精度≤0.1mg，量程大于200g，1套</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西北大学化学与材料科学学院812</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① 国产货物（进口设备国内供货）：合同生效后，供应商开具合同金额等额银行保函，采购人收到银行保函正本后预付合同货款，待货物到达指定地点、安装调试验收合格后，采购人退还银行保函正本；②进口货物：合同生效后，由采购人通过进出口业务代理公司向供应商开出100%信用证，待货物到货、安装调试、并经学校组织验收合格后，由采购人通知进出口业务代理公司向供应商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如属于检验检疫法检目录内货物，由采购人与供应商双方会同海关共同开箱验收。在检查货物原产地、型号、规格、配置符合合同要求后，由供应商负责安装调试、采购人负责技术验收（供应商协助），验收以国内行业标准或合同文本货物供货配置清单中描述的有关技术要求为准； （3）在货物安装调试运行正常后，采购人（采购单位）按学校相关业务部门规定提交验收申请，学校根据采购单位技术验收结果，组织有关专家进行货物的最终验收。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3年。（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本项目通过进口产品备案，允许采购进口产品：凝胶渗透色谱仪。 6、本项目主要标的：凝胶渗透色谱仪。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3.5其他要求第4条”的实质性条款要求的；(3)响应有效期不足的或无有效期的；(4)报价超过谈判文件中规定的采购预算或最高限价或单台设备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中小企业声明函 残疾人福利性单位声明函 标的清单 报价表 供应商资格证明文件.docx 商务部分偏离表.docx 响应函 技术响应与偏离表.docx 监狱企业的证明文件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