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版本号：SXJTZB-ZC-CS2025061620251013001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核磁共振维保项目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SXJTZB-ZC-CS20250616</w:t>
      </w:r>
      <w:r>
        <w:br/>
      </w:r>
      <w:r>
        <w:br/>
      </w:r>
      <w:r>
        <w:br/>
      </w:r>
    </w:p>
    <w:p>
      <w:pPr>
        <w:pStyle w:val="null3"/>
        <w:jc w:val="center"/>
        <w:outlineLvl w:val="2"/>
      </w:pPr>
      <w:r>
        <w:rPr>
          <w:rFonts w:ascii="仿宋_GB2312" w:hAnsi="仿宋_GB2312" w:cs="仿宋_GB2312" w:eastAsia="仿宋_GB2312"/>
          <w:sz w:val="28"/>
          <w:b/>
        </w:rPr>
        <w:t>陕西省交通医院</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陕西省交通医院</w:t>
      </w:r>
      <w:r>
        <w:rPr>
          <w:rFonts w:ascii="仿宋_GB2312" w:hAnsi="仿宋_GB2312" w:cs="仿宋_GB2312" w:eastAsia="仿宋_GB2312"/>
        </w:rPr>
        <w:t>委托，拟对</w:t>
      </w:r>
      <w:r>
        <w:rPr>
          <w:rFonts w:ascii="仿宋_GB2312" w:hAnsi="仿宋_GB2312" w:cs="仿宋_GB2312" w:eastAsia="仿宋_GB2312"/>
        </w:rPr>
        <w:t>核磁共振维保项目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SXJTZB-ZC-CS20250616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核磁共振维保项目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核磁共振摄像系统维保服务，定期专业保养,每年进行4次全面维护，包括设备外观检查、性能测试、影像质量校准、系统检测及除尘保养等。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3、税收缴纳证明：提供已缴纳的2024年6月至今任意一个月的纳税证明或完税证明，纳税证明或完税证明上应有代收机构或税务机关的公章或业务专用章。依法免税的供应商应提供相关文件证明；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8、供应商资质：供应商须具有《医疗器械经营许可证》（或《医疗器械生产备案凭证》）；</w:t>
      </w:r>
    </w:p>
    <w:p>
      <w:pPr>
        <w:pStyle w:val="null3"/>
      </w:pPr>
      <w:r>
        <w:rPr>
          <w:rFonts w:ascii="仿宋_GB2312" w:hAnsi="仿宋_GB2312" w:cs="仿宋_GB2312" w:eastAsia="仿宋_GB2312"/>
        </w:rPr>
        <w:t>9、本项目不接受联合体磋商：本项目不接受联合体磋商（提供书面声明材料）。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西安市大学南路276号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029-88489770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曾小旦、王梦娜、张荷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说明：合同签订前，乙方须向甲方缴纳合同总金额5%的履约保证金，履约保证金待供应商履行完毕全部合同义务，并经甲方验收合格，无任何纠纷后无息退还。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代理服务费收费标准：按照国家计委关于印发《招标代理服务收费管理暂行办法的通知》（计价格[2002]1980号）的收费标准收取。 成交供应商在领取成交通知书前，须向采购代理机构一次性支付代理服务费。服务费交纳信息：公司名称：陕西嘉唐建设项目管理有限公司 账号：112011580000141313 开户行：西安银行股份有限公司含光门支行。公司邮箱：shanxijiatang@163.com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陕西省交通医院</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联系人：曾小旦、王梦娜、张荷</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核磁共振摄像系统维保服务，定期专业保养,每年进行4次全面维护，包括设备外观检查、性能测试、影像质量校准、系统检测及除尘保养等。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核磁共振摄像系统维保服务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标的名称：核磁共振摄像系统维保服务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一、服务要求</w:t>
            </w:r>
          </w:p>
          <w:p>
            <w:pPr>
              <w:pStyle w:val="null3"/>
              <w:jc w:val="both"/>
            </w:pPr>
            <w:r>
              <w:rPr>
                <w:rFonts w:ascii="仿宋_GB2312" w:hAnsi="仿宋_GB2312" w:cs="仿宋_GB2312" w:eastAsia="仿宋_GB2312"/>
                <w:sz w:val="21"/>
              </w:rPr>
              <w:t>1.服务对象：PHILIPS Prodiva1.5T；</w:t>
            </w:r>
          </w:p>
          <w:p>
            <w:pPr>
              <w:pStyle w:val="null3"/>
              <w:jc w:val="both"/>
            </w:pPr>
            <w:r>
              <w:rPr>
                <w:rFonts w:ascii="仿宋_GB2312" w:hAnsi="仿宋_GB2312" w:cs="仿宋_GB2312" w:eastAsia="仿宋_GB2312"/>
                <w:sz w:val="21"/>
              </w:rPr>
              <w:t>2.全保服务，包含不限时不限次人工服务费（包含人工费、交通差旅费、上门费等）、所有 故障备件更换费用（包括不限于磁体、冷头、线圈及水冷机、精密空调、高压注射器等第三方产品）、预防性保养服务、质控服务；</w:t>
            </w:r>
          </w:p>
          <w:p>
            <w:pPr>
              <w:pStyle w:val="null3"/>
              <w:jc w:val="both"/>
            </w:pPr>
            <w:r>
              <w:rPr>
                <w:rFonts w:ascii="仿宋_GB2312" w:hAnsi="仿宋_GB2312" w:cs="仿宋_GB2312" w:eastAsia="仿宋_GB2312"/>
                <w:sz w:val="21"/>
              </w:rPr>
              <w:t>3.提供通过互联网连接在线远程应用支持；</w:t>
            </w:r>
          </w:p>
          <w:p>
            <w:pPr>
              <w:pStyle w:val="null3"/>
              <w:jc w:val="both"/>
            </w:pPr>
            <w:r>
              <w:rPr>
                <w:rFonts w:ascii="仿宋_GB2312" w:hAnsi="仿宋_GB2312" w:cs="仿宋_GB2312" w:eastAsia="仿宋_GB2312"/>
                <w:sz w:val="21"/>
              </w:rPr>
              <w:t>4.提供软件版本升级服务；</w:t>
            </w:r>
          </w:p>
          <w:p>
            <w:pPr>
              <w:pStyle w:val="null3"/>
              <w:jc w:val="both"/>
            </w:pPr>
            <w:r>
              <w:rPr>
                <w:rFonts w:ascii="仿宋_GB2312" w:hAnsi="仿宋_GB2312" w:cs="仿宋_GB2312" w:eastAsia="仿宋_GB2312"/>
                <w:sz w:val="21"/>
              </w:rPr>
              <w:t>5.提供专用服务电话，365×24小时客户响应；</w:t>
            </w:r>
          </w:p>
          <w:p>
            <w:pPr>
              <w:pStyle w:val="null3"/>
              <w:jc w:val="both"/>
            </w:pPr>
            <w:r>
              <w:rPr>
                <w:rFonts w:ascii="仿宋_GB2312" w:hAnsi="仿宋_GB2312" w:cs="仿宋_GB2312" w:eastAsia="仿宋_GB2312"/>
                <w:sz w:val="21"/>
              </w:rPr>
              <w:t>6.服务响应时间≤0.5小时；</w:t>
            </w:r>
          </w:p>
          <w:p>
            <w:pPr>
              <w:pStyle w:val="null3"/>
              <w:jc w:val="both"/>
            </w:pPr>
            <w:r>
              <w:rPr>
                <w:rFonts w:ascii="仿宋_GB2312" w:hAnsi="仿宋_GB2312" w:cs="仿宋_GB2312" w:eastAsia="仿宋_GB2312"/>
                <w:sz w:val="21"/>
              </w:rPr>
              <w:t>7.工程师到达维修现场时间≤4小时；</w:t>
            </w:r>
          </w:p>
          <w:p>
            <w:pPr>
              <w:pStyle w:val="null3"/>
              <w:jc w:val="both"/>
            </w:pPr>
            <w:r>
              <w:rPr>
                <w:rFonts w:ascii="仿宋_GB2312" w:hAnsi="仿宋_GB2312" w:cs="仿宋_GB2312" w:eastAsia="仿宋_GB2312"/>
                <w:sz w:val="21"/>
              </w:rPr>
              <w:t>8.具有零备件仓库，所更换备件为原厂全新合格备件，能满足设备各项使用性能指标，确保可及时供应维修更换备件；</w:t>
            </w:r>
          </w:p>
          <w:p>
            <w:pPr>
              <w:pStyle w:val="null3"/>
              <w:jc w:val="both"/>
            </w:pPr>
            <w:r>
              <w:rPr>
                <w:rFonts w:ascii="仿宋_GB2312" w:hAnsi="仿宋_GB2312" w:cs="仿宋_GB2312" w:eastAsia="仿宋_GB2312"/>
                <w:sz w:val="21"/>
              </w:rPr>
              <w:t>9.设备开机率（365天计算）≥95%，全年停机不超过18天，单次不超过3天；每超1天，保修顺延3天。</w:t>
            </w:r>
          </w:p>
          <w:p>
            <w:pPr>
              <w:pStyle w:val="null3"/>
              <w:jc w:val="both"/>
            </w:pPr>
            <w:r>
              <w:rPr>
                <w:rFonts w:ascii="仿宋_GB2312" w:hAnsi="仿宋_GB2312" w:cs="仿宋_GB2312" w:eastAsia="仿宋_GB2312"/>
                <w:sz w:val="21"/>
              </w:rPr>
              <w:t>10.根据采购人要求的时间段每年提供维护保养服务次数≥4次；</w:t>
            </w:r>
          </w:p>
          <w:p>
            <w:pPr>
              <w:pStyle w:val="null3"/>
              <w:jc w:val="both"/>
            </w:pPr>
            <w:r>
              <w:rPr>
                <w:rFonts w:ascii="仿宋_GB2312" w:hAnsi="仿宋_GB2312" w:cs="仿宋_GB2312" w:eastAsia="仿宋_GB2312"/>
                <w:sz w:val="21"/>
              </w:rPr>
              <w:t>11.维保内容包括但不限于设备清洁、性能测试（技术、安全）、质控校准、电气环境检测及软件升级等，根据采购人要求对设备的数据进行备份，供应商的保养服务需做好记录；</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根据采购人要求的时间段每年提供巡检服务次数</w:t>
            </w:r>
            <w:r>
              <w:rPr>
                <w:rFonts w:ascii="仿宋_GB2312" w:hAnsi="仿宋_GB2312" w:cs="仿宋_GB2312" w:eastAsia="仿宋_GB2312"/>
                <w:sz w:val="21"/>
              </w:rPr>
              <w:t>≥4次；</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提供液氦的正常消耗补充，且维保服务到期后保证液氦的剩余量不低于总（容）量的</w:t>
            </w:r>
            <w:r>
              <w:rPr>
                <w:rFonts w:ascii="仿宋_GB2312" w:hAnsi="仿宋_GB2312" w:cs="仿宋_GB2312" w:eastAsia="仿宋_GB2312"/>
                <w:sz w:val="21"/>
              </w:rPr>
              <w:t>90%；</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具有磁共振设备专业维修保养工具，提供维护保养的专业工具的介绍及照片；</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服务期内，若因维修或保养引发设备其他故障，中标供应商须负责故障排查与修复并承担全部费用。</w:t>
            </w:r>
          </w:p>
          <w:p>
            <w:pPr>
              <w:pStyle w:val="null3"/>
              <w:jc w:val="both"/>
            </w:pPr>
            <w:r>
              <w:rPr>
                <w:rFonts w:ascii="仿宋_GB2312" w:hAnsi="仿宋_GB2312" w:cs="仿宋_GB2312" w:eastAsia="仿宋_GB2312"/>
                <w:sz w:val="21"/>
              </w:rPr>
              <w:t>16.一年维修保养期满，给院方提供全面维修保养总结报告，并装订成册。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陕西省交通医院指定地点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磋商文件“服务内容及要求”所述的标准。若乙方在其投标文件中承诺的技术标准优于本项目磋商文件“服务内容及要求”所述标准的，按投标的承诺执行。2、成交供应商完成并交付的工作成果需经采购人验收合格，则视为接受。如果在验收时采购人表明不接受中标供应商提交的工作成果并明示不接受的原因，成交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乙方需向甲方缴纳成交金额的5%作为履约保证金，履约保证金到账后 ，以及收到乙方开具的等额、合规发票后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待2025年12月，甲方组织对乙方已经提供服务的情况进行验收考核，考核完毕，且收到乙方开具的等额、合规发票后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2、按合同要求提供服务或服务质量不能满足技术要求，采购人有权终止合同，并对供方违约行为进行追究，同时按《中华人民共和国民政府采购法》的有关规定进行处罚。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提供已缴纳的2024年6月至今任意一个月的纳税证明或完税证明，纳税证明或完税证明上应有代收机构或税务机关的公章或业务专用章。依法免税的供应商应提供相关文件证明；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供应商须具有《医疗器械经营许可证》（或《医疗器械生产备案凭证》）；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按要求编制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承诺书.docx 报价表 响应函 服务方案.docx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按要求签署盖章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承诺书.docx 报价表 响应函 服务方案.docx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实质上响应磋商文件，磋商文件允许偏离的除外</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承诺书.docx 报价表 响应函 服务方案.docx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磋商报价是否超过最高限价</w:t>
            </w:r>
          </w:p>
        </w:tc>
        <w:tc>
          <w:tcPr>
            <w:tcW w:type="dxa" w:w="3322"/>
          </w:tcPr>
          <w:p>
            <w:pPr>
              <w:pStyle w:val="null3"/>
            </w:pPr>
            <w:r>
              <w:rPr>
                <w:rFonts w:ascii="仿宋_GB2312" w:hAnsi="仿宋_GB2312" w:cs="仿宋_GB2312" w:eastAsia="仿宋_GB2312"/>
              </w:rPr>
              <w:t>磋商报价不得超过最高限价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承诺书.docx 报价表 响应函 服务方案.docx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承诺书.docx 报价表 响应函 服务方案.docx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评审内容：供应商根据项目特点提供维保方案。方案包括：①全年保养分析；②维护重点环节分析；③外观检查措施④性能测试⑤影像校准运行监控措施机⑥系统检测措施⑦除尘保养措施等。 评审标准：1.每项评审内容全面详细、阐述条理清晰详尽、符合本项目采购需求，能保障本项目实施得计3分；2.每项评审内容全面，内容基本合理但存在瑕疵计2分；3.每项评审内容简单空泛，无针对性计1分。4.评审内容每缺一项扣3分，7项共计21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评审内容：供应商提供质量保证措施方案。方案包括：①服务质量标准②服务质量承诺；③确保服务质量的措施；④未达到质量标准的处罚措施等。 评审标准：1.每项评审内容全面详细、阐述条理清晰详尽、符合本项目采购需求，能保障本项目实施得计3分；2.每项评审内容全面，内容基本合理但存在瑕疵计2分；3.每项评审内容简单空泛，无针对性计1分。4.评审内容每缺一项扣3分，4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维保进度保证措施方案</w:t>
            </w:r>
          </w:p>
        </w:tc>
        <w:tc>
          <w:tcPr>
            <w:tcW w:type="dxa" w:w="2492"/>
          </w:tcPr>
          <w:p>
            <w:pPr>
              <w:pStyle w:val="null3"/>
            </w:pPr>
            <w:r>
              <w:rPr>
                <w:rFonts w:ascii="仿宋_GB2312" w:hAnsi="仿宋_GB2312" w:cs="仿宋_GB2312" w:eastAsia="仿宋_GB2312"/>
              </w:rPr>
              <w:t>评审内容：供应商提供维保进度保证措施方案。包括：①维保进度安排；②进度保障措施。 评审标准：1.每项评审内容全面详细、阐述条理清晰详尽、符合本项目采购需求，能保障本项目实施得计3分；2.每项评审内容全面，内容基本合理但存在瑕疵计2分；3.每项评审内容简单空泛，无针对性计1分。4.评审内容每缺一项扣3分，2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安全保证措施方案</w:t>
            </w:r>
          </w:p>
        </w:tc>
        <w:tc>
          <w:tcPr>
            <w:tcW w:type="dxa" w:w="2492"/>
          </w:tcPr>
          <w:p>
            <w:pPr>
              <w:pStyle w:val="null3"/>
            </w:pPr>
            <w:r>
              <w:rPr>
                <w:rFonts w:ascii="仿宋_GB2312" w:hAnsi="仿宋_GB2312" w:cs="仿宋_GB2312" w:eastAsia="仿宋_GB2312"/>
              </w:rPr>
              <w:t>评审内容：供应商针对本项目提供安全保证措施方案。包括：①安全检查方案②安全保证体系③安全保障措施。 评审标准：1.每项评审内容全面详细、阐述条理清晰详尽、符合本项目采购需求，能保障本项目实施得计3分；2.每项评审内容全面，内容基本合理但存在瑕疵计2分；3.每项评审内容简单空泛，无针对性计1分。4.评审内容每缺一项扣3分，3项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评审内容：供应商提供突发情况应急措施方案。包括：①应急情况分析；②应急人员安排方案；③应急响应时间及处理方法等。 评审标准：1.每项评审内容全面详细、阐述条理清晰详尽、符合本项目采购需求，能保障本项目实施得计3分；2.每项评审内容全面，内容基本合理但存在瑕疵计2分；3.每项评审内容简单空泛，无针对性计1分。4.评审内容每缺一项扣3分，3项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项目管理机构及人员配置1</w:t>
            </w:r>
          </w:p>
        </w:tc>
        <w:tc>
          <w:tcPr>
            <w:tcW w:type="dxa" w:w="2492"/>
          </w:tcPr>
          <w:p>
            <w:pPr>
              <w:pStyle w:val="null3"/>
            </w:pPr>
            <w:r>
              <w:rPr>
                <w:rFonts w:ascii="仿宋_GB2312" w:hAnsi="仿宋_GB2312" w:cs="仿宋_GB2312" w:eastAsia="仿宋_GB2312"/>
              </w:rPr>
              <w:t>评审内容：供应商提供项目管理机构及人员配置方案，包括：①组织机构②人员配置、工作职责 评审标准：1.每项评审内容全面详细、阐述条理清晰详尽、符合本项目采购需求，能保障本项目实施得计4分；2.每项评审内容全面，内容基本合理但存在瑕疵计3分；3.每项评审内容简单空泛，无针对性计1分。4.评审内容每缺一项扣4分，2项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项目管理机构及人员配置2</w:t>
            </w:r>
          </w:p>
        </w:tc>
        <w:tc>
          <w:tcPr>
            <w:tcW w:type="dxa" w:w="2492"/>
          </w:tcPr>
          <w:p>
            <w:pPr>
              <w:pStyle w:val="null3"/>
            </w:pPr>
            <w:r>
              <w:rPr>
                <w:rFonts w:ascii="仿宋_GB2312" w:hAnsi="仿宋_GB2312" w:cs="仿宋_GB2312" w:eastAsia="仿宋_GB2312"/>
              </w:rPr>
              <w:t>评审内容：设备所在城市本地具有经原厂培训磁共振工程师。 评审标准：每提供1名得2分；满分4分；（提供相关证明材料）。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零配件配备</w:t>
            </w:r>
          </w:p>
        </w:tc>
        <w:tc>
          <w:tcPr>
            <w:tcW w:type="dxa" w:w="2492"/>
          </w:tcPr>
          <w:p>
            <w:pPr>
              <w:pStyle w:val="null3"/>
            </w:pPr>
            <w:r>
              <w:rPr>
                <w:rFonts w:ascii="仿宋_GB2312" w:hAnsi="仿宋_GB2312" w:cs="仿宋_GB2312" w:eastAsia="仿宋_GB2312"/>
              </w:rPr>
              <w:t>评审内容：供应商提供零配件配备情况方案，包括：①零配件配备情况方案（5分）②零配件来源渠道（2分）合法且符合规格。 评审标准：评审内容①全面详细、阐述条理清晰详尽、符合本项目采购需求，能保障本项目实施得计5分；2.评审内容①全面，内容基本合理但存在瑕疵计3分；3.评审内容①简单空泛，无针对性计1分。4.评审内容①无内容得0分。 评审内容②提供所需零配件来源渠道合法证明文件（包括但不限于销售协议、代理协议、原厂授权等），得2分。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合理化建议及增值服务</w:t>
            </w:r>
          </w:p>
        </w:tc>
        <w:tc>
          <w:tcPr>
            <w:tcW w:type="dxa" w:w="2492"/>
          </w:tcPr>
          <w:p>
            <w:pPr>
              <w:pStyle w:val="null3"/>
            </w:pPr>
            <w:r>
              <w:rPr>
                <w:rFonts w:ascii="仿宋_GB2312" w:hAnsi="仿宋_GB2312" w:cs="仿宋_GB2312" w:eastAsia="仿宋_GB2312"/>
              </w:rPr>
              <w:t>评审内容：供应商针对本项目提供合理化建议及增值服务方案，包括：①合理化建议②增值服务。 评审标准：1.每项评审内容全面详细、阐述条理清晰详尽、符合本项目采购需求，能保障本项目实施得计2分；2.每项评审内容全面，内容基本合理但存在瑕疵计1分；3.每项评审内容简单空泛，无针对性计0.5分。4.评审内容每缺一项扣2分，2项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提供供应商2022年6月1日至投标文件递交截止时间前（以合同签订时间为准）的同类项目业绩，每提供1份得2分，最高得10分； 业绩证明（以完整的合同为准，须在投标文件中附合同的复印件加盖单位公章）弄虚作假者，取消其中标资格。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